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易方达瑞富灵活配置混合型证券投资基金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上海浦东发展银行股份有限公司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基金托管人上海浦东发展银行股份有限公司根据本基金合同规定，于2020年7月17日复核了本报告中的财务指标、净值表现和投资组合报告等内容，保证复核内容不存在虚假记载、误导性陈述或者重大遗漏。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易方达瑞富混合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001745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2017年5月12日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260,016,102.51</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定量与定性相结合的宏观及市场因素、估值及流动性因素、政策因素等分析，确定组合中股票、债券、货币市场工具等资产类别的配置比例。本基金在债券投资方面，主要通过类属配置与券种选择两个层次进行投资管理。本基金在行业分析、公司基本面分析及估值水平分析的基础上，进行股票组合的构建。当行业、公司的基本面、股票的估值水平出现较大变化时，本基金将对股票组合适时进行动态调整。</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中债新综合指数（财富）收益率*75%+沪深300指数收益率*25%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上海浦东发展银行股份有限公司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易方达瑞富混合I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易方达瑞富混合E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001745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001746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260,009,336.80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6,765.71</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易方达瑞富混合I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易方达瑞富混合E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2,957,395.21</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74.83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4,602,208.92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137.05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0.0177</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0.0194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298,130,163.09</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7,755.74</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1.147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1.146</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易方达瑞富混合I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1.59%</w:t>
            </w:r>
          </w:p>
        </w:tc>
        <w:tc>
          <w:tcPr>
            <w:vAlign w:val="center"/>
          </w:tcPr>
          <w:p>
            <w:pPr>
              <w:jc w:val="center"/>
            </w:pPr>
            <w:r>
              <w:rPr>
                <w:color w:val="000000"/>
                <w:sz w:val="24"/>
              </w:rPr>
              <w:t>0.29%</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-1.48%</w:t>
            </w:r>
          </w:p>
        </w:tc>
        <w:tc>
          <w:tcPr>
            <w:vAlign w:val="center"/>
          </w:tcPr>
          <w:p>
            <w:pPr>
              <w:jc w:val="center"/>
            </w:pPr>
            <w:r>
              <w:rPr>
                <w:color w:val="000000"/>
                <w:sz w:val="24"/>
              </w:rPr>
              <w:t>0.05%</w:t>
            </w:r>
          </w:p>
        </w:tc>
      </w:tr>
      <w:tr>
        <w:tc>
          <w:tcPr>
            <w:vAlign w:val="center"/>
          </w:tcPr>
          <w:p>
            <w:pPr>
              <w:jc w:val="left"/>
            </w:pPr>
            <w:r>
              <w:rPr>
                <w:color w:val="000000"/>
                <w:sz w:val="24"/>
              </w:rPr>
              <w:t>过去六个月</w:t>
            </w:r>
          </w:p>
        </w:tc>
        <w:tc>
          <w:tcPr>
            <w:vAlign w:val="center"/>
          </w:tcPr>
          <w:p>
            <w:pPr>
              <w:jc w:val="center"/>
            </w:pPr>
            <w:r>
              <w:rPr>
                <w:color w:val="000000"/>
                <w:sz w:val="24"/>
              </w:rPr>
              <w:t>1.59%</w:t>
            </w:r>
          </w:p>
        </w:tc>
        <w:tc>
          <w:tcPr>
            <w:vAlign w:val="center"/>
          </w:tcPr>
          <w:p>
            <w:pPr>
              <w:jc w:val="center"/>
            </w:pPr>
            <w:r>
              <w:rPr>
                <w:color w:val="000000"/>
                <w:sz w:val="24"/>
              </w:rPr>
              <w:t>0.52%</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-0.57%</w:t>
            </w:r>
          </w:p>
        </w:tc>
        <w:tc>
          <w:tcPr>
            <w:vAlign w:val="center"/>
          </w:tcPr>
          <w:p>
            <w:pPr>
              <w:jc w:val="center"/>
            </w:pPr>
            <w:r>
              <w:rPr>
                <w:color w:val="000000"/>
                <w:sz w:val="24"/>
              </w:rPr>
              <w:t>0.16%</w:t>
            </w:r>
          </w:p>
        </w:tc>
      </w:tr>
      <w:tr>
        <w:tc>
          <w:tcPr>
            <w:vAlign w:val="center"/>
          </w:tcPr>
          <w:p>
            <w:pPr>
              <w:jc w:val="left"/>
            </w:pPr>
            <w:r>
              <w:rPr>
                <w:color w:val="000000"/>
                <w:sz w:val="24"/>
              </w:rPr>
              <w:t>过去一年</w:t>
            </w:r>
          </w:p>
        </w:tc>
        <w:tc>
          <w:tcPr>
            <w:vAlign w:val="center"/>
          </w:tcPr>
          <w:p>
            <w:pPr>
              <w:jc w:val="center"/>
            </w:pPr>
            <w:r>
              <w:rPr>
                <w:color w:val="000000"/>
                <w:sz w:val="24"/>
              </w:rPr>
              <w:t>10.33%</w:t>
            </w:r>
          </w:p>
        </w:tc>
        <w:tc>
          <w:tcPr>
            <w:vAlign w:val="center"/>
          </w:tcPr>
          <w:p>
            <w:pPr>
              <w:jc w:val="center"/>
            </w:pPr>
            <w:r>
              <w:rPr>
                <w:color w:val="000000"/>
                <w:sz w:val="24"/>
              </w:rPr>
              <w:t>0.41%</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4.28%</w:t>
            </w:r>
          </w:p>
        </w:tc>
        <w:tc>
          <w:tcPr>
            <w:vAlign w:val="center"/>
          </w:tcPr>
          <w:p>
            <w:pPr>
              <w:jc w:val="center"/>
            </w:pPr>
            <w:r>
              <w:rPr>
                <w:color w:val="000000"/>
                <w:sz w:val="24"/>
              </w:rPr>
              <w:t>0.12%</w:t>
            </w:r>
          </w:p>
        </w:tc>
      </w:tr>
      <w:tr>
        <w:tc>
          <w:tcPr>
            <w:vAlign w:val="center"/>
          </w:tcPr>
          <w:p>
            <w:pPr>
              <w:jc w:val="left"/>
            </w:pPr>
            <w:r>
              <w:rPr>
                <w:color w:val="000000"/>
                <w:sz w:val="24"/>
              </w:rPr>
              <w:t>过去三年</w:t>
            </w:r>
          </w:p>
        </w:tc>
        <w:tc>
          <w:tcPr>
            <w:vAlign w:val="center"/>
          </w:tcPr>
          <w:p>
            <w:pPr>
              <w:jc w:val="center"/>
            </w:pPr>
            <w:r>
              <w:rPr>
                <w:color w:val="000000"/>
                <w:sz w:val="24"/>
              </w:rPr>
              <w:t>23.26%</w:t>
            </w:r>
          </w:p>
        </w:tc>
        <w:tc>
          <w:tcPr>
            <w:vAlign w:val="center"/>
          </w:tcPr>
          <w:p>
            <w:pPr>
              <w:jc w:val="center"/>
            </w:pPr>
            <w:r>
              <w:rPr>
                <w:color w:val="000000"/>
                <w:sz w:val="24"/>
              </w:rPr>
              <w:t>0.43%</w:t>
            </w:r>
          </w:p>
        </w:tc>
        <w:tc>
          <w:tcPr>
            <w:vAlign w:val="center"/>
          </w:tcPr>
          <w:p>
            <w:pPr>
              <w:jc w:val="center"/>
            </w:pPr>
            <w:r>
              <w:rPr>
                <w:color w:val="000000"/>
                <w:sz w:val="24"/>
              </w:rPr>
              <w:t>15.57%</w:t>
            </w:r>
          </w:p>
        </w:tc>
        <w:tc>
          <w:tcPr>
            <w:vAlign w:val="center"/>
          </w:tcPr>
          <w:p>
            <w:pPr>
              <w:jc w:val="center"/>
            </w:pPr>
            <w:r>
              <w:rPr>
                <w:color w:val="000000"/>
                <w:sz w:val="24"/>
              </w:rPr>
              <w:t>0.30%</w:t>
            </w:r>
          </w:p>
        </w:tc>
        <w:tc>
          <w:tcPr>
            <w:vAlign w:val="center"/>
          </w:tcPr>
          <w:p>
            <w:pPr>
              <w:jc w:val="center"/>
            </w:pPr>
            <w:r>
              <w:rPr>
                <w:color w:val="000000"/>
                <w:sz w:val="24"/>
              </w:rPr>
              <w:t>7.69%</w:t>
            </w:r>
          </w:p>
        </w:tc>
        <w:tc>
          <w:tcPr>
            <w:vAlign w:val="center"/>
          </w:tcPr>
          <w:p>
            <w:pPr>
              <w:jc w:val="center"/>
            </w:pPr>
            <w:r>
              <w:rPr>
                <w:color w:val="000000"/>
                <w:sz w:val="24"/>
              </w:rPr>
              <w:t>0.13%</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24.49%</w:t>
            </w:r>
          </w:p>
        </w:tc>
        <w:tc>
          <w:tcPr>
            <w:vAlign w:val="center"/>
          </w:tcPr>
          <w:p>
            <w:pPr>
              <w:jc w:val="center"/>
            </w:pPr>
            <w:r>
              <w:rPr>
                <w:color w:val="000000"/>
                <w:sz w:val="24"/>
              </w:rPr>
              <w:t>0.42%</w:t>
            </w:r>
          </w:p>
        </w:tc>
        <w:tc>
          <w:tcPr>
            <w:vAlign w:val="center"/>
          </w:tcPr>
          <w:p>
            <w:pPr>
              <w:jc w:val="center"/>
            </w:pPr>
            <w:r>
              <w:rPr>
                <w:color w:val="000000"/>
                <w:sz w:val="24"/>
              </w:rPr>
              <w:t>19.33%</w:t>
            </w:r>
          </w:p>
        </w:tc>
        <w:tc>
          <w:tcPr>
            <w:vAlign w:val="center"/>
          </w:tcPr>
          <w:p>
            <w:pPr>
              <w:jc w:val="center"/>
            </w:pPr>
            <w:r>
              <w:rPr>
                <w:color w:val="000000"/>
                <w:sz w:val="24"/>
              </w:rPr>
              <w:t>0.30%</w:t>
            </w:r>
          </w:p>
        </w:tc>
        <w:tc>
          <w:tcPr>
            <w:vAlign w:val="center"/>
          </w:tcPr>
          <w:p>
            <w:pPr>
              <w:jc w:val="center"/>
            </w:pPr>
            <w:r>
              <w:rPr>
                <w:color w:val="000000"/>
                <w:sz w:val="24"/>
              </w:rPr>
              <w:t>5.16%</w:t>
            </w:r>
          </w:p>
        </w:tc>
        <w:tc>
          <w:tcPr>
            <w:vAlign w:val="center"/>
          </w:tcPr>
          <w:p>
            <w:pPr>
              <w:jc w:val="center"/>
            </w:pPr>
            <w:r>
              <w:rPr>
                <w:color w:val="000000"/>
                <w:sz w:val="24"/>
              </w:rPr>
              <w:t>0.12%</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易方达瑞富混合E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1.51%</w:t>
            </w:r>
          </w:p>
        </w:tc>
        <w:tc>
          <w:tcPr>
            <w:vAlign w:val="center"/>
          </w:tcPr>
          <w:p>
            <w:pPr>
              <w:jc w:val="center"/>
            </w:pPr>
            <w:r>
              <w:rPr>
                <w:color w:val="000000"/>
                <w:sz w:val="24"/>
              </w:rPr>
              <w:t>0.28%</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-1.56%</w:t>
            </w:r>
          </w:p>
        </w:tc>
        <w:tc>
          <w:tcPr>
            <w:vAlign w:val="center"/>
          </w:tcPr>
          <w:p>
            <w:pPr>
              <w:jc w:val="center"/>
            </w:pPr>
            <w:r>
              <w:rPr>
                <w:color w:val="000000"/>
                <w:sz w:val="24"/>
              </w:rPr>
              <w:t>0.04%</w:t>
            </w:r>
          </w:p>
        </w:tc>
      </w:tr>
      <w:tr>
        <w:tc>
          <w:tcPr>
            <w:vAlign w:val="center"/>
          </w:tcPr>
          <w:p>
            <w:pPr>
              <w:jc w:val="left"/>
            </w:pPr>
            <w:r>
              <w:rPr>
                <w:color w:val="000000"/>
                <w:sz w:val="24"/>
              </w:rPr>
              <w:t>过去六个月</w:t>
            </w:r>
          </w:p>
        </w:tc>
        <w:tc>
          <w:tcPr>
            <w:vAlign w:val="center"/>
          </w:tcPr>
          <w:p>
            <w:pPr>
              <w:jc w:val="center"/>
            </w:pPr>
            <w:r>
              <w:rPr>
                <w:color w:val="000000"/>
                <w:sz w:val="24"/>
              </w:rPr>
              <w:t>1.42%</w:t>
            </w:r>
          </w:p>
        </w:tc>
        <w:tc>
          <w:tcPr>
            <w:vAlign w:val="center"/>
          </w:tcPr>
          <w:p>
            <w:pPr>
              <w:jc w:val="center"/>
            </w:pPr>
            <w:r>
              <w:rPr>
                <w:color w:val="000000"/>
                <w:sz w:val="24"/>
              </w:rPr>
              <w:t>0.53%</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-0.74%</w:t>
            </w:r>
          </w:p>
        </w:tc>
        <w:tc>
          <w:tcPr>
            <w:vAlign w:val="center"/>
          </w:tcPr>
          <w:p>
            <w:pPr>
              <w:jc w:val="center"/>
            </w:pPr>
            <w:r>
              <w:rPr>
                <w:color w:val="000000"/>
                <w:sz w:val="24"/>
              </w:rPr>
              <w:t>0.17%</w:t>
            </w:r>
          </w:p>
        </w:tc>
      </w:tr>
      <w:tr>
        <w:tc>
          <w:tcPr>
            <w:vAlign w:val="center"/>
          </w:tcPr>
          <w:p>
            <w:pPr>
              <w:jc w:val="left"/>
            </w:pPr>
            <w:r>
              <w:rPr>
                <w:color w:val="000000"/>
                <w:sz w:val="24"/>
              </w:rPr>
              <w:t>过去一年</w:t>
            </w:r>
          </w:p>
        </w:tc>
        <w:tc>
          <w:tcPr>
            <w:vAlign w:val="center"/>
          </w:tcPr>
          <w:p>
            <w:pPr>
              <w:jc w:val="center"/>
            </w:pPr>
            <w:r>
              <w:rPr>
                <w:color w:val="000000"/>
                <w:sz w:val="24"/>
              </w:rPr>
              <w:t>10.03%</w:t>
            </w:r>
          </w:p>
        </w:tc>
        <w:tc>
          <w:tcPr>
            <w:vAlign w:val="center"/>
          </w:tcPr>
          <w:p>
            <w:pPr>
              <w:jc w:val="center"/>
            </w:pPr>
            <w:r>
              <w:rPr>
                <w:color w:val="000000"/>
                <w:sz w:val="24"/>
              </w:rPr>
              <w:t>0.41%</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3.98%</w:t>
            </w:r>
          </w:p>
        </w:tc>
        <w:tc>
          <w:tcPr>
            <w:vAlign w:val="center"/>
          </w:tcPr>
          <w:p>
            <w:pPr>
              <w:jc w:val="center"/>
            </w:pPr>
            <w:r>
              <w:rPr>
                <w:color w:val="000000"/>
                <w:sz w:val="24"/>
              </w:rPr>
              <w:t>0.12%</w:t>
            </w:r>
          </w:p>
        </w:tc>
      </w:tr>
      <w:tr>
        <w:tc>
          <w:tcPr>
            <w:vAlign w:val="center"/>
          </w:tcPr>
          <w:p>
            <w:pPr>
              <w:jc w:val="left"/>
            </w:pPr>
            <w:r>
              <w:rPr>
                <w:color w:val="000000"/>
                <w:sz w:val="24"/>
              </w:rPr>
              <w:t>过去三年</w:t>
            </w:r>
          </w:p>
        </w:tc>
        <w:tc>
          <w:tcPr>
            <w:vAlign w:val="center"/>
          </w:tcPr>
          <w:p>
            <w:pPr>
              <w:jc w:val="center"/>
            </w:pPr>
            <w:r>
              <w:rPr>
                <w:color w:val="000000"/>
                <w:sz w:val="24"/>
              </w:rPr>
              <w:t>23.13%</w:t>
            </w:r>
          </w:p>
        </w:tc>
        <w:tc>
          <w:tcPr>
            <w:vAlign w:val="center"/>
          </w:tcPr>
          <w:p>
            <w:pPr>
              <w:jc w:val="center"/>
            </w:pPr>
            <w:r>
              <w:rPr>
                <w:color w:val="000000"/>
                <w:sz w:val="24"/>
              </w:rPr>
              <w:t>0.43%</w:t>
            </w:r>
          </w:p>
        </w:tc>
        <w:tc>
          <w:tcPr>
            <w:vAlign w:val="center"/>
          </w:tcPr>
          <w:p>
            <w:pPr>
              <w:jc w:val="center"/>
            </w:pPr>
            <w:r>
              <w:rPr>
                <w:color w:val="000000"/>
                <w:sz w:val="24"/>
              </w:rPr>
              <w:t>15.57%</w:t>
            </w:r>
          </w:p>
        </w:tc>
        <w:tc>
          <w:tcPr>
            <w:vAlign w:val="center"/>
          </w:tcPr>
          <w:p>
            <w:pPr>
              <w:jc w:val="center"/>
            </w:pPr>
            <w:r>
              <w:rPr>
                <w:color w:val="000000"/>
                <w:sz w:val="24"/>
              </w:rPr>
              <w:t>0.30%</w:t>
            </w:r>
          </w:p>
        </w:tc>
        <w:tc>
          <w:tcPr>
            <w:vAlign w:val="center"/>
          </w:tcPr>
          <w:p>
            <w:pPr>
              <w:jc w:val="center"/>
            </w:pPr>
            <w:r>
              <w:rPr>
                <w:color w:val="000000"/>
                <w:sz w:val="24"/>
              </w:rPr>
              <w:t>7.56%</w:t>
            </w:r>
          </w:p>
        </w:tc>
        <w:tc>
          <w:tcPr>
            <w:vAlign w:val="center"/>
          </w:tcPr>
          <w:p>
            <w:pPr>
              <w:jc w:val="center"/>
            </w:pPr>
            <w:r>
              <w:rPr>
                <w:color w:val="000000"/>
                <w:sz w:val="24"/>
              </w:rPr>
              <w:t>0.13%</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24.37%</w:t>
            </w:r>
          </w:p>
        </w:tc>
        <w:tc>
          <w:tcPr>
            <w:vAlign w:val="center"/>
          </w:tcPr>
          <w:p>
            <w:pPr>
              <w:jc w:val="center"/>
            </w:pPr>
            <w:r>
              <w:rPr>
                <w:color w:val="000000"/>
                <w:sz w:val="24"/>
              </w:rPr>
              <w:t>0.42%</w:t>
            </w:r>
          </w:p>
        </w:tc>
        <w:tc>
          <w:tcPr>
            <w:vAlign w:val="center"/>
          </w:tcPr>
          <w:p>
            <w:pPr>
              <w:jc w:val="center"/>
            </w:pPr>
            <w:r>
              <w:rPr>
                <w:color w:val="000000"/>
                <w:sz w:val="24"/>
              </w:rPr>
              <w:t>19.33%</w:t>
            </w:r>
          </w:p>
        </w:tc>
        <w:tc>
          <w:tcPr>
            <w:vAlign w:val="center"/>
          </w:tcPr>
          <w:p>
            <w:pPr>
              <w:jc w:val="center"/>
            </w:pPr>
            <w:r>
              <w:rPr>
                <w:color w:val="000000"/>
                <w:sz w:val="24"/>
              </w:rPr>
              <w:t>0.30%</w:t>
            </w:r>
          </w:p>
        </w:tc>
        <w:tc>
          <w:tcPr>
            <w:vAlign w:val="center"/>
          </w:tcPr>
          <w:p>
            <w:pPr>
              <w:jc w:val="center"/>
            </w:pPr>
            <w:r>
              <w:rPr>
                <w:color w:val="000000"/>
                <w:sz w:val="24"/>
              </w:rPr>
              <w:t>5.04%</w:t>
            </w:r>
          </w:p>
        </w:tc>
        <w:tc>
          <w:tcPr>
            <w:vAlign w:val="center"/>
          </w:tcPr>
          <w:p>
            <w:pPr>
              <w:jc w:val="center"/>
            </w:pPr>
            <w:r>
              <w:rPr>
                <w:color w:val="000000"/>
                <w:sz w:val="24"/>
              </w:rPr>
              <w:t>0.12%</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易方达瑞富灵活配置混合型证券投资基金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（2017年5月12日至2020年6月30日）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易方达瑞富混合I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易方达瑞富混合E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注：自基金合同生效至报告期末，I类基金份额净值增长率为24.49%，E类基金份额净值增长率为24.37%，同期业绩比较基准收益率为19.33%。</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2017年03月24日至2020年06月08日）、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7-10年期国开行债券指数证券投资基金的基金经理、易方达中债3-5年期国债指数证券投资基金的基金经理、固定收益研究部总经理、固定收益投资部总经理</w:t>
            </w:r>
          </w:p>
        </w:tc>
        <w:tc>
          <w:tcPr>
            <w:vAlign w:val="center"/>
          </w:tcPr>
          <w:p>
            <w:pPr>
              <w:jc w:val="center"/>
            </w:pPr>
            <w:r>
              <w:rPr>
                <w:color w:val="000000"/>
                <w:sz w:val="24"/>
              </w:rPr>
              <w:t>2017-05-12</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pPr>
        <w:spacing w:line="360" w:lineRule="auto"/>
        <w:ind w:firstLine="480" w:firstLineChars="200"/>
        <w:rPr>
          <w:color w:val="000000"/>
          <w:sz w:val="24"/>
        </w:rPr>
      </w:pPr>
      <w:r>
        <w:rPr>
          <w:color w:val="000000"/>
          <w:sz w:val="24"/>
        </w:rPr>
        <w:t>与债券市场走势相异，在投资者对于经济修复预期提升的背景下，二季度权益市场震荡走高，沪深300指数上涨12.96%。</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操作上，组合债券久期处于中性水平，以获取持有期收益为主要投资策略。权益部分持仓以盈利基本面较好的价值型股票为主。</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截至报告期末，本基金I类基金份额净值为1.147元，本报告期份额净值增长率为1.59%，同期业绩比较基准收益率为3.07%；E类基金份额净值为1.146元，本报告期份额净值增长率为1.51%，同期业绩比较基准收益率为3.07%。</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72,069,246.26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18.17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72,069,246.26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18.17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307,524,617.14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77.52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297,576,617.14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75.02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9,948,000.00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2.51</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4,066,472.64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1.03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13,022,377.67</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396,682,713.71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726,180.00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0.24</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29,630,890.71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9.94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368,230.32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0.12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3,294,987.00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14,729,905.30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4.94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90,336.37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19,814,304.41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6.65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3,229,810.00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184,602.15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0.06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72,069,246.26</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24.17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1.88</w:t>
            </w:r>
          </w:p>
        </w:tc>
      </w:tr>
      <w:tr>
        <w:tc>
          <w:tcPr>
            <w:vAlign w:val="center"/>
          </w:tcPr>
          <w:p>
            <w:pPr>
              <w:jc w:val="center"/>
            </w:pPr>
            <w:r>
              <w:rPr>
                <w:color w:val="000000"/>
                <w:sz w:val="24"/>
              </w:rPr>
              <w:t>2</w:t>
            </w:r>
          </w:p>
        </w:tc>
        <w:tc>
          <w:tcPr>
            <w:vAlign w:val="center"/>
          </w:tcPr>
          <w:p>
            <w:pPr>
              <w:jc w:val="center"/>
            </w:pPr>
            <w:r>
              <w:rPr>
                <w:color w:val="000000"/>
                <w:sz w:val="24"/>
              </w:rPr>
              <w:t>600009</w:t>
            </w:r>
          </w:p>
        </w:tc>
        <w:tc>
          <w:tcPr>
            <w:vAlign w:val="center"/>
          </w:tcPr>
          <w:p>
            <w:pPr>
              <w:jc w:val="center"/>
            </w:pPr>
            <w:r>
              <w:rPr>
                <w:color w:val="000000"/>
                <w:sz w:val="24"/>
              </w:rPr>
              <w:t>上海机场</w:t>
            </w:r>
          </w:p>
        </w:tc>
        <w:tc>
          <w:tcPr>
            <w:vAlign w:val="center"/>
          </w:tcPr>
          <w:p>
            <w:pPr>
              <w:jc w:val="right"/>
            </w:pPr>
            <w:r>
              <w:rPr>
                <w:color w:val="000000"/>
                <w:sz w:val="24"/>
              </w:rPr>
              <w:t>76,100</w:t>
            </w:r>
          </w:p>
        </w:tc>
        <w:tc>
          <w:tcPr>
            <w:vAlign w:val="center"/>
          </w:tcPr>
          <w:p>
            <w:pPr>
              <w:jc w:val="right"/>
            </w:pPr>
            <w:r>
              <w:rPr>
                <w:color w:val="000000"/>
                <w:sz w:val="24"/>
              </w:rPr>
              <w:t>5,484,527.00</w:t>
            </w:r>
          </w:p>
        </w:tc>
        <w:tc>
          <w:tcPr>
            <w:vAlign w:val="center"/>
          </w:tcPr>
          <w:p>
            <w:pPr>
              <w:jc w:val="right"/>
            </w:pPr>
            <w:r>
              <w:rPr>
                <w:color w:val="000000"/>
                <w:sz w:val="24"/>
              </w:rPr>
              <w:t>1.84</w:t>
            </w:r>
          </w:p>
        </w:tc>
      </w:tr>
      <w:tr>
        <w:tc>
          <w:tcPr>
            <w:vAlign w:val="center"/>
          </w:tcPr>
          <w:p>
            <w:pPr>
              <w:jc w:val="center"/>
            </w:pPr>
            <w:r>
              <w:rPr>
                <w:color w:val="000000"/>
                <w:sz w:val="24"/>
              </w:rPr>
              <w:t>3</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91,400</w:t>
            </w:r>
          </w:p>
        </w:tc>
        <w:tc>
          <w:tcPr>
            <w:vAlign w:val="center"/>
          </w:tcPr>
          <w:p>
            <w:pPr>
              <w:jc w:val="right"/>
            </w:pPr>
            <w:r>
              <w:rPr>
                <w:color w:val="000000"/>
                <w:sz w:val="24"/>
              </w:rPr>
              <w:t>4,835,974.00</w:t>
            </w:r>
          </w:p>
        </w:tc>
        <w:tc>
          <w:tcPr>
            <w:vAlign w:val="center"/>
          </w:tcPr>
          <w:p>
            <w:pPr>
              <w:jc w:val="right"/>
            </w:pPr>
            <w:r>
              <w:rPr>
                <w:color w:val="000000"/>
                <w:sz w:val="24"/>
              </w:rPr>
              <w:t>1.62</w:t>
            </w:r>
          </w:p>
        </w:tc>
      </w:tr>
      <w:tr>
        <w:tc>
          <w:tcPr>
            <w:vAlign w:val="center"/>
          </w:tcPr>
          <w:p>
            <w:pPr>
              <w:jc w:val="center"/>
            </w:pPr>
            <w:r>
              <w:rPr>
                <w:color w:val="000000"/>
                <w:sz w:val="24"/>
              </w:rPr>
              <w:t>4</w:t>
            </w:r>
          </w:p>
        </w:tc>
        <w:tc>
          <w:tcPr>
            <w:vAlign w:val="center"/>
          </w:tcPr>
          <w:p>
            <w:pPr>
              <w:jc w:val="center"/>
            </w:pPr>
            <w:r>
              <w:rPr>
                <w:color w:val="000000"/>
                <w:sz w:val="24"/>
              </w:rPr>
              <w:t>600036</w:t>
            </w:r>
          </w:p>
        </w:tc>
        <w:tc>
          <w:tcPr>
            <w:vAlign w:val="center"/>
          </w:tcPr>
          <w:p>
            <w:pPr>
              <w:jc w:val="center"/>
            </w:pPr>
            <w:r>
              <w:rPr>
                <w:color w:val="000000"/>
                <w:sz w:val="24"/>
              </w:rPr>
              <w:t>招商银行</w:t>
            </w:r>
          </w:p>
        </w:tc>
        <w:tc>
          <w:tcPr>
            <w:vAlign w:val="center"/>
          </w:tcPr>
          <w:p>
            <w:pPr>
              <w:jc w:val="right"/>
            </w:pPr>
            <w:r>
              <w:rPr>
                <w:color w:val="000000"/>
                <w:sz w:val="24"/>
              </w:rPr>
              <w:t>143,000</w:t>
            </w:r>
          </w:p>
        </w:tc>
        <w:tc>
          <w:tcPr>
            <w:vAlign w:val="center"/>
          </w:tcPr>
          <w:p>
            <w:pPr>
              <w:jc w:val="right"/>
            </w:pPr>
            <w:r>
              <w:rPr>
                <w:color w:val="000000"/>
                <w:sz w:val="24"/>
              </w:rPr>
              <w:t>4,821,960.00</w:t>
            </w:r>
          </w:p>
        </w:tc>
        <w:tc>
          <w:tcPr>
            <w:vAlign w:val="center"/>
          </w:tcPr>
          <w:p>
            <w:pPr>
              <w:jc w:val="right"/>
            </w:pPr>
            <w:r>
              <w:rPr>
                <w:color w:val="000000"/>
                <w:sz w:val="24"/>
              </w:rPr>
              <w:t>1.62</w:t>
            </w:r>
          </w:p>
        </w:tc>
      </w:tr>
      <w:tr>
        <w:tc>
          <w:tcPr>
            <w:vAlign w:val="center"/>
          </w:tcPr>
          <w:p>
            <w:pPr>
              <w:jc w:val="center"/>
            </w:pPr>
            <w:r>
              <w:rPr>
                <w:color w:val="000000"/>
                <w:sz w:val="24"/>
              </w:rPr>
              <w:t>5</w:t>
            </w:r>
          </w:p>
        </w:tc>
        <w:tc>
          <w:tcPr>
            <w:vAlign w:val="center"/>
          </w:tcPr>
          <w:p>
            <w:pPr>
              <w:jc w:val="center"/>
            </w:pPr>
            <w:r>
              <w:rPr>
                <w:color w:val="000000"/>
                <w:sz w:val="24"/>
              </w:rPr>
              <w:t>601398</w:t>
            </w:r>
          </w:p>
        </w:tc>
        <w:tc>
          <w:tcPr>
            <w:vAlign w:val="center"/>
          </w:tcPr>
          <w:p>
            <w:pPr>
              <w:jc w:val="center"/>
            </w:pPr>
            <w:r>
              <w:rPr>
                <w:color w:val="000000"/>
                <w:sz w:val="24"/>
              </w:rPr>
              <w:t>工商银行</w:t>
            </w:r>
          </w:p>
        </w:tc>
        <w:tc>
          <w:tcPr>
            <w:vAlign w:val="center"/>
          </w:tcPr>
          <w:p>
            <w:pPr>
              <w:jc w:val="right"/>
            </w:pPr>
            <w:r>
              <w:rPr>
                <w:color w:val="000000"/>
                <w:sz w:val="24"/>
              </w:rPr>
              <w:t>872,445</w:t>
            </w:r>
          </w:p>
        </w:tc>
        <w:tc>
          <w:tcPr>
            <w:vAlign w:val="center"/>
          </w:tcPr>
          <w:p>
            <w:pPr>
              <w:jc w:val="right"/>
            </w:pPr>
            <w:r>
              <w:rPr>
                <w:color w:val="000000"/>
                <w:sz w:val="24"/>
              </w:rPr>
              <w:t>4,344,776.10</w:t>
            </w:r>
          </w:p>
        </w:tc>
        <w:tc>
          <w:tcPr>
            <w:vAlign w:val="center"/>
          </w:tcPr>
          <w:p>
            <w:pPr>
              <w:jc w:val="right"/>
            </w:pPr>
            <w:r>
              <w:rPr>
                <w:color w:val="000000"/>
                <w:sz w:val="24"/>
              </w:rPr>
              <w:t>1.46</w:t>
            </w:r>
          </w:p>
        </w:tc>
      </w:tr>
      <w:tr>
        <w:tc>
          <w:tcPr>
            <w:vAlign w:val="center"/>
          </w:tcPr>
          <w:p>
            <w:pPr>
              <w:jc w:val="center"/>
            </w:pPr>
            <w:r>
              <w:rPr>
                <w:color w:val="000000"/>
                <w:sz w:val="24"/>
              </w:rPr>
              <w:t>6</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104,691</w:t>
            </w:r>
          </w:p>
        </w:tc>
        <w:tc>
          <w:tcPr>
            <w:vAlign w:val="center"/>
          </w:tcPr>
          <w:p>
            <w:pPr>
              <w:jc w:val="right"/>
            </w:pPr>
            <w:r>
              <w:rPr>
                <w:color w:val="000000"/>
                <w:sz w:val="24"/>
              </w:rPr>
              <w:t>4,264,064.43</w:t>
            </w:r>
          </w:p>
        </w:tc>
        <w:tc>
          <w:tcPr>
            <w:vAlign w:val="center"/>
          </w:tcPr>
          <w:p>
            <w:pPr>
              <w:jc w:val="right"/>
            </w:pPr>
            <w:r>
              <w:rPr>
                <w:color w:val="000000"/>
                <w:sz w:val="24"/>
              </w:rPr>
              <w:t>1.43</w:t>
            </w:r>
          </w:p>
        </w:tc>
      </w:tr>
      <w:tr>
        <w:tc>
          <w:tcPr>
            <w:vAlign w:val="center"/>
          </w:tcPr>
          <w:p>
            <w:pPr>
              <w:jc w:val="center"/>
            </w:pPr>
            <w:r>
              <w:rPr>
                <w:color w:val="000000"/>
                <w:sz w:val="24"/>
              </w:rPr>
              <w:t>7</w:t>
            </w:r>
          </w:p>
        </w:tc>
        <w:tc>
          <w:tcPr>
            <w:vAlign w:val="center"/>
          </w:tcPr>
          <w:p>
            <w:pPr>
              <w:jc w:val="center"/>
            </w:pPr>
            <w:r>
              <w:rPr>
                <w:color w:val="000000"/>
                <w:sz w:val="24"/>
              </w:rPr>
              <w:t>601318</w:t>
            </w:r>
          </w:p>
        </w:tc>
        <w:tc>
          <w:tcPr>
            <w:vAlign w:val="center"/>
          </w:tcPr>
          <w:p>
            <w:pPr>
              <w:jc w:val="center"/>
            </w:pPr>
            <w:r>
              <w:rPr>
                <w:color w:val="000000"/>
                <w:sz w:val="24"/>
              </w:rPr>
              <w:t>中国平安</w:t>
            </w:r>
          </w:p>
        </w:tc>
        <w:tc>
          <w:tcPr>
            <w:vAlign w:val="center"/>
          </w:tcPr>
          <w:p>
            <w:pPr>
              <w:jc w:val="right"/>
            </w:pPr>
            <w:r>
              <w:rPr>
                <w:color w:val="000000"/>
                <w:sz w:val="24"/>
              </w:rPr>
              <w:t>50,776</w:t>
            </w:r>
          </w:p>
        </w:tc>
        <w:tc>
          <w:tcPr>
            <w:vAlign w:val="center"/>
          </w:tcPr>
          <w:p>
            <w:pPr>
              <w:jc w:val="right"/>
            </w:pPr>
            <w:r>
              <w:rPr>
                <w:color w:val="000000"/>
                <w:sz w:val="24"/>
              </w:rPr>
              <w:t>3,625,406.40</w:t>
            </w:r>
          </w:p>
        </w:tc>
        <w:tc>
          <w:tcPr>
            <w:vAlign w:val="center"/>
          </w:tcPr>
          <w:p>
            <w:pPr>
              <w:jc w:val="right"/>
            </w:pPr>
            <w:r>
              <w:rPr>
                <w:color w:val="000000"/>
                <w:sz w:val="24"/>
              </w:rPr>
              <w:t>1.22</w:t>
            </w:r>
          </w:p>
        </w:tc>
      </w:tr>
      <w:tr>
        <w:tc>
          <w:tcPr>
            <w:vAlign w:val="center"/>
          </w:tcPr>
          <w:p>
            <w:pPr>
              <w:jc w:val="center"/>
            </w:pPr>
            <w:r>
              <w:rPr>
                <w:color w:val="000000"/>
                <w:sz w:val="24"/>
              </w:rPr>
              <w:t>8</w:t>
            </w:r>
          </w:p>
        </w:tc>
        <w:tc>
          <w:tcPr>
            <w:vAlign w:val="center"/>
          </w:tcPr>
          <w:p>
            <w:pPr>
              <w:jc w:val="center"/>
            </w:pPr>
            <w:r>
              <w:rPr>
                <w:color w:val="000000"/>
                <w:sz w:val="24"/>
              </w:rPr>
              <w:t>601117</w:t>
            </w:r>
          </w:p>
        </w:tc>
        <w:tc>
          <w:tcPr>
            <w:vAlign w:val="center"/>
          </w:tcPr>
          <w:p>
            <w:pPr>
              <w:jc w:val="center"/>
            </w:pPr>
            <w:r>
              <w:rPr>
                <w:color w:val="000000"/>
                <w:sz w:val="24"/>
              </w:rPr>
              <w:t>中国化学</w:t>
            </w:r>
          </w:p>
        </w:tc>
        <w:tc>
          <w:tcPr>
            <w:vAlign w:val="center"/>
          </w:tcPr>
          <w:p>
            <w:pPr>
              <w:jc w:val="right"/>
            </w:pPr>
            <w:r>
              <w:rPr>
                <w:color w:val="000000"/>
                <w:sz w:val="24"/>
              </w:rPr>
              <w:t>601,275</w:t>
            </w:r>
          </w:p>
        </w:tc>
        <w:tc>
          <w:tcPr>
            <w:vAlign w:val="center"/>
          </w:tcPr>
          <w:p>
            <w:pPr>
              <w:jc w:val="right"/>
            </w:pPr>
            <w:r>
              <w:rPr>
                <w:color w:val="000000"/>
                <w:sz w:val="24"/>
              </w:rPr>
              <w:t>3,294,987.00</w:t>
            </w:r>
          </w:p>
        </w:tc>
        <w:tc>
          <w:tcPr>
            <w:vAlign w:val="center"/>
          </w:tcPr>
          <w:p>
            <w:pPr>
              <w:jc w:val="right"/>
            </w:pPr>
            <w:r>
              <w:rPr>
                <w:color w:val="000000"/>
                <w:sz w:val="24"/>
              </w:rPr>
              <w:t>1.11</w:t>
            </w:r>
          </w:p>
        </w:tc>
      </w:tr>
      <w:tr>
        <w:tc>
          <w:tcPr>
            <w:vAlign w:val="center"/>
          </w:tcPr>
          <w:p>
            <w:pPr>
              <w:jc w:val="center"/>
            </w:pPr>
            <w:r>
              <w:rPr>
                <w:color w:val="000000"/>
                <w:sz w:val="24"/>
              </w:rPr>
              <w:t>9</w:t>
            </w:r>
          </w:p>
        </w:tc>
        <w:tc>
          <w:tcPr>
            <w:vAlign w:val="center"/>
          </w:tcPr>
          <w:p>
            <w:pPr>
              <w:jc w:val="center"/>
            </w:pPr>
            <w:r>
              <w:rPr>
                <w:color w:val="000000"/>
                <w:sz w:val="24"/>
              </w:rPr>
              <w:t>600703</w:t>
            </w:r>
          </w:p>
        </w:tc>
        <w:tc>
          <w:tcPr>
            <w:vAlign w:val="center"/>
          </w:tcPr>
          <w:p>
            <w:pPr>
              <w:jc w:val="center"/>
            </w:pPr>
            <w:r>
              <w:rPr>
                <w:color w:val="000000"/>
                <w:sz w:val="24"/>
              </w:rPr>
              <w:t>三安光电</w:t>
            </w:r>
          </w:p>
        </w:tc>
        <w:tc>
          <w:tcPr>
            <w:vAlign w:val="center"/>
          </w:tcPr>
          <w:p>
            <w:pPr>
              <w:jc w:val="right"/>
            </w:pPr>
            <w:r>
              <w:rPr>
                <w:color w:val="000000"/>
                <w:sz w:val="24"/>
              </w:rPr>
              <w:t>126,800</w:t>
            </w:r>
          </w:p>
        </w:tc>
        <w:tc>
          <w:tcPr>
            <w:vAlign w:val="center"/>
          </w:tcPr>
          <w:p>
            <w:pPr>
              <w:jc w:val="right"/>
            </w:pPr>
            <w:r>
              <w:rPr>
                <w:color w:val="000000"/>
                <w:sz w:val="24"/>
              </w:rPr>
              <w:t>3,170,000.00</w:t>
            </w:r>
          </w:p>
        </w:tc>
        <w:tc>
          <w:tcPr>
            <w:vAlign w:val="center"/>
          </w:tcPr>
          <w:p>
            <w:pPr>
              <w:jc w:val="right"/>
            </w:pPr>
            <w:r>
              <w:rPr>
                <w:color w:val="000000"/>
                <w:sz w:val="24"/>
              </w:rPr>
              <w:t>1.06</w:t>
            </w:r>
          </w:p>
        </w:tc>
      </w:tr>
      <w:tr>
        <w:tc>
          <w:tcPr>
            <w:vAlign w:val="center"/>
          </w:tcPr>
          <w:p>
            <w:pPr>
              <w:jc w:val="center"/>
            </w:pPr>
            <w:r>
              <w:rPr>
                <w:color w:val="000000"/>
                <w:sz w:val="24"/>
              </w:rPr>
              <w:t>10</w:t>
            </w:r>
          </w:p>
        </w:tc>
        <w:tc>
          <w:tcPr>
            <w:vAlign w:val="center"/>
          </w:tcPr>
          <w:p>
            <w:pPr>
              <w:jc w:val="center"/>
            </w:pPr>
            <w:r>
              <w:rPr>
                <w:color w:val="000000"/>
                <w:sz w:val="24"/>
              </w:rPr>
              <w:t>601939</w:t>
            </w:r>
          </w:p>
        </w:tc>
        <w:tc>
          <w:tcPr>
            <w:vAlign w:val="center"/>
          </w:tcPr>
          <w:p>
            <w:pPr>
              <w:jc w:val="center"/>
            </w:pPr>
            <w:r>
              <w:rPr>
                <w:color w:val="000000"/>
                <w:sz w:val="24"/>
              </w:rPr>
              <w:t>建设银行</w:t>
            </w:r>
          </w:p>
        </w:tc>
        <w:tc>
          <w:tcPr>
            <w:vAlign w:val="center"/>
          </w:tcPr>
          <w:p>
            <w:pPr>
              <w:jc w:val="right"/>
            </w:pPr>
            <w:r>
              <w:rPr>
                <w:color w:val="000000"/>
                <w:sz w:val="24"/>
              </w:rPr>
              <w:t>473,094</w:t>
            </w:r>
          </w:p>
        </w:tc>
        <w:tc>
          <w:tcPr>
            <w:vAlign w:val="center"/>
          </w:tcPr>
          <w:p>
            <w:pPr>
              <w:jc w:val="right"/>
            </w:pPr>
            <w:r>
              <w:rPr>
                <w:color w:val="000000"/>
                <w:sz w:val="24"/>
              </w:rPr>
              <w:t>2,985,223.14</w:t>
            </w:r>
          </w:p>
        </w:tc>
        <w:tc>
          <w:tcPr>
            <w:vAlign w:val="center"/>
          </w:tcPr>
          <w:p>
            <w:pPr>
              <w:jc w:val="right"/>
            </w:pPr>
            <w:r>
              <w:rPr>
                <w:color w:val="000000"/>
                <w:sz w:val="24"/>
              </w:rPr>
              <w:t>1.00</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19,918,000.00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6.68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19,918,000.00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6.68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95,340,000.00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31.98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152,274,000.00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51.08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30,044,617.14</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10.08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297,576,617.14</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99.81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101800900</w:t>
            </w:r>
          </w:p>
        </w:tc>
        <w:tc>
          <w:tcPr>
            <w:vAlign w:val="center"/>
          </w:tcPr>
          <w:p>
            <w:pPr>
              <w:jc w:val="center"/>
            </w:pPr>
            <w:r>
              <w:rPr>
                <w:color w:val="000000"/>
                <w:sz w:val="24"/>
              </w:rPr>
              <w:t>18中建MTN002</w:t>
            </w:r>
          </w:p>
        </w:tc>
        <w:tc>
          <w:tcPr>
            <w:vAlign w:val="center"/>
          </w:tcPr>
          <w:p>
            <w:pPr>
              <w:jc w:val="right"/>
            </w:pPr>
            <w:r>
              <w:rPr>
                <w:color w:val="000000"/>
                <w:sz w:val="24"/>
              </w:rPr>
              <w:t>200,000</w:t>
            </w:r>
          </w:p>
        </w:tc>
        <w:tc>
          <w:tcPr>
            <w:vAlign w:val="center"/>
          </w:tcPr>
          <w:p>
            <w:pPr>
              <w:jc w:val="right"/>
            </w:pPr>
            <w:r>
              <w:rPr>
                <w:color w:val="000000"/>
                <w:sz w:val="24"/>
              </w:rPr>
              <w:t>20,996,000.00</w:t>
            </w:r>
          </w:p>
        </w:tc>
        <w:tc>
          <w:tcPr>
            <w:vAlign w:val="center"/>
          </w:tcPr>
          <w:p>
            <w:pPr>
              <w:jc w:val="right"/>
            </w:pPr>
            <w:r>
              <w:rPr>
                <w:color w:val="000000"/>
                <w:sz w:val="24"/>
              </w:rPr>
              <w:t>7.04</w:t>
            </w:r>
          </w:p>
        </w:tc>
      </w:tr>
      <w:tr>
        <w:tc>
          <w:tcPr>
            <w:vAlign w:val="center"/>
          </w:tcPr>
          <w:p>
            <w:pPr>
              <w:jc w:val="center"/>
            </w:pPr>
            <w:r>
              <w:rPr>
                <w:color w:val="000000"/>
                <w:sz w:val="24"/>
              </w:rPr>
              <w:t>2</w:t>
            </w:r>
          </w:p>
        </w:tc>
        <w:tc>
          <w:tcPr>
            <w:vAlign w:val="center"/>
          </w:tcPr>
          <w:p>
            <w:pPr>
              <w:jc w:val="center"/>
            </w:pPr>
            <w:r>
              <w:rPr>
                <w:color w:val="000000"/>
                <w:sz w:val="24"/>
              </w:rPr>
              <w:t>155032</w:t>
            </w:r>
          </w:p>
        </w:tc>
        <w:tc>
          <w:tcPr>
            <w:vAlign w:val="center"/>
          </w:tcPr>
          <w:p>
            <w:pPr>
              <w:jc w:val="center"/>
            </w:pPr>
            <w:r>
              <w:rPr>
                <w:color w:val="000000"/>
                <w:sz w:val="24"/>
              </w:rPr>
              <w:t>18中铝03</w:t>
            </w:r>
          </w:p>
        </w:tc>
        <w:tc>
          <w:tcPr>
            <w:vAlign w:val="center"/>
          </w:tcPr>
          <w:p>
            <w:pPr>
              <w:jc w:val="right"/>
            </w:pPr>
            <w:r>
              <w:rPr>
                <w:color w:val="000000"/>
                <w:sz w:val="24"/>
              </w:rPr>
              <w:t>200,000</w:t>
            </w:r>
          </w:p>
        </w:tc>
        <w:tc>
          <w:tcPr>
            <w:vAlign w:val="center"/>
          </w:tcPr>
          <w:p>
            <w:pPr>
              <w:jc w:val="right"/>
            </w:pPr>
            <w:r>
              <w:rPr>
                <w:color w:val="000000"/>
                <w:sz w:val="24"/>
              </w:rPr>
              <w:t>20,348,000.00</w:t>
            </w:r>
          </w:p>
        </w:tc>
        <w:tc>
          <w:tcPr>
            <w:vAlign w:val="center"/>
          </w:tcPr>
          <w:p>
            <w:pPr>
              <w:jc w:val="right"/>
            </w:pPr>
            <w:r>
              <w:rPr>
                <w:color w:val="000000"/>
                <w:sz w:val="24"/>
              </w:rPr>
              <w:t>6.83</w:t>
            </w:r>
          </w:p>
        </w:tc>
      </w:tr>
      <w:tr>
        <w:tc>
          <w:tcPr>
            <w:vAlign w:val="center"/>
          </w:tcPr>
          <w:p>
            <w:pPr>
              <w:jc w:val="center"/>
            </w:pPr>
            <w:r>
              <w:rPr>
                <w:color w:val="000000"/>
                <w:sz w:val="24"/>
              </w:rPr>
              <w:t>3</w:t>
            </w:r>
          </w:p>
        </w:tc>
        <w:tc>
          <w:tcPr>
            <w:vAlign w:val="center"/>
          </w:tcPr>
          <w:p>
            <w:pPr>
              <w:jc w:val="center"/>
            </w:pPr>
            <w:r>
              <w:rPr>
                <w:color w:val="000000"/>
                <w:sz w:val="24"/>
              </w:rPr>
              <w:t>200306</w:t>
            </w:r>
          </w:p>
        </w:tc>
        <w:tc>
          <w:tcPr>
            <w:vAlign w:val="center"/>
          </w:tcPr>
          <w:p>
            <w:pPr>
              <w:jc w:val="center"/>
            </w:pPr>
            <w:r>
              <w:rPr>
                <w:color w:val="000000"/>
                <w:sz w:val="24"/>
              </w:rPr>
              <w:t>20进出06</w:t>
            </w:r>
          </w:p>
        </w:tc>
        <w:tc>
          <w:tcPr>
            <w:vAlign w:val="center"/>
          </w:tcPr>
          <w:p>
            <w:pPr>
              <w:jc w:val="right"/>
            </w:pPr>
            <w:r>
              <w:rPr>
                <w:color w:val="000000"/>
                <w:sz w:val="24"/>
              </w:rPr>
              <w:t>200,000</w:t>
            </w:r>
          </w:p>
        </w:tc>
        <w:tc>
          <w:tcPr>
            <w:vAlign w:val="center"/>
          </w:tcPr>
          <w:p>
            <w:pPr>
              <w:jc w:val="right"/>
            </w:pPr>
            <w:r>
              <w:rPr>
                <w:color w:val="000000"/>
                <w:sz w:val="24"/>
              </w:rPr>
              <w:t>19,918,000.00</w:t>
            </w:r>
          </w:p>
        </w:tc>
        <w:tc>
          <w:tcPr>
            <w:vAlign w:val="center"/>
          </w:tcPr>
          <w:p>
            <w:pPr>
              <w:jc w:val="right"/>
            </w:pPr>
            <w:r>
              <w:rPr>
                <w:color w:val="000000"/>
                <w:sz w:val="24"/>
              </w:rPr>
              <w:t>6.68</w:t>
            </w:r>
          </w:p>
        </w:tc>
      </w:tr>
      <w:tr>
        <w:tc>
          <w:tcPr>
            <w:vAlign w:val="center"/>
          </w:tcPr>
          <w:p>
            <w:pPr>
              <w:jc w:val="center"/>
            </w:pPr>
            <w:r>
              <w:rPr>
                <w:color w:val="000000"/>
                <w:sz w:val="24"/>
              </w:rPr>
              <w:t>4</w:t>
            </w:r>
          </w:p>
        </w:tc>
        <w:tc>
          <w:tcPr>
            <w:vAlign w:val="center"/>
          </w:tcPr>
          <w:p>
            <w:pPr>
              <w:jc w:val="center"/>
            </w:pPr>
            <w:r>
              <w:rPr>
                <w:color w:val="000000"/>
                <w:sz w:val="24"/>
              </w:rPr>
              <w:t>102001094</w:t>
            </w:r>
          </w:p>
        </w:tc>
        <w:tc>
          <w:tcPr>
            <w:vAlign w:val="center"/>
          </w:tcPr>
          <w:p>
            <w:pPr>
              <w:jc w:val="center"/>
            </w:pPr>
            <w:r>
              <w:rPr>
                <w:color w:val="000000"/>
                <w:sz w:val="24"/>
              </w:rPr>
              <w:t>20中化工MTN010</w:t>
            </w:r>
          </w:p>
        </w:tc>
        <w:tc>
          <w:tcPr>
            <w:vAlign w:val="center"/>
          </w:tcPr>
          <w:p>
            <w:pPr>
              <w:jc w:val="right"/>
            </w:pPr>
            <w:r>
              <w:rPr>
                <w:color w:val="000000"/>
                <w:sz w:val="24"/>
              </w:rPr>
              <w:t>200,000</w:t>
            </w:r>
          </w:p>
        </w:tc>
        <w:tc>
          <w:tcPr>
            <w:vAlign w:val="center"/>
          </w:tcPr>
          <w:p>
            <w:pPr>
              <w:jc w:val="right"/>
            </w:pPr>
            <w:r>
              <w:rPr>
                <w:color w:val="000000"/>
                <w:sz w:val="24"/>
              </w:rPr>
              <w:t>19,770,000.00</w:t>
            </w:r>
          </w:p>
        </w:tc>
        <w:tc>
          <w:tcPr>
            <w:vAlign w:val="center"/>
          </w:tcPr>
          <w:p>
            <w:pPr>
              <w:jc w:val="right"/>
            </w:pPr>
            <w:r>
              <w:rPr>
                <w:color w:val="000000"/>
                <w:sz w:val="24"/>
              </w:rPr>
              <w:t>6.63</w:t>
            </w:r>
          </w:p>
        </w:tc>
      </w:tr>
      <w:tr>
        <w:tc>
          <w:tcPr>
            <w:vAlign w:val="center"/>
          </w:tcPr>
          <w:p>
            <w:pPr>
              <w:jc w:val="center"/>
            </w:pPr>
            <w:r>
              <w:rPr>
                <w:color w:val="000000"/>
                <w:sz w:val="24"/>
              </w:rPr>
              <w:t>5</w:t>
            </w:r>
          </w:p>
        </w:tc>
        <w:tc>
          <w:tcPr>
            <w:vAlign w:val="center"/>
          </w:tcPr>
          <w:p>
            <w:pPr>
              <w:jc w:val="center"/>
            </w:pPr>
            <w:r>
              <w:rPr>
                <w:color w:val="000000"/>
                <w:sz w:val="24"/>
              </w:rPr>
              <w:t>101800788</w:t>
            </w:r>
          </w:p>
        </w:tc>
        <w:tc>
          <w:tcPr>
            <w:vAlign w:val="center"/>
          </w:tcPr>
          <w:p>
            <w:pPr>
              <w:jc w:val="center"/>
            </w:pPr>
            <w:r>
              <w:rPr>
                <w:color w:val="000000"/>
                <w:sz w:val="24"/>
              </w:rPr>
              <w:t>18长发集团MTN001</w:t>
            </w:r>
          </w:p>
        </w:tc>
        <w:tc>
          <w:tcPr>
            <w:vAlign w:val="center"/>
          </w:tcPr>
          <w:p>
            <w:pPr>
              <w:jc w:val="right"/>
            </w:pPr>
            <w:r>
              <w:rPr>
                <w:color w:val="000000"/>
                <w:sz w:val="24"/>
              </w:rPr>
              <w:t>100,000</w:t>
            </w:r>
          </w:p>
        </w:tc>
        <w:tc>
          <w:tcPr>
            <w:vAlign w:val="center"/>
          </w:tcPr>
          <w:p>
            <w:pPr>
              <w:jc w:val="right"/>
            </w:pPr>
            <w:r>
              <w:rPr>
                <w:color w:val="000000"/>
                <w:sz w:val="24"/>
              </w:rPr>
              <w:t>10,707,000.00</w:t>
            </w:r>
          </w:p>
        </w:tc>
        <w:tc>
          <w:tcPr>
            <w:vAlign w:val="center"/>
          </w:tcPr>
          <w:p>
            <w:pPr>
              <w:jc w:val="right"/>
            </w:pPr>
            <w:r>
              <w:rPr>
                <w:color w:val="000000"/>
                <w:sz w:val="24"/>
              </w:rPr>
              <w:t>3.59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138752</w:t>
            </w:r>
          </w:p>
        </w:tc>
        <w:tc>
          <w:tcPr>
            <w:vAlign w:val="center"/>
          </w:tcPr>
          <w:p>
            <w:pPr>
              <w:jc w:val="center"/>
            </w:pPr>
            <w:r>
              <w:rPr>
                <w:color w:val="000000"/>
                <w:sz w:val="24"/>
              </w:rPr>
              <w:t>鹏举06优</w:t>
            </w:r>
          </w:p>
        </w:tc>
        <w:tc>
          <w:tcPr>
            <w:vAlign w:val="center"/>
          </w:tcPr>
          <w:p>
            <w:pPr>
              <w:jc w:val="right"/>
            </w:pPr>
            <w:r>
              <w:rPr>
                <w:color w:val="000000"/>
                <w:sz w:val="24"/>
              </w:rPr>
              <w:t>100,000</w:t>
            </w:r>
          </w:p>
        </w:tc>
        <w:tc>
          <w:tcPr>
            <w:vAlign w:val="center"/>
          </w:tcPr>
          <w:p>
            <w:pPr>
              <w:jc w:val="right"/>
            </w:pPr>
            <w:r>
              <w:rPr>
                <w:color w:val="000000"/>
                <w:sz w:val="24"/>
              </w:rPr>
              <w:t>9,948,000.00</w:t>
            </w:r>
          </w:p>
        </w:tc>
        <w:tc>
          <w:tcPr>
            <w:vAlign w:val="center"/>
          </w:tcPr>
          <w:p>
            <w:pPr>
              <w:jc w:val="right"/>
            </w:pPr>
            <w:r>
              <w:rPr>
                <w:color w:val="000000"/>
                <w:sz w:val="24"/>
              </w:rPr>
              <w:t>3.34</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widowControl/>
        <w:spacing w:line="360" w:lineRule="auto"/>
        <w:rPr>
          <w:color w:val="000000"/>
          <w:sz w:val="24"/>
        </w:rPr>
      </w:pPr>
      <w:r>
        <w:rPr>
          <w:color w:val="000000"/>
          <w:sz w:val="24"/>
        </w:rPr>
        <w:t>2019年9月16日，山西省应急管理厅对中国铝业股份有限公司兴县奥家湾铝矿的如下违法违规行为作出“责令限期改正，处人民币贰万元罚款”的行政处罚决定：1.1040中段6号下山封闭墙未悬挂管理标志牌；2.1号风机未设置安全警示标志；3.配电室警示标识设置在旋转门上不符合规范；4.1040通往采场的分岔口未设置安全警示标识。2019年9月16日，山西省应急管理厅对中国铝业股份有限公司兴县奥家湾铝矿的如下违法违规行为作出“责令限期改正，处人民币壹万元罚款”的行政处罚决定：Ⅱ号矿未按应急预案物资储备清单储备物资。2019年9月16日，山西省应急管理厅对中国铝业股份有限公司兴县奥家湾铝矿的如下违法违规行为作出“责令限期改正，处人民币贰万元罚款”的行政处罚决定：Ⅱ号矿1、1号风机房风门变形未及时维护，存在漏风隐患；2、1号风机房风门变形，有杂物堆放未及时维护，存在安全出口不畅；3、1040中段6号下山风管存在漏风隐患未及时维护；4、地表水泵房应急灯未接电没有及时维护。2020年4月18日，广西省平果市应急管理局对中国铝业股份有限公司广西分公司的如下违法违规行为罚款22万元：中国铝业广西分公司在“12.29”事故案中存在落实企业安全生产主体责任不到位的违法事实，一是未能健全岗位操作规程，提高安全生产水平，确保安全生产；二是未能有效吸取类似事故教训和未能针对性开展岗位安全教育培训防止类似事故不再发生；三是未加强安全生产管理，清障作业现场安全监管缺失。对事故的发生负有一定的管理责任。</w:t>
      </w:r>
    </w:p>
    <w:p>
      <w:pPr>
        <w:widowControl/>
        <w:spacing w:line="360" w:lineRule="auto"/>
        <w:rPr>
          <w:color w:val="000000"/>
          <w:sz w:val="24"/>
        </w:rPr>
      </w:pPr>
      <w:r>
        <w:rPr>
          <w:color w:val="000000"/>
          <w:sz w:val="24"/>
        </w:rPr>
        <w:t>2019年9月24日，广州市生态环境局对中国石油天然气股份有限公司广东广州销售分公司违反《中华人民共和国水污染防治法》第四十条第二款的行为作出“责令你单位下属广州销售分公司的金龙山加油南站限期一个月内完成地下油罐改造工作，罚款捌万元整”的行政处罚决定。2019年12月24日，吉林省德惠市环保局对中国石油天然气股份有限公司未依法履行职责的行为进行罚款。</w:t>
      </w:r>
    </w:p>
    <w:p>
      <w:pPr>
        <w:widowControl/>
        <w:spacing w:line="360" w:lineRule="auto"/>
        <w:rPr>
          <w:color w:val="000000"/>
          <w:sz w:val="24"/>
        </w:rPr>
      </w:pPr>
      <w:r>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本基金投资18中建MTN002、18中铝03、19中油股MTN005、18首钢MTN003的投资决策程序符合公司投资制度的规定。</w:t>
      </w:r>
    </w:p>
    <w:p>
      <w:pPr>
        <w:widowControl/>
        <w:spacing w:line="360" w:lineRule="auto"/>
        <w:rPr>
          <w:color w:val="000000"/>
          <w:sz w:val="24"/>
        </w:rPr>
      </w:pPr>
      <w:r>
        <w:rPr>
          <w:color w:val="000000"/>
          <w:sz w:val="24"/>
        </w:rPr>
        <w:t>除18中建MTN002、18中铝03、19中油股MTN005、18首钢MTN003外，本基金投资的前十名证券的发行主体本期没有出现被监管部门立案调查，或在报告编制日前一年内受到公开谴责、处罚的情形。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35,105.40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8,990,238.34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3,997,033.93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13,022,377.67</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132014</w:t>
            </w:r>
          </w:p>
        </w:tc>
        <w:tc>
          <w:tcPr>
            <w:vAlign w:val="center"/>
          </w:tcPr>
          <w:p>
            <w:pPr>
              <w:jc w:val="center"/>
            </w:pPr>
            <w:r>
              <w:rPr>
                <w:color w:val="000000"/>
                <w:sz w:val="24"/>
              </w:rPr>
              <w:t>18中化EB</w:t>
            </w:r>
          </w:p>
        </w:tc>
        <w:tc>
          <w:tcPr>
            <w:vAlign w:val="center"/>
          </w:tcPr>
          <w:p>
            <w:pPr>
              <w:jc w:val="right"/>
            </w:pPr>
            <w:r>
              <w:rPr>
                <w:color w:val="000000"/>
                <w:sz w:val="24"/>
              </w:rPr>
              <w:t>6,063,208.00</w:t>
            </w:r>
          </w:p>
        </w:tc>
        <w:tc>
          <w:tcPr>
            <w:vAlign w:val="center"/>
          </w:tcPr>
          <w:p>
            <w:pPr>
              <w:jc w:val="right"/>
            </w:pPr>
            <w:r>
              <w:rPr>
                <w:color w:val="000000"/>
                <w:sz w:val="24"/>
              </w:rPr>
              <w:t>2.03</w:t>
            </w:r>
          </w:p>
        </w:tc>
      </w:tr>
      <w:tr>
        <w:tc>
          <w:tcPr>
            <w:vAlign w:val="center"/>
          </w:tcPr>
          <w:p>
            <w:pPr>
              <w:jc w:val="center"/>
            </w:pPr>
            <w:r>
              <w:rPr>
                <w:color w:val="000000"/>
                <w:sz w:val="24"/>
              </w:rPr>
              <w:t>2</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3,763,980.00</w:t>
            </w:r>
          </w:p>
        </w:tc>
        <w:tc>
          <w:tcPr>
            <w:vAlign w:val="center"/>
          </w:tcPr>
          <w:p>
            <w:pPr>
              <w:jc w:val="right"/>
            </w:pPr>
            <w:r>
              <w:rPr>
                <w:color w:val="000000"/>
                <w:sz w:val="24"/>
              </w:rPr>
              <w:t>1.26</w:t>
            </w:r>
          </w:p>
        </w:tc>
      </w:tr>
      <w:tr>
        <w:tc>
          <w:tcPr>
            <w:vAlign w:val="center"/>
          </w:tcPr>
          <w:p>
            <w:pPr>
              <w:jc w:val="center"/>
            </w:pPr>
            <w:r>
              <w:rPr>
                <w:color w:val="000000"/>
                <w:sz w:val="24"/>
              </w:rPr>
              <w:t>3</w:t>
            </w:r>
          </w:p>
        </w:tc>
        <w:tc>
          <w:tcPr>
            <w:vAlign w:val="center"/>
          </w:tcPr>
          <w:p>
            <w:pPr>
              <w:jc w:val="center"/>
            </w:pPr>
            <w:r>
              <w:rPr>
                <w:color w:val="000000"/>
                <w:sz w:val="24"/>
              </w:rPr>
              <w:t>113014</w:t>
            </w:r>
          </w:p>
        </w:tc>
        <w:tc>
          <w:tcPr>
            <w:vAlign w:val="center"/>
          </w:tcPr>
          <w:p>
            <w:pPr>
              <w:jc w:val="center"/>
            </w:pPr>
            <w:r>
              <w:rPr>
                <w:color w:val="000000"/>
                <w:sz w:val="24"/>
              </w:rPr>
              <w:t>林洋转债</w:t>
            </w:r>
          </w:p>
        </w:tc>
        <w:tc>
          <w:tcPr>
            <w:vAlign w:val="center"/>
          </w:tcPr>
          <w:p>
            <w:pPr>
              <w:jc w:val="right"/>
            </w:pPr>
            <w:r>
              <w:rPr>
                <w:color w:val="000000"/>
                <w:sz w:val="24"/>
              </w:rPr>
              <w:t>3,554,448.70</w:t>
            </w:r>
          </w:p>
        </w:tc>
        <w:tc>
          <w:tcPr>
            <w:vAlign w:val="center"/>
          </w:tcPr>
          <w:p>
            <w:pPr>
              <w:jc w:val="right"/>
            </w:pPr>
            <w:r>
              <w:rPr>
                <w:color w:val="000000"/>
                <w:sz w:val="24"/>
              </w:rPr>
              <w:t>1.19</w:t>
            </w:r>
          </w:p>
        </w:tc>
      </w:tr>
      <w:tr>
        <w:tc>
          <w:tcPr>
            <w:vAlign w:val="center"/>
          </w:tcPr>
          <w:p>
            <w:pPr>
              <w:jc w:val="center"/>
            </w:pPr>
            <w:r>
              <w:rPr>
                <w:color w:val="000000"/>
                <w:sz w:val="24"/>
              </w:rPr>
              <w:t>4</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3,063,605.60</w:t>
            </w:r>
          </w:p>
        </w:tc>
        <w:tc>
          <w:tcPr>
            <w:vAlign w:val="center"/>
          </w:tcPr>
          <w:p>
            <w:pPr>
              <w:jc w:val="right"/>
            </w:pPr>
            <w:r>
              <w:rPr>
                <w:color w:val="000000"/>
                <w:sz w:val="24"/>
              </w:rPr>
              <w:t>1.03</w:t>
            </w:r>
          </w:p>
        </w:tc>
      </w:tr>
      <w:tr>
        <w:tc>
          <w:tcPr>
            <w:vAlign w:val="center"/>
          </w:tcPr>
          <w:p>
            <w:pPr>
              <w:jc w:val="center"/>
            </w:pPr>
            <w:r>
              <w:rPr>
                <w:color w:val="000000"/>
                <w:sz w:val="24"/>
              </w:rPr>
              <w:t>5</w:t>
            </w:r>
          </w:p>
        </w:tc>
        <w:tc>
          <w:tcPr>
            <w:vAlign w:val="center"/>
          </w:tcPr>
          <w:p>
            <w:pPr>
              <w:jc w:val="center"/>
            </w:pPr>
            <w:r>
              <w:rPr>
                <w:color w:val="000000"/>
                <w:sz w:val="24"/>
              </w:rPr>
              <w:t>110042</w:t>
            </w:r>
          </w:p>
        </w:tc>
        <w:tc>
          <w:tcPr>
            <w:vAlign w:val="center"/>
          </w:tcPr>
          <w:p>
            <w:pPr>
              <w:jc w:val="center"/>
            </w:pPr>
            <w:r>
              <w:rPr>
                <w:color w:val="000000"/>
                <w:sz w:val="24"/>
              </w:rPr>
              <w:t>航电转债</w:t>
            </w:r>
          </w:p>
        </w:tc>
        <w:tc>
          <w:tcPr>
            <w:vAlign w:val="center"/>
          </w:tcPr>
          <w:p>
            <w:pPr>
              <w:jc w:val="right"/>
            </w:pPr>
            <w:r>
              <w:rPr>
                <w:color w:val="000000"/>
                <w:sz w:val="24"/>
              </w:rPr>
              <w:t>2,616,003.00</w:t>
            </w:r>
          </w:p>
        </w:tc>
        <w:tc>
          <w:tcPr>
            <w:vAlign w:val="center"/>
          </w:tcPr>
          <w:p>
            <w:pPr>
              <w:jc w:val="right"/>
            </w:pPr>
            <w:r>
              <w:rPr>
                <w:color w:val="000000"/>
                <w:sz w:val="24"/>
              </w:rPr>
              <w:t>0.88</w:t>
            </w:r>
          </w:p>
        </w:tc>
      </w:tr>
      <w:tr>
        <w:tc>
          <w:tcPr>
            <w:vAlign w:val="center"/>
          </w:tcPr>
          <w:p>
            <w:pPr>
              <w:jc w:val="center"/>
            </w:pPr>
            <w:r>
              <w:rPr>
                <w:color w:val="000000"/>
                <w:sz w:val="24"/>
              </w:rPr>
              <w:t>6</w:t>
            </w:r>
          </w:p>
        </w:tc>
        <w:tc>
          <w:tcPr>
            <w:vAlign w:val="center"/>
          </w:tcPr>
          <w:p>
            <w:pPr>
              <w:jc w:val="center"/>
            </w:pPr>
            <w:r>
              <w:rPr>
                <w:color w:val="000000"/>
                <w:sz w:val="24"/>
              </w:rPr>
              <w:t>128019</w:t>
            </w:r>
          </w:p>
        </w:tc>
        <w:tc>
          <w:tcPr>
            <w:vAlign w:val="center"/>
          </w:tcPr>
          <w:p>
            <w:pPr>
              <w:jc w:val="center"/>
            </w:pPr>
            <w:r>
              <w:rPr>
                <w:color w:val="000000"/>
                <w:sz w:val="24"/>
              </w:rPr>
              <w:t>久立转2</w:t>
            </w:r>
          </w:p>
        </w:tc>
        <w:tc>
          <w:tcPr>
            <w:vAlign w:val="center"/>
          </w:tcPr>
          <w:p>
            <w:pPr>
              <w:jc w:val="right"/>
            </w:pPr>
            <w:r>
              <w:rPr>
                <w:color w:val="000000"/>
                <w:sz w:val="24"/>
              </w:rPr>
              <w:t>2,223,522.90</w:t>
            </w:r>
          </w:p>
        </w:tc>
        <w:tc>
          <w:tcPr>
            <w:vAlign w:val="center"/>
          </w:tcPr>
          <w:p>
            <w:pPr>
              <w:jc w:val="right"/>
            </w:pPr>
            <w:r>
              <w:rPr>
                <w:color w:val="000000"/>
                <w:sz w:val="24"/>
              </w:rPr>
              <w:t>0.75</w:t>
            </w:r>
          </w:p>
        </w:tc>
      </w:tr>
      <w:tr>
        <w:tc>
          <w:tcPr>
            <w:vAlign w:val="center"/>
          </w:tcPr>
          <w:p>
            <w:pPr>
              <w:jc w:val="center"/>
            </w:pPr>
            <w:r>
              <w:rPr>
                <w:color w:val="000000"/>
                <w:sz w:val="24"/>
              </w:rPr>
              <w:t>7</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1,115,202.48</w:t>
            </w:r>
          </w:p>
        </w:tc>
        <w:tc>
          <w:tcPr>
            <w:vAlign w:val="center"/>
          </w:tcPr>
          <w:p>
            <w:pPr>
              <w:jc w:val="right"/>
            </w:pPr>
            <w:r>
              <w:rPr>
                <w:color w:val="000000"/>
                <w:sz w:val="24"/>
              </w:rPr>
              <w:t>0.37</w:t>
            </w:r>
          </w:p>
        </w:tc>
      </w:tr>
      <w:tr>
        <w:tc>
          <w:tcPr>
            <w:vAlign w:val="center"/>
          </w:tcPr>
          <w:p>
            <w:pPr>
              <w:jc w:val="center"/>
            </w:pPr>
            <w:r>
              <w:rPr>
                <w:color w:val="000000"/>
                <w:sz w:val="24"/>
              </w:rPr>
              <w:t>8</w:t>
            </w:r>
          </w:p>
        </w:tc>
        <w:tc>
          <w:tcPr>
            <w:vAlign w:val="center"/>
          </w:tcPr>
          <w:p>
            <w:pPr>
              <w:jc w:val="center"/>
            </w:pPr>
            <w:r>
              <w:rPr>
                <w:color w:val="000000"/>
                <w:sz w:val="24"/>
              </w:rPr>
              <w:t>113008</w:t>
            </w:r>
          </w:p>
        </w:tc>
        <w:tc>
          <w:tcPr>
            <w:vAlign w:val="center"/>
          </w:tcPr>
          <w:p>
            <w:pPr>
              <w:jc w:val="center"/>
            </w:pPr>
            <w:r>
              <w:rPr>
                <w:color w:val="000000"/>
                <w:sz w:val="24"/>
              </w:rPr>
              <w:t>电气转债</w:t>
            </w:r>
          </w:p>
        </w:tc>
        <w:tc>
          <w:tcPr>
            <w:vAlign w:val="center"/>
          </w:tcPr>
          <w:p>
            <w:pPr>
              <w:jc w:val="right"/>
            </w:pPr>
            <w:r>
              <w:rPr>
                <w:color w:val="000000"/>
                <w:sz w:val="24"/>
              </w:rPr>
              <w:t>1,088,800.00</w:t>
            </w:r>
          </w:p>
        </w:tc>
        <w:tc>
          <w:tcPr>
            <w:vAlign w:val="center"/>
          </w:tcPr>
          <w:p>
            <w:pPr>
              <w:jc w:val="right"/>
            </w:pPr>
            <w:r>
              <w:rPr>
                <w:color w:val="000000"/>
                <w:sz w:val="24"/>
              </w:rPr>
              <w:t>0.37</w:t>
            </w:r>
          </w:p>
        </w:tc>
      </w:tr>
      <w:tr>
        <w:tc>
          <w:tcPr>
            <w:vAlign w:val="center"/>
          </w:tcPr>
          <w:p>
            <w:pPr>
              <w:jc w:val="center"/>
            </w:pPr>
            <w:r>
              <w:rPr>
                <w:color w:val="000000"/>
                <w:sz w:val="24"/>
              </w:rPr>
              <w:t>9</w:t>
            </w:r>
          </w:p>
        </w:tc>
        <w:tc>
          <w:tcPr>
            <w:vAlign w:val="center"/>
          </w:tcPr>
          <w:p>
            <w:pPr>
              <w:jc w:val="center"/>
            </w:pPr>
            <w:r>
              <w:rPr>
                <w:color w:val="000000"/>
                <w:sz w:val="24"/>
              </w:rPr>
              <w:t>128042</w:t>
            </w:r>
          </w:p>
        </w:tc>
        <w:tc>
          <w:tcPr>
            <w:vAlign w:val="center"/>
          </w:tcPr>
          <w:p>
            <w:pPr>
              <w:jc w:val="center"/>
            </w:pPr>
            <w:r>
              <w:rPr>
                <w:color w:val="000000"/>
                <w:sz w:val="24"/>
              </w:rPr>
              <w:t>凯中转债</w:t>
            </w:r>
          </w:p>
        </w:tc>
        <w:tc>
          <w:tcPr>
            <w:vAlign w:val="center"/>
          </w:tcPr>
          <w:p>
            <w:pPr>
              <w:jc w:val="right"/>
            </w:pPr>
            <w:r>
              <w:rPr>
                <w:color w:val="000000"/>
                <w:sz w:val="24"/>
              </w:rPr>
              <w:t>798,152.00</w:t>
            </w:r>
          </w:p>
        </w:tc>
        <w:tc>
          <w:tcPr>
            <w:vAlign w:val="center"/>
          </w:tcPr>
          <w:p>
            <w:pPr>
              <w:jc w:val="right"/>
            </w:pPr>
            <w:r>
              <w:rPr>
                <w:color w:val="000000"/>
                <w:sz w:val="24"/>
              </w:rPr>
              <w:t>0.27</w:t>
            </w:r>
          </w:p>
        </w:tc>
      </w:tr>
      <w:tr>
        <w:tc>
          <w:tcPr>
            <w:vAlign w:val="center"/>
          </w:tcPr>
          <w:p>
            <w:pPr>
              <w:jc w:val="center"/>
            </w:pPr>
            <w:r>
              <w:rPr>
                <w:color w:val="000000"/>
                <w:sz w:val="24"/>
              </w:rPr>
              <w:t>10</w:t>
            </w:r>
          </w:p>
        </w:tc>
        <w:tc>
          <w:tcPr>
            <w:vAlign w:val="center"/>
          </w:tcPr>
          <w:p>
            <w:pPr>
              <w:jc w:val="center"/>
            </w:pPr>
            <w:r>
              <w:rPr>
                <w:color w:val="000000"/>
                <w:sz w:val="24"/>
              </w:rPr>
              <w:t>128033</w:t>
            </w:r>
          </w:p>
        </w:tc>
        <w:tc>
          <w:tcPr>
            <w:vAlign w:val="center"/>
          </w:tcPr>
          <w:p>
            <w:pPr>
              <w:jc w:val="center"/>
            </w:pPr>
            <w:r>
              <w:rPr>
                <w:color w:val="000000"/>
                <w:sz w:val="24"/>
              </w:rPr>
              <w:t>迪龙转债</w:t>
            </w:r>
          </w:p>
        </w:tc>
        <w:tc>
          <w:tcPr>
            <w:vAlign w:val="center"/>
          </w:tcPr>
          <w:p>
            <w:pPr>
              <w:jc w:val="right"/>
            </w:pPr>
            <w:r>
              <w:rPr>
                <w:color w:val="000000"/>
                <w:sz w:val="24"/>
              </w:rPr>
              <w:t>763,769.16</w:t>
            </w:r>
          </w:p>
        </w:tc>
        <w:tc>
          <w:tcPr>
            <w:vAlign w:val="center"/>
          </w:tcPr>
          <w:p>
            <w:pPr>
              <w:jc w:val="right"/>
            </w:pPr>
            <w:r>
              <w:rPr>
                <w:color w:val="000000"/>
                <w:sz w:val="24"/>
              </w:rPr>
              <w:t>0.26</w:t>
            </w:r>
          </w:p>
        </w:tc>
      </w:tr>
      <w:tr>
        <w:tc>
          <w:tcPr>
            <w:vAlign w:val="center"/>
          </w:tcPr>
          <w:p>
            <w:pPr>
              <w:jc w:val="center"/>
            </w:pPr>
            <w:r>
              <w:rPr>
                <w:color w:val="000000"/>
                <w:sz w:val="24"/>
              </w:rPr>
              <w:t>11</w:t>
            </w:r>
          </w:p>
        </w:tc>
        <w:tc>
          <w:tcPr>
            <w:vAlign w:val="center"/>
          </w:tcPr>
          <w:p>
            <w:pPr>
              <w:jc w:val="center"/>
            </w:pPr>
            <w:r>
              <w:rPr>
                <w:color w:val="000000"/>
                <w:sz w:val="24"/>
              </w:rPr>
              <w:t>127005</w:t>
            </w:r>
          </w:p>
        </w:tc>
        <w:tc>
          <w:tcPr>
            <w:vAlign w:val="center"/>
          </w:tcPr>
          <w:p>
            <w:pPr>
              <w:jc w:val="center"/>
            </w:pPr>
            <w:r>
              <w:rPr>
                <w:color w:val="000000"/>
                <w:sz w:val="24"/>
              </w:rPr>
              <w:t>长证转债</w:t>
            </w:r>
          </w:p>
        </w:tc>
        <w:tc>
          <w:tcPr>
            <w:vAlign w:val="center"/>
          </w:tcPr>
          <w:p>
            <w:pPr>
              <w:jc w:val="right"/>
            </w:pPr>
            <w:r>
              <w:rPr>
                <w:color w:val="000000"/>
                <w:sz w:val="24"/>
              </w:rPr>
              <w:t>723,168.00</w:t>
            </w:r>
          </w:p>
        </w:tc>
        <w:tc>
          <w:tcPr>
            <w:vAlign w:val="center"/>
          </w:tcPr>
          <w:p>
            <w:pPr>
              <w:jc w:val="right"/>
            </w:pPr>
            <w:r>
              <w:rPr>
                <w:color w:val="000000"/>
                <w:sz w:val="24"/>
              </w:rPr>
              <w:t>0.24</w:t>
            </w:r>
          </w:p>
        </w:tc>
      </w:tr>
      <w:tr>
        <w:tc>
          <w:tcPr>
            <w:vAlign w:val="center"/>
          </w:tcPr>
          <w:p>
            <w:pPr>
              <w:jc w:val="center"/>
            </w:pPr>
            <w:r>
              <w:rPr>
                <w:color w:val="000000"/>
                <w:sz w:val="24"/>
              </w:rPr>
              <w:t>12</w:t>
            </w:r>
          </w:p>
        </w:tc>
        <w:tc>
          <w:tcPr>
            <w:vAlign w:val="center"/>
          </w:tcPr>
          <w:p>
            <w:pPr>
              <w:jc w:val="center"/>
            </w:pPr>
            <w:r>
              <w:rPr>
                <w:color w:val="000000"/>
                <w:sz w:val="24"/>
              </w:rPr>
              <w:t>132017</w:t>
            </w:r>
          </w:p>
        </w:tc>
        <w:tc>
          <w:tcPr>
            <w:vAlign w:val="center"/>
          </w:tcPr>
          <w:p>
            <w:pPr>
              <w:jc w:val="center"/>
            </w:pPr>
            <w:r>
              <w:rPr>
                <w:color w:val="000000"/>
                <w:sz w:val="24"/>
              </w:rPr>
              <w:t>19新钢EB</w:t>
            </w:r>
          </w:p>
        </w:tc>
        <w:tc>
          <w:tcPr>
            <w:vAlign w:val="center"/>
          </w:tcPr>
          <w:p>
            <w:pPr>
              <w:jc w:val="right"/>
            </w:pPr>
            <w:r>
              <w:rPr>
                <w:color w:val="000000"/>
                <w:sz w:val="24"/>
              </w:rPr>
              <w:t>692,912.00</w:t>
            </w:r>
          </w:p>
        </w:tc>
        <w:tc>
          <w:tcPr>
            <w:vAlign w:val="center"/>
          </w:tcPr>
          <w:p>
            <w:pPr>
              <w:jc w:val="right"/>
            </w:pPr>
            <w:r>
              <w:rPr>
                <w:color w:val="000000"/>
                <w:sz w:val="24"/>
              </w:rPr>
              <w:t>0.23</w:t>
            </w:r>
          </w:p>
        </w:tc>
      </w:tr>
      <w:tr>
        <w:tc>
          <w:tcPr>
            <w:vAlign w:val="center"/>
          </w:tcPr>
          <w:p>
            <w:pPr>
              <w:jc w:val="center"/>
            </w:pPr>
            <w:r>
              <w:rPr>
                <w:color w:val="000000"/>
                <w:sz w:val="24"/>
              </w:rPr>
              <w:t>13</w:t>
            </w:r>
          </w:p>
        </w:tc>
        <w:tc>
          <w:tcPr>
            <w:vAlign w:val="center"/>
          </w:tcPr>
          <w:p>
            <w:pPr>
              <w:jc w:val="center"/>
            </w:pPr>
            <w:r>
              <w:rPr>
                <w:color w:val="000000"/>
                <w:sz w:val="24"/>
              </w:rPr>
              <w:t>113020</w:t>
            </w:r>
          </w:p>
        </w:tc>
        <w:tc>
          <w:tcPr>
            <w:vAlign w:val="center"/>
          </w:tcPr>
          <w:p>
            <w:pPr>
              <w:jc w:val="center"/>
            </w:pPr>
            <w:r>
              <w:rPr>
                <w:color w:val="000000"/>
                <w:sz w:val="24"/>
              </w:rPr>
              <w:t>桐昆转债</w:t>
            </w:r>
          </w:p>
        </w:tc>
        <w:tc>
          <w:tcPr>
            <w:vAlign w:val="center"/>
          </w:tcPr>
          <w:p>
            <w:pPr>
              <w:jc w:val="right"/>
            </w:pPr>
            <w:r>
              <w:rPr>
                <w:color w:val="000000"/>
                <w:sz w:val="24"/>
              </w:rPr>
              <w:t>584,571.40</w:t>
            </w:r>
          </w:p>
        </w:tc>
        <w:tc>
          <w:tcPr>
            <w:vAlign w:val="center"/>
          </w:tcPr>
          <w:p>
            <w:pPr>
              <w:jc w:val="right"/>
            </w:pPr>
            <w:r>
              <w:rPr>
                <w:color w:val="000000"/>
                <w:sz w:val="24"/>
              </w:rPr>
              <w:t>0.20</w:t>
            </w:r>
          </w:p>
        </w:tc>
      </w:tr>
      <w:tr>
        <w:tc>
          <w:tcPr>
            <w:vAlign w:val="center"/>
          </w:tcPr>
          <w:p>
            <w:pPr>
              <w:jc w:val="center"/>
            </w:pPr>
            <w:r>
              <w:rPr>
                <w:color w:val="000000"/>
                <w:sz w:val="24"/>
              </w:rPr>
              <w:t>14</w:t>
            </w:r>
          </w:p>
        </w:tc>
        <w:tc>
          <w:tcPr>
            <w:vAlign w:val="center"/>
          </w:tcPr>
          <w:p>
            <w:pPr>
              <w:jc w:val="center"/>
            </w:pPr>
            <w:r>
              <w:rPr>
                <w:color w:val="000000"/>
                <w:sz w:val="24"/>
              </w:rPr>
              <w:t>110048</w:t>
            </w:r>
          </w:p>
        </w:tc>
        <w:tc>
          <w:tcPr>
            <w:vAlign w:val="center"/>
          </w:tcPr>
          <w:p>
            <w:pPr>
              <w:jc w:val="center"/>
            </w:pPr>
            <w:r>
              <w:rPr>
                <w:color w:val="000000"/>
                <w:sz w:val="24"/>
              </w:rPr>
              <w:t>福能转债</w:t>
            </w:r>
          </w:p>
        </w:tc>
        <w:tc>
          <w:tcPr>
            <w:vAlign w:val="center"/>
          </w:tcPr>
          <w:p>
            <w:pPr>
              <w:jc w:val="right"/>
            </w:pPr>
            <w:r>
              <w:rPr>
                <w:color w:val="000000"/>
                <w:sz w:val="24"/>
              </w:rPr>
              <w:t>562,486.50</w:t>
            </w:r>
          </w:p>
        </w:tc>
        <w:tc>
          <w:tcPr>
            <w:vAlign w:val="center"/>
          </w:tcPr>
          <w:p>
            <w:pPr>
              <w:jc w:val="right"/>
            </w:pPr>
            <w:r>
              <w:rPr>
                <w:color w:val="000000"/>
                <w:sz w:val="24"/>
              </w:rPr>
              <w:t>0.19</w:t>
            </w:r>
          </w:p>
        </w:tc>
      </w:tr>
      <w:tr>
        <w:tc>
          <w:tcPr>
            <w:vAlign w:val="center"/>
          </w:tcPr>
          <w:p>
            <w:pPr>
              <w:jc w:val="center"/>
            </w:pPr>
            <w:r>
              <w:rPr>
                <w:color w:val="000000"/>
                <w:sz w:val="24"/>
              </w:rPr>
              <w:t>15</w:t>
            </w:r>
          </w:p>
        </w:tc>
        <w:tc>
          <w:tcPr>
            <w:vAlign w:val="center"/>
          </w:tcPr>
          <w:p>
            <w:pPr>
              <w:jc w:val="center"/>
            </w:pPr>
            <w:r>
              <w:rPr>
                <w:color w:val="000000"/>
                <w:sz w:val="24"/>
              </w:rPr>
              <w:t>110034</w:t>
            </w:r>
          </w:p>
        </w:tc>
        <w:tc>
          <w:tcPr>
            <w:vAlign w:val="center"/>
          </w:tcPr>
          <w:p>
            <w:pPr>
              <w:jc w:val="center"/>
            </w:pPr>
            <w:r>
              <w:rPr>
                <w:color w:val="000000"/>
                <w:sz w:val="24"/>
              </w:rPr>
              <w:t>九州转债</w:t>
            </w:r>
          </w:p>
        </w:tc>
        <w:tc>
          <w:tcPr>
            <w:vAlign w:val="center"/>
          </w:tcPr>
          <w:p>
            <w:pPr>
              <w:jc w:val="right"/>
            </w:pPr>
            <w:r>
              <w:rPr>
                <w:color w:val="000000"/>
                <w:sz w:val="24"/>
              </w:rPr>
              <w:t>460,320.00</w:t>
            </w:r>
          </w:p>
        </w:tc>
        <w:tc>
          <w:tcPr>
            <w:vAlign w:val="center"/>
          </w:tcPr>
          <w:p>
            <w:pPr>
              <w:jc w:val="right"/>
            </w:pPr>
            <w:r>
              <w:rPr>
                <w:color w:val="000000"/>
                <w:sz w:val="24"/>
              </w:rPr>
              <w:t>0.15</w:t>
            </w:r>
          </w:p>
        </w:tc>
      </w:tr>
      <w:tr>
        <w:tc>
          <w:tcPr>
            <w:vAlign w:val="center"/>
          </w:tcPr>
          <w:p>
            <w:pPr>
              <w:jc w:val="center"/>
            </w:pPr>
            <w:r>
              <w:rPr>
                <w:color w:val="000000"/>
                <w:sz w:val="24"/>
              </w:rPr>
              <w:t>16</w:t>
            </w:r>
          </w:p>
        </w:tc>
        <w:tc>
          <w:tcPr>
            <w:vAlign w:val="center"/>
          </w:tcPr>
          <w:p>
            <w:pPr>
              <w:jc w:val="center"/>
            </w:pPr>
            <w:r>
              <w:rPr>
                <w:color w:val="000000"/>
                <w:sz w:val="24"/>
              </w:rPr>
              <w:t>127012</w:t>
            </w:r>
          </w:p>
        </w:tc>
        <w:tc>
          <w:tcPr>
            <w:vAlign w:val="center"/>
          </w:tcPr>
          <w:p>
            <w:pPr>
              <w:jc w:val="center"/>
            </w:pPr>
            <w:r>
              <w:rPr>
                <w:color w:val="000000"/>
                <w:sz w:val="24"/>
              </w:rPr>
              <w:t>招路转债</w:t>
            </w:r>
          </w:p>
        </w:tc>
        <w:tc>
          <w:tcPr>
            <w:vAlign w:val="center"/>
          </w:tcPr>
          <w:p>
            <w:pPr>
              <w:jc w:val="right"/>
            </w:pPr>
            <w:r>
              <w:rPr>
                <w:color w:val="000000"/>
                <w:sz w:val="24"/>
              </w:rPr>
              <w:t>204,481.90</w:t>
            </w:r>
          </w:p>
        </w:tc>
        <w:tc>
          <w:tcPr>
            <w:vAlign w:val="center"/>
          </w:tcPr>
          <w:p>
            <w:pPr>
              <w:jc w:val="right"/>
            </w:pPr>
            <w:r>
              <w:rPr>
                <w:color w:val="000000"/>
                <w:sz w:val="24"/>
              </w:rPr>
              <w:t>0.07</w:t>
            </w:r>
          </w:p>
        </w:tc>
      </w:tr>
      <w:tr>
        <w:tc>
          <w:tcPr>
            <w:vAlign w:val="center"/>
          </w:tcPr>
          <w:p>
            <w:pPr>
              <w:jc w:val="center"/>
            </w:pPr>
            <w:r>
              <w:rPr>
                <w:color w:val="000000"/>
                <w:sz w:val="24"/>
              </w:rPr>
              <w:t>17</w:t>
            </w:r>
          </w:p>
        </w:tc>
        <w:tc>
          <w:tcPr>
            <w:vAlign w:val="center"/>
          </w:tcPr>
          <w:p>
            <w:pPr>
              <w:jc w:val="center"/>
            </w:pPr>
            <w:r>
              <w:rPr>
                <w:color w:val="000000"/>
                <w:sz w:val="24"/>
              </w:rPr>
              <w:t>128032</w:t>
            </w:r>
          </w:p>
        </w:tc>
        <w:tc>
          <w:tcPr>
            <w:vAlign w:val="center"/>
          </w:tcPr>
          <w:p>
            <w:pPr>
              <w:jc w:val="center"/>
            </w:pPr>
            <w:r>
              <w:rPr>
                <w:color w:val="000000"/>
                <w:sz w:val="24"/>
              </w:rPr>
              <w:t>双环转债</w:t>
            </w:r>
          </w:p>
        </w:tc>
        <w:tc>
          <w:tcPr>
            <w:vAlign w:val="center"/>
          </w:tcPr>
          <w:p>
            <w:pPr>
              <w:jc w:val="right"/>
            </w:pPr>
            <w:r>
              <w:rPr>
                <w:color w:val="000000"/>
                <w:sz w:val="24"/>
              </w:rPr>
              <w:t>171,945.18</w:t>
            </w:r>
          </w:p>
        </w:tc>
        <w:tc>
          <w:tcPr>
            <w:vAlign w:val="center"/>
          </w:tcPr>
          <w:p>
            <w:pPr>
              <w:jc w:val="right"/>
            </w:pPr>
            <w:r>
              <w:rPr>
                <w:color w:val="000000"/>
                <w:sz w:val="24"/>
              </w:rPr>
              <w:t>0.06</w:t>
            </w:r>
          </w:p>
        </w:tc>
      </w:tr>
      <w:tr>
        <w:tc>
          <w:tcPr>
            <w:vAlign w:val="center"/>
          </w:tcPr>
          <w:p>
            <w:pPr>
              <w:jc w:val="center"/>
            </w:pPr>
            <w:r>
              <w:rPr>
                <w:color w:val="000000"/>
                <w:sz w:val="24"/>
              </w:rPr>
              <w:t>18</w:t>
            </w:r>
          </w:p>
        </w:tc>
        <w:tc>
          <w:tcPr>
            <w:vAlign w:val="center"/>
          </w:tcPr>
          <w:p>
            <w:pPr>
              <w:jc w:val="center"/>
            </w:pPr>
            <w:r>
              <w:rPr>
                <w:color w:val="000000"/>
                <w:sz w:val="24"/>
              </w:rPr>
              <w:t>113012</w:t>
            </w:r>
          </w:p>
        </w:tc>
        <w:tc>
          <w:tcPr>
            <w:vAlign w:val="center"/>
          </w:tcPr>
          <w:p>
            <w:pPr>
              <w:jc w:val="center"/>
            </w:pPr>
            <w:r>
              <w:rPr>
                <w:color w:val="000000"/>
                <w:sz w:val="24"/>
              </w:rPr>
              <w:t>骆驼转债</w:t>
            </w:r>
          </w:p>
        </w:tc>
        <w:tc>
          <w:tcPr>
            <w:vAlign w:val="center"/>
          </w:tcPr>
          <w:p>
            <w:pPr>
              <w:jc w:val="right"/>
            </w:pPr>
            <w:r>
              <w:rPr>
                <w:color w:val="000000"/>
                <w:sz w:val="24"/>
              </w:rPr>
              <w:t>123,492.00</w:t>
            </w:r>
          </w:p>
        </w:tc>
        <w:tc>
          <w:tcPr>
            <w:vAlign w:val="center"/>
          </w:tcPr>
          <w:p>
            <w:pPr>
              <w:jc w:val="right"/>
            </w:pPr>
            <w:r>
              <w:rPr>
                <w:color w:val="000000"/>
                <w:sz w:val="24"/>
              </w:rPr>
              <w:t>0.04</w:t>
            </w:r>
          </w:p>
        </w:tc>
      </w:tr>
      <w:tr>
        <w:tc>
          <w:tcPr>
            <w:vAlign w:val="center"/>
          </w:tcPr>
          <w:p>
            <w:pPr>
              <w:jc w:val="center"/>
            </w:pPr>
            <w:r>
              <w:rPr>
                <w:color w:val="000000"/>
                <w:sz w:val="24"/>
              </w:rPr>
              <w:t>19</w:t>
            </w:r>
          </w:p>
        </w:tc>
        <w:tc>
          <w:tcPr>
            <w:vAlign w:val="center"/>
          </w:tcPr>
          <w:p>
            <w:pPr>
              <w:jc w:val="center"/>
            </w:pPr>
            <w:r>
              <w:rPr>
                <w:color w:val="000000"/>
                <w:sz w:val="24"/>
              </w:rPr>
              <w:t>110053</w:t>
            </w:r>
          </w:p>
        </w:tc>
        <w:tc>
          <w:tcPr>
            <w:vAlign w:val="center"/>
          </w:tcPr>
          <w:p>
            <w:pPr>
              <w:jc w:val="center"/>
            </w:pPr>
            <w:r>
              <w:rPr>
                <w:color w:val="000000"/>
                <w:sz w:val="24"/>
              </w:rPr>
              <w:t>苏银转债</w:t>
            </w:r>
          </w:p>
        </w:tc>
        <w:tc>
          <w:tcPr>
            <w:vAlign w:val="center"/>
          </w:tcPr>
          <w:p>
            <w:pPr>
              <w:jc w:val="right"/>
            </w:pPr>
            <w:r>
              <w:rPr>
                <w:color w:val="000000"/>
                <w:sz w:val="24"/>
              </w:rPr>
              <w:t>115,452.80</w:t>
            </w:r>
          </w:p>
        </w:tc>
        <w:tc>
          <w:tcPr>
            <w:vAlign w:val="center"/>
          </w:tcPr>
          <w:p>
            <w:pPr>
              <w:jc w:val="right"/>
            </w:pPr>
            <w:r>
              <w:rPr>
                <w:color w:val="000000"/>
                <w:sz w:val="24"/>
              </w:rPr>
              <w:t>0.04</w:t>
            </w:r>
          </w:p>
        </w:tc>
      </w:tr>
      <w:tr>
        <w:tc>
          <w:tcPr>
            <w:vAlign w:val="center"/>
          </w:tcPr>
          <w:p>
            <w:pPr>
              <w:jc w:val="center"/>
            </w:pPr>
            <w:r>
              <w:rPr>
                <w:color w:val="000000"/>
                <w:sz w:val="24"/>
              </w:rPr>
              <w:t>20</w:t>
            </w:r>
          </w:p>
        </w:tc>
        <w:tc>
          <w:tcPr>
            <w:vAlign w:val="center"/>
          </w:tcPr>
          <w:p>
            <w:pPr>
              <w:jc w:val="center"/>
            </w:pPr>
            <w:r>
              <w:rPr>
                <w:color w:val="000000"/>
                <w:sz w:val="24"/>
              </w:rPr>
              <w:t>113545</w:t>
            </w:r>
          </w:p>
        </w:tc>
        <w:tc>
          <w:tcPr>
            <w:vAlign w:val="center"/>
          </w:tcPr>
          <w:p>
            <w:pPr>
              <w:jc w:val="center"/>
            </w:pPr>
            <w:r>
              <w:rPr>
                <w:color w:val="000000"/>
                <w:sz w:val="24"/>
              </w:rPr>
              <w:t>金能转债</w:t>
            </w:r>
          </w:p>
        </w:tc>
        <w:tc>
          <w:tcPr>
            <w:vAlign w:val="center"/>
          </w:tcPr>
          <w:p>
            <w:pPr>
              <w:jc w:val="right"/>
            </w:pPr>
            <w:r>
              <w:rPr>
                <w:color w:val="000000"/>
                <w:sz w:val="24"/>
              </w:rPr>
              <w:t>111,530.60</w:t>
            </w:r>
          </w:p>
        </w:tc>
        <w:tc>
          <w:tcPr>
            <w:vAlign w:val="center"/>
          </w:tcPr>
          <w:p>
            <w:pPr>
              <w:jc w:val="right"/>
            </w:pPr>
            <w:r>
              <w:rPr>
                <w:color w:val="000000"/>
                <w:sz w:val="24"/>
              </w:rPr>
              <w:t>0.04</w:t>
            </w:r>
          </w:p>
        </w:tc>
      </w:tr>
      <w:tr>
        <w:tc>
          <w:tcPr>
            <w:vAlign w:val="center"/>
          </w:tcPr>
          <w:p>
            <w:pPr>
              <w:jc w:val="center"/>
            </w:pPr>
            <w:r>
              <w:rPr>
                <w:color w:val="000000"/>
                <w:sz w:val="24"/>
              </w:rPr>
              <w:t>21</w:t>
            </w:r>
          </w:p>
        </w:tc>
        <w:tc>
          <w:tcPr>
            <w:vAlign w:val="center"/>
          </w:tcPr>
          <w:p>
            <w:pPr>
              <w:jc w:val="center"/>
            </w:pPr>
            <w:r>
              <w:rPr>
                <w:color w:val="000000"/>
                <w:sz w:val="24"/>
              </w:rPr>
              <w:t>113025</w:t>
            </w:r>
          </w:p>
        </w:tc>
        <w:tc>
          <w:tcPr>
            <w:vAlign w:val="center"/>
          </w:tcPr>
          <w:p>
            <w:pPr>
              <w:jc w:val="center"/>
            </w:pPr>
            <w:r>
              <w:rPr>
                <w:color w:val="000000"/>
                <w:sz w:val="24"/>
              </w:rPr>
              <w:t>明泰转债</w:t>
            </w:r>
          </w:p>
        </w:tc>
        <w:tc>
          <w:tcPr>
            <w:vAlign w:val="center"/>
          </w:tcPr>
          <w:p>
            <w:pPr>
              <w:jc w:val="right"/>
            </w:pPr>
            <w:r>
              <w:rPr>
                <w:color w:val="000000"/>
                <w:sz w:val="24"/>
              </w:rPr>
              <w:t>84,107.40</w:t>
            </w:r>
          </w:p>
        </w:tc>
        <w:tc>
          <w:tcPr>
            <w:vAlign w:val="center"/>
          </w:tcPr>
          <w:p>
            <w:pPr>
              <w:jc w:val="right"/>
            </w:pPr>
            <w:r>
              <w:rPr>
                <w:color w:val="000000"/>
                <w:sz w:val="24"/>
              </w:rPr>
              <w:t>0.03</w:t>
            </w:r>
          </w:p>
        </w:tc>
      </w:tr>
      <w:tr>
        <w:tc>
          <w:tcPr>
            <w:vAlign w:val="center"/>
          </w:tcPr>
          <w:p>
            <w:pPr>
              <w:jc w:val="center"/>
            </w:pPr>
            <w:r>
              <w:rPr>
                <w:color w:val="000000"/>
                <w:sz w:val="24"/>
              </w:rPr>
              <w:t>22</w:t>
            </w:r>
          </w:p>
        </w:tc>
        <w:tc>
          <w:tcPr>
            <w:vAlign w:val="center"/>
          </w:tcPr>
          <w:p>
            <w:pPr>
              <w:jc w:val="center"/>
            </w:pPr>
            <w:r>
              <w:rPr>
                <w:color w:val="000000"/>
                <w:sz w:val="24"/>
              </w:rPr>
              <w:t>132012</w:t>
            </w:r>
          </w:p>
        </w:tc>
        <w:tc>
          <w:tcPr>
            <w:vAlign w:val="center"/>
          </w:tcPr>
          <w:p>
            <w:pPr>
              <w:jc w:val="center"/>
            </w:pPr>
            <w:r>
              <w:rPr>
                <w:color w:val="000000"/>
                <w:sz w:val="24"/>
              </w:rPr>
              <w:t>17巨化EB</w:t>
            </w:r>
          </w:p>
        </w:tc>
        <w:tc>
          <w:tcPr>
            <w:vAlign w:val="center"/>
          </w:tcPr>
          <w:p>
            <w:pPr>
              <w:jc w:val="right"/>
            </w:pPr>
            <w:r>
              <w:rPr>
                <w:color w:val="000000"/>
                <w:sz w:val="24"/>
              </w:rPr>
              <w:t>76,125.00</w:t>
            </w:r>
          </w:p>
        </w:tc>
        <w:tc>
          <w:tcPr>
            <w:vAlign w:val="center"/>
          </w:tcPr>
          <w:p>
            <w:pPr>
              <w:jc w:val="right"/>
            </w:pPr>
            <w:r>
              <w:rPr>
                <w:color w:val="000000"/>
                <w:sz w:val="24"/>
              </w:rPr>
              <w:t>0.03</w:t>
            </w:r>
          </w:p>
        </w:tc>
      </w:tr>
      <w:tr>
        <w:tc>
          <w:tcPr>
            <w:vAlign w:val="center"/>
          </w:tcPr>
          <w:p>
            <w:pPr>
              <w:jc w:val="center"/>
            </w:pPr>
            <w:r>
              <w:rPr>
                <w:color w:val="000000"/>
                <w:sz w:val="24"/>
              </w:rPr>
              <w:t>23</w:t>
            </w:r>
          </w:p>
        </w:tc>
        <w:tc>
          <w:tcPr>
            <w:vAlign w:val="center"/>
          </w:tcPr>
          <w:p>
            <w:pPr>
              <w:jc w:val="center"/>
            </w:pPr>
            <w:r>
              <w:rPr>
                <w:color w:val="000000"/>
                <w:sz w:val="24"/>
              </w:rPr>
              <w:t>110051</w:t>
            </w:r>
          </w:p>
        </w:tc>
        <w:tc>
          <w:tcPr>
            <w:vAlign w:val="center"/>
          </w:tcPr>
          <w:p>
            <w:pPr>
              <w:jc w:val="center"/>
            </w:pPr>
            <w:r>
              <w:rPr>
                <w:color w:val="000000"/>
                <w:sz w:val="24"/>
              </w:rPr>
              <w:t>中天转债</w:t>
            </w:r>
          </w:p>
        </w:tc>
        <w:tc>
          <w:tcPr>
            <w:vAlign w:val="center"/>
          </w:tcPr>
          <w:p>
            <w:pPr>
              <w:jc w:val="right"/>
            </w:pPr>
            <w:r>
              <w:rPr>
                <w:color w:val="000000"/>
                <w:sz w:val="24"/>
              </w:rPr>
              <w:t>68,128.50</w:t>
            </w:r>
          </w:p>
        </w:tc>
        <w:tc>
          <w:tcPr>
            <w:vAlign w:val="center"/>
          </w:tcPr>
          <w:p>
            <w:pPr>
              <w:jc w:val="right"/>
            </w:pPr>
            <w:r>
              <w:rPr>
                <w:color w:val="000000"/>
                <w:sz w:val="24"/>
              </w:rPr>
              <w:t>0.02</w:t>
            </w:r>
          </w:p>
        </w:tc>
      </w:tr>
      <w:tr>
        <w:tc>
          <w:tcPr>
            <w:vAlign w:val="center"/>
          </w:tcPr>
          <w:p>
            <w:pPr>
              <w:jc w:val="center"/>
            </w:pPr>
            <w:r>
              <w:rPr>
                <w:color w:val="000000"/>
                <w:sz w:val="24"/>
              </w:rPr>
              <w:t>24</w:t>
            </w:r>
          </w:p>
        </w:tc>
        <w:tc>
          <w:tcPr>
            <w:vAlign w:val="center"/>
          </w:tcPr>
          <w:p>
            <w:pPr>
              <w:jc w:val="center"/>
            </w:pPr>
            <w:r>
              <w:rPr>
                <w:color w:val="000000"/>
                <w:sz w:val="24"/>
              </w:rPr>
              <w:t>128080</w:t>
            </w:r>
          </w:p>
        </w:tc>
        <w:tc>
          <w:tcPr>
            <w:vAlign w:val="center"/>
          </w:tcPr>
          <w:p>
            <w:pPr>
              <w:jc w:val="center"/>
            </w:pPr>
            <w:r>
              <w:rPr>
                <w:color w:val="000000"/>
                <w:sz w:val="24"/>
              </w:rPr>
              <w:t>顺丰转债</w:t>
            </w:r>
          </w:p>
        </w:tc>
        <w:tc>
          <w:tcPr>
            <w:vAlign w:val="center"/>
          </w:tcPr>
          <w:p>
            <w:pPr>
              <w:jc w:val="right"/>
            </w:pPr>
            <w:r>
              <w:rPr>
                <w:color w:val="000000"/>
                <w:sz w:val="24"/>
              </w:rPr>
              <w:t>66,591.00</w:t>
            </w:r>
          </w:p>
        </w:tc>
        <w:tc>
          <w:tcPr>
            <w:vAlign w:val="center"/>
          </w:tcPr>
          <w:p>
            <w:pPr>
              <w:jc w:val="right"/>
            </w:pPr>
            <w:r>
              <w:rPr>
                <w:color w:val="000000"/>
                <w:sz w:val="24"/>
              </w:rPr>
              <w:t>0.02</w:t>
            </w:r>
          </w:p>
        </w:tc>
      </w:tr>
      <w:tr>
        <w:tc>
          <w:tcPr>
            <w:vAlign w:val="center"/>
          </w:tcPr>
          <w:p>
            <w:pPr>
              <w:jc w:val="center"/>
            </w:pPr>
            <w:r>
              <w:rPr>
                <w:color w:val="000000"/>
                <w:sz w:val="24"/>
              </w:rPr>
              <w:t>25</w:t>
            </w:r>
          </w:p>
        </w:tc>
        <w:tc>
          <w:tcPr>
            <w:vAlign w:val="center"/>
          </w:tcPr>
          <w:p>
            <w:pPr>
              <w:jc w:val="center"/>
            </w:pPr>
            <w:r>
              <w:rPr>
                <w:color w:val="000000"/>
                <w:sz w:val="24"/>
              </w:rPr>
              <w:t>123023</w:t>
            </w:r>
          </w:p>
        </w:tc>
        <w:tc>
          <w:tcPr>
            <w:vAlign w:val="center"/>
          </w:tcPr>
          <w:p>
            <w:pPr>
              <w:jc w:val="center"/>
            </w:pPr>
            <w:r>
              <w:rPr>
                <w:color w:val="000000"/>
                <w:sz w:val="24"/>
              </w:rPr>
              <w:t>迪森转债</w:t>
            </w:r>
          </w:p>
        </w:tc>
        <w:tc>
          <w:tcPr>
            <w:vAlign w:val="center"/>
          </w:tcPr>
          <w:p>
            <w:pPr>
              <w:jc w:val="right"/>
            </w:pPr>
            <w:r>
              <w:rPr>
                <w:color w:val="000000"/>
                <w:sz w:val="24"/>
              </w:rPr>
              <w:t>61,374.60</w:t>
            </w:r>
          </w:p>
        </w:tc>
        <w:tc>
          <w:tcPr>
            <w:vAlign w:val="center"/>
          </w:tcPr>
          <w:p>
            <w:pPr>
              <w:jc w:val="right"/>
            </w:pPr>
            <w:r>
              <w:rPr>
                <w:color w:val="000000"/>
                <w:sz w:val="24"/>
              </w:rPr>
              <w:t>0.02</w:t>
            </w:r>
          </w:p>
        </w:tc>
      </w:tr>
      <w:tr>
        <w:tc>
          <w:tcPr>
            <w:vAlign w:val="center"/>
          </w:tcPr>
          <w:p>
            <w:pPr>
              <w:jc w:val="center"/>
            </w:pPr>
            <w:r>
              <w:rPr>
                <w:color w:val="000000"/>
                <w:sz w:val="24"/>
              </w:rPr>
              <w:t>26</w:t>
            </w:r>
          </w:p>
        </w:tc>
        <w:tc>
          <w:tcPr>
            <w:vAlign w:val="center"/>
          </w:tcPr>
          <w:p>
            <w:pPr>
              <w:jc w:val="center"/>
            </w:pPr>
            <w:r>
              <w:rPr>
                <w:color w:val="000000"/>
                <w:sz w:val="24"/>
              </w:rPr>
              <w:t>113530</w:t>
            </w:r>
          </w:p>
        </w:tc>
        <w:tc>
          <w:tcPr>
            <w:vAlign w:val="center"/>
          </w:tcPr>
          <w:p>
            <w:pPr>
              <w:jc w:val="center"/>
            </w:pPr>
            <w:r>
              <w:rPr>
                <w:color w:val="000000"/>
                <w:sz w:val="24"/>
              </w:rPr>
              <w:t>大丰转债</w:t>
            </w:r>
          </w:p>
        </w:tc>
        <w:tc>
          <w:tcPr>
            <w:vAlign w:val="center"/>
          </w:tcPr>
          <w:p>
            <w:pPr>
              <w:jc w:val="right"/>
            </w:pPr>
            <w:r>
              <w:rPr>
                <w:color w:val="000000"/>
                <w:sz w:val="24"/>
              </w:rPr>
              <w:t>58,823.60</w:t>
            </w:r>
          </w:p>
        </w:tc>
        <w:tc>
          <w:tcPr>
            <w:vAlign w:val="center"/>
          </w:tcPr>
          <w:p>
            <w:pPr>
              <w:jc w:val="right"/>
            </w:pPr>
            <w:r>
              <w:rPr>
                <w:color w:val="000000"/>
                <w:sz w:val="24"/>
              </w:rPr>
              <w:t>0.02</w:t>
            </w:r>
          </w:p>
        </w:tc>
      </w:tr>
      <w:tr>
        <w:tc>
          <w:tcPr>
            <w:vAlign w:val="center"/>
          </w:tcPr>
          <w:p>
            <w:pPr>
              <w:jc w:val="center"/>
            </w:pPr>
            <w:r>
              <w:rPr>
                <w:color w:val="000000"/>
                <w:sz w:val="24"/>
              </w:rPr>
              <w:t>27</w:t>
            </w:r>
          </w:p>
        </w:tc>
        <w:tc>
          <w:tcPr>
            <w:vAlign w:val="center"/>
          </w:tcPr>
          <w:p>
            <w:pPr>
              <w:jc w:val="center"/>
            </w:pPr>
            <w:r>
              <w:rPr>
                <w:color w:val="000000"/>
                <w:sz w:val="24"/>
              </w:rPr>
              <w:t>113021</w:t>
            </w:r>
          </w:p>
        </w:tc>
        <w:tc>
          <w:tcPr>
            <w:vAlign w:val="center"/>
          </w:tcPr>
          <w:p>
            <w:pPr>
              <w:jc w:val="center"/>
            </w:pPr>
            <w:r>
              <w:rPr>
                <w:color w:val="000000"/>
                <w:sz w:val="24"/>
              </w:rPr>
              <w:t>中信转债</w:t>
            </w:r>
          </w:p>
        </w:tc>
        <w:tc>
          <w:tcPr>
            <w:vAlign w:val="center"/>
          </w:tcPr>
          <w:p>
            <w:pPr>
              <w:jc w:val="right"/>
            </w:pPr>
            <w:r>
              <w:rPr>
                <w:color w:val="000000"/>
                <w:sz w:val="24"/>
              </w:rPr>
              <w:t>53,391.90</w:t>
            </w:r>
          </w:p>
        </w:tc>
        <w:tc>
          <w:tcPr>
            <w:vAlign w:val="center"/>
          </w:tcPr>
          <w:p>
            <w:pPr>
              <w:jc w:val="right"/>
            </w:pPr>
            <w:r>
              <w:rPr>
                <w:color w:val="000000"/>
                <w:sz w:val="24"/>
              </w:rPr>
              <w:t>0.02</w:t>
            </w:r>
          </w:p>
        </w:tc>
      </w:tr>
      <w:tr>
        <w:tc>
          <w:tcPr>
            <w:vAlign w:val="center"/>
          </w:tcPr>
          <w:p>
            <w:pPr>
              <w:jc w:val="center"/>
            </w:pPr>
            <w:r>
              <w:rPr>
                <w:color w:val="000000"/>
                <w:sz w:val="24"/>
              </w:rPr>
              <w:t>28</w:t>
            </w:r>
          </w:p>
        </w:tc>
        <w:tc>
          <w:tcPr>
            <w:vAlign w:val="center"/>
          </w:tcPr>
          <w:p>
            <w:pPr>
              <w:jc w:val="center"/>
            </w:pPr>
            <w:r>
              <w:rPr>
                <w:color w:val="000000"/>
                <w:sz w:val="24"/>
              </w:rPr>
              <w:t>110065</w:t>
            </w:r>
          </w:p>
        </w:tc>
        <w:tc>
          <w:tcPr>
            <w:vAlign w:val="center"/>
          </w:tcPr>
          <w:p>
            <w:pPr>
              <w:jc w:val="center"/>
            </w:pPr>
            <w:r>
              <w:rPr>
                <w:color w:val="000000"/>
                <w:sz w:val="24"/>
              </w:rPr>
              <w:t>淮矿转债</w:t>
            </w:r>
          </w:p>
        </w:tc>
        <w:tc>
          <w:tcPr>
            <w:vAlign w:val="center"/>
          </w:tcPr>
          <w:p>
            <w:pPr>
              <w:jc w:val="right"/>
            </w:pPr>
            <w:r>
              <w:rPr>
                <w:color w:val="000000"/>
                <w:sz w:val="24"/>
              </w:rPr>
              <w:t>23,203.40</w:t>
            </w:r>
          </w:p>
        </w:tc>
        <w:tc>
          <w:tcPr>
            <w:vAlign w:val="center"/>
          </w:tcPr>
          <w:p>
            <w:pPr>
              <w:jc w:val="right"/>
            </w:pPr>
            <w:r>
              <w:rPr>
                <w:color w:val="000000"/>
                <w:sz w:val="24"/>
              </w:rPr>
              <w:t>0.01</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1.88</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易方达瑞富混合I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易方达瑞富混合E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260,014,347.76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8,049.11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5,010.96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1,283.40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260,009,336.80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6,765.71</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易方达瑞富混合I</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易方达瑞富混合E</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9,999,000.00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9,999,000.00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3.8456</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250,004,000.00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250,004,000.00</w:t>
            </w:r>
          </w:p>
        </w:tc>
        <w:tc>
          <w:tcPr>
            <w:vAlign w:val="center"/>
          </w:tcPr>
          <w:p>
            <w:pPr>
              <w:jc w:val="center"/>
            </w:pPr>
            <w:r>
              <w:rPr>
                <w:sz w:val="24"/>
              </w:rPr>
              <w:t>96.15%</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1.中国证监会准予易方达瑞富灵活配置混合型证券投资基金注册的文件；</w:t>
      </w:r>
    </w:p>
    <w:p>
      <w:pPr>
        <w:spacing w:line="360" w:lineRule="auto"/>
        <w:ind w:firstLine="480" w:firstLineChars="200"/>
        <w:rPr>
          <w:color w:val="000000"/>
          <w:sz w:val="24"/>
        </w:rPr>
      </w:pPr>
      <w:r>
        <w:rPr>
          <w:color w:val="000000"/>
          <w:sz w:val="24"/>
        </w:rPr>
        <w:t>2.《易方达瑞富灵活配置混合型证券投资基金基金合同》；</w:t>
      </w:r>
    </w:p>
    <w:p>
      <w:pPr>
        <w:spacing w:line="360" w:lineRule="auto"/>
        <w:ind w:firstLine="480" w:firstLineChars="200"/>
        <w:rPr>
          <w:color w:val="000000"/>
          <w:sz w:val="24"/>
        </w:rPr>
      </w:pPr>
      <w:r>
        <w:rPr>
          <w:color w:val="000000"/>
          <w:sz w:val="24"/>
        </w:rPr>
        <w:t>3.《易方达瑞富灵活配置混合型证券投资基金托管协议》；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易方达瑞富灵活配置混合型证券投资基金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