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易方达瑞和灵活配置混合型证券投资基金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交通银行股份有限公司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C72198" w:rsidRDefault="003F3B21">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C72198" w:rsidRDefault="003F3B21">
      <w:pPr>
        <w:spacing w:line="360" w:lineRule="auto"/>
        <w:ind w:firstLineChars="200" w:firstLine="480"/>
        <w:rPr>
          <w:color w:val="000000"/>
          <w:sz w:val="24"/>
          <w:szCs w:val="24"/>
        </w:rPr>
      </w:pPr>
      <w:r>
        <w:rPr>
          <w:color w:val="000000"/>
          <w:sz w:val="24"/>
          <w:szCs w:val="24"/>
        </w:rPr>
        <w:t>基金托管人交通银行股份有限公司根据本基金合同规定，于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C72198" w:rsidRDefault="003F3B21">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C72198" w:rsidRDefault="003F3B21">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C72198" w:rsidRDefault="003F3B21">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易方达瑞和混合</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001562</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001562</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2018</w:t>
            </w:r>
            <w:r w:rsidRPr="00232B03">
              <w:rPr>
                <w:color w:val="000000"/>
                <w:kern w:val="0"/>
                <w:sz w:val="24"/>
                <w:szCs w:val="24"/>
              </w:rPr>
              <w:t>年</w:t>
            </w:r>
            <w:r w:rsidRPr="00232B03">
              <w:rPr>
                <w:color w:val="000000"/>
                <w:kern w:val="0"/>
                <w:sz w:val="24"/>
                <w:szCs w:val="24"/>
              </w:rPr>
              <w:t>2</w:t>
            </w:r>
            <w:r w:rsidRPr="00232B03">
              <w:rPr>
                <w:color w:val="000000"/>
                <w:kern w:val="0"/>
                <w:sz w:val="24"/>
                <w:szCs w:val="24"/>
              </w:rPr>
              <w:t>月</w:t>
            </w:r>
            <w:r w:rsidRPr="00232B03">
              <w:rPr>
                <w:color w:val="000000"/>
                <w:kern w:val="0"/>
                <w:sz w:val="24"/>
                <w:szCs w:val="24"/>
              </w:rPr>
              <w:t>2</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644,605,899.40</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本基金在控制风险的前提下，追求基金资产的稳健增值。</w:t>
            </w:r>
            <w:r w:rsidRPr="00232B03">
              <w:rPr>
                <w:color w:val="000000"/>
                <w:kern w:val="0"/>
                <w:sz w:val="24"/>
                <w:szCs w:val="24"/>
              </w:rPr>
              <w:t xml:space="preserve"> </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w:t>
            </w:r>
            <w:r w:rsidRPr="00232B03">
              <w:rPr>
                <w:color w:val="000000"/>
                <w:kern w:val="0"/>
                <w:sz w:val="24"/>
                <w:szCs w:val="24"/>
              </w:rPr>
              <w:lastRenderedPageBreak/>
              <w:t>的基本面、股票的估值水平出现较大变化时，本基金将对股票组合适时进行动态调整。在债券投资方面，本基金将主要通过类属配置与券种选择两个层次进行投资管理。</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一年期人民币定期存款利率（税后）</w:t>
            </w:r>
            <w:r w:rsidRPr="00232B03">
              <w:rPr>
                <w:color w:val="000000"/>
                <w:kern w:val="0"/>
                <w:sz w:val="24"/>
                <w:szCs w:val="24"/>
              </w:rPr>
              <w:t>+2%</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交通银行股份有限公司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3F3B21" w:rsidRPr="006506EF" w:rsidTr="003F3B21">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3F3B21" w:rsidRPr="006506EF" w:rsidTr="003F3B21">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12,034,216.93</w:t>
            </w:r>
          </w:p>
        </w:tc>
      </w:tr>
      <w:tr w:rsidR="003F3B21" w:rsidRPr="006506EF" w:rsidTr="003F3B21">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11,199,949.85</w:t>
            </w:r>
          </w:p>
        </w:tc>
      </w:tr>
      <w:tr w:rsidR="003F3B21" w:rsidRPr="006506EF" w:rsidTr="003F3B21">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0.0243</w:t>
            </w:r>
          </w:p>
        </w:tc>
      </w:tr>
      <w:tr w:rsidR="003F3B21" w:rsidRPr="006506EF" w:rsidTr="003F3B21">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956,320,700.08</w:t>
            </w:r>
          </w:p>
        </w:tc>
      </w:tr>
      <w:tr w:rsidR="003F3B21" w:rsidRPr="006506EF" w:rsidTr="003F3B21">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1.484</w:t>
            </w:r>
          </w:p>
        </w:tc>
      </w:tr>
    </w:tbl>
    <w:p w:rsidR="00C72198" w:rsidRDefault="003F3B21">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w:t>
      </w:r>
      <w:r>
        <w:rPr>
          <w:color w:val="000000"/>
          <w:sz w:val="24"/>
        </w:rPr>
        <w:t>,</w:t>
      </w:r>
      <w:r>
        <w:rPr>
          <w:color w:val="000000"/>
          <w:sz w:val="24"/>
        </w:rPr>
        <w:t>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w:t>
      </w:r>
      <w:r w:rsidRPr="006506EF">
        <w:rPr>
          <w:color w:val="000000"/>
          <w:sz w:val="24"/>
        </w:rPr>
        <w:t>(</w:t>
      </w:r>
      <w:r w:rsidRPr="006506EF">
        <w:rPr>
          <w:color w:val="000000"/>
          <w:sz w:val="24"/>
        </w:rPr>
        <w:t>不含公允价值变动收益</w:t>
      </w:r>
      <w:r w:rsidRPr="006506EF">
        <w:rPr>
          <w:color w:val="000000"/>
          <w:sz w:val="24"/>
        </w:rPr>
        <w:t>)</w:t>
      </w:r>
      <w:r w:rsidRPr="006506EF">
        <w:rPr>
          <w:color w:val="000000"/>
          <w:sz w:val="24"/>
        </w:rPr>
        <w:t>扣除相关费用后的余额</w:t>
      </w:r>
      <w:r w:rsidRPr="006506EF">
        <w:rPr>
          <w:color w:val="000000"/>
          <w:sz w:val="24"/>
        </w:rPr>
        <w:t>,</w:t>
      </w:r>
      <w:r w:rsidRPr="006506EF">
        <w:rPr>
          <w:color w:val="000000"/>
          <w:sz w:val="24"/>
        </w:rPr>
        <w:t>本期利润为本期已实现收益加上本期公允价值变动收益。</w:t>
      </w:r>
      <w:r w:rsidRPr="006506EF">
        <w:rPr>
          <w:color w:val="000000"/>
          <w:sz w:val="24"/>
        </w:rPr>
        <w:t xml:space="preserve"> </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C72198">
        <w:tc>
          <w:tcPr>
            <w:tcW w:w="1395" w:type="dxa"/>
            <w:vAlign w:val="center"/>
          </w:tcPr>
          <w:p w:rsidR="00C72198" w:rsidRDefault="003F3B21">
            <w:pPr>
              <w:jc w:val="left"/>
            </w:pPr>
            <w:r>
              <w:rPr>
                <w:color w:val="000000"/>
                <w:kern w:val="0"/>
                <w:sz w:val="24"/>
                <w:szCs w:val="24"/>
              </w:rPr>
              <w:t>过去三个月</w:t>
            </w:r>
          </w:p>
        </w:tc>
        <w:tc>
          <w:tcPr>
            <w:tcW w:w="1092" w:type="dxa"/>
            <w:vAlign w:val="center"/>
          </w:tcPr>
          <w:p w:rsidR="00C72198" w:rsidRDefault="003F3B21">
            <w:pPr>
              <w:jc w:val="center"/>
            </w:pPr>
            <w:r>
              <w:rPr>
                <w:color w:val="000000"/>
                <w:kern w:val="0"/>
                <w:sz w:val="24"/>
                <w:szCs w:val="24"/>
              </w:rPr>
              <w:t>1.99%</w:t>
            </w:r>
          </w:p>
        </w:tc>
        <w:tc>
          <w:tcPr>
            <w:tcW w:w="1161" w:type="dxa"/>
            <w:vAlign w:val="center"/>
          </w:tcPr>
          <w:p w:rsidR="00C72198" w:rsidRDefault="003F3B21">
            <w:pPr>
              <w:jc w:val="center"/>
            </w:pPr>
            <w:r>
              <w:rPr>
                <w:color w:val="000000"/>
                <w:kern w:val="0"/>
                <w:sz w:val="24"/>
                <w:szCs w:val="24"/>
              </w:rPr>
              <w:t>0.16%</w:t>
            </w:r>
          </w:p>
        </w:tc>
        <w:tc>
          <w:tcPr>
            <w:tcW w:w="1181" w:type="dxa"/>
            <w:vAlign w:val="center"/>
          </w:tcPr>
          <w:p w:rsidR="00C72198" w:rsidRDefault="003F3B21">
            <w:pPr>
              <w:jc w:val="center"/>
            </w:pPr>
            <w:r>
              <w:rPr>
                <w:color w:val="000000"/>
                <w:kern w:val="0"/>
                <w:sz w:val="24"/>
                <w:szCs w:val="24"/>
              </w:rPr>
              <w:t>0.88%</w:t>
            </w:r>
          </w:p>
        </w:tc>
        <w:tc>
          <w:tcPr>
            <w:tcW w:w="1188" w:type="dxa"/>
            <w:vAlign w:val="center"/>
          </w:tcPr>
          <w:p w:rsidR="00C72198" w:rsidRDefault="003F3B21">
            <w:pPr>
              <w:jc w:val="center"/>
            </w:pPr>
            <w:r>
              <w:rPr>
                <w:color w:val="000000"/>
                <w:kern w:val="0"/>
                <w:sz w:val="24"/>
                <w:szCs w:val="24"/>
              </w:rPr>
              <w:t>0.01%</w:t>
            </w:r>
          </w:p>
        </w:tc>
        <w:tc>
          <w:tcPr>
            <w:tcW w:w="1199" w:type="dxa"/>
            <w:vAlign w:val="center"/>
          </w:tcPr>
          <w:p w:rsidR="00C72198" w:rsidRDefault="003F3B21">
            <w:pPr>
              <w:jc w:val="center"/>
            </w:pPr>
            <w:r>
              <w:rPr>
                <w:color w:val="000000"/>
                <w:kern w:val="0"/>
                <w:sz w:val="24"/>
                <w:szCs w:val="24"/>
              </w:rPr>
              <w:t>1.11%</w:t>
            </w:r>
          </w:p>
        </w:tc>
        <w:tc>
          <w:tcPr>
            <w:tcW w:w="1204" w:type="dxa"/>
            <w:vAlign w:val="center"/>
          </w:tcPr>
          <w:p w:rsidR="00C72198" w:rsidRDefault="003F3B21">
            <w:pPr>
              <w:jc w:val="center"/>
            </w:pPr>
            <w:r>
              <w:rPr>
                <w:color w:val="000000"/>
                <w:kern w:val="0"/>
                <w:sz w:val="24"/>
                <w:szCs w:val="24"/>
              </w:rPr>
              <w:t>0.15%</w:t>
            </w:r>
          </w:p>
        </w:tc>
      </w:tr>
      <w:tr w:rsidR="00C72198">
        <w:tc>
          <w:tcPr>
            <w:tcW w:w="1395" w:type="dxa"/>
            <w:vAlign w:val="center"/>
          </w:tcPr>
          <w:p w:rsidR="00C72198" w:rsidRDefault="003F3B21">
            <w:pPr>
              <w:jc w:val="left"/>
            </w:pPr>
            <w:r>
              <w:rPr>
                <w:color w:val="000000"/>
                <w:kern w:val="0"/>
                <w:sz w:val="24"/>
                <w:szCs w:val="24"/>
              </w:rPr>
              <w:t>过去六个月</w:t>
            </w:r>
          </w:p>
        </w:tc>
        <w:tc>
          <w:tcPr>
            <w:tcW w:w="1092" w:type="dxa"/>
            <w:vAlign w:val="center"/>
          </w:tcPr>
          <w:p w:rsidR="00C72198" w:rsidRDefault="003F3B21">
            <w:pPr>
              <w:jc w:val="center"/>
            </w:pPr>
            <w:r>
              <w:rPr>
                <w:color w:val="000000"/>
                <w:kern w:val="0"/>
                <w:sz w:val="24"/>
                <w:szCs w:val="24"/>
              </w:rPr>
              <w:t>6.84%</w:t>
            </w:r>
          </w:p>
        </w:tc>
        <w:tc>
          <w:tcPr>
            <w:tcW w:w="1161" w:type="dxa"/>
            <w:vAlign w:val="center"/>
          </w:tcPr>
          <w:p w:rsidR="00C72198" w:rsidRDefault="003F3B21">
            <w:pPr>
              <w:jc w:val="center"/>
            </w:pPr>
            <w:r>
              <w:rPr>
                <w:color w:val="000000"/>
                <w:kern w:val="0"/>
                <w:sz w:val="24"/>
                <w:szCs w:val="24"/>
              </w:rPr>
              <w:t>1.21%</w:t>
            </w:r>
          </w:p>
        </w:tc>
        <w:tc>
          <w:tcPr>
            <w:tcW w:w="1181" w:type="dxa"/>
            <w:vAlign w:val="center"/>
          </w:tcPr>
          <w:p w:rsidR="00C72198" w:rsidRDefault="003F3B21">
            <w:pPr>
              <w:jc w:val="center"/>
            </w:pPr>
            <w:r>
              <w:rPr>
                <w:color w:val="000000"/>
                <w:kern w:val="0"/>
                <w:sz w:val="24"/>
                <w:szCs w:val="24"/>
              </w:rPr>
              <w:t>1.77%</w:t>
            </w:r>
          </w:p>
        </w:tc>
        <w:tc>
          <w:tcPr>
            <w:tcW w:w="1188" w:type="dxa"/>
            <w:vAlign w:val="center"/>
          </w:tcPr>
          <w:p w:rsidR="00C72198" w:rsidRDefault="003F3B21">
            <w:pPr>
              <w:jc w:val="center"/>
            </w:pPr>
            <w:r>
              <w:rPr>
                <w:color w:val="000000"/>
                <w:kern w:val="0"/>
                <w:sz w:val="24"/>
                <w:szCs w:val="24"/>
              </w:rPr>
              <w:t>0.01%</w:t>
            </w:r>
          </w:p>
        </w:tc>
        <w:tc>
          <w:tcPr>
            <w:tcW w:w="1199" w:type="dxa"/>
            <w:vAlign w:val="center"/>
          </w:tcPr>
          <w:p w:rsidR="00C72198" w:rsidRDefault="003F3B21">
            <w:pPr>
              <w:jc w:val="center"/>
            </w:pPr>
            <w:r>
              <w:rPr>
                <w:color w:val="000000"/>
                <w:kern w:val="0"/>
                <w:sz w:val="24"/>
                <w:szCs w:val="24"/>
              </w:rPr>
              <w:t>5.07%</w:t>
            </w:r>
          </w:p>
        </w:tc>
        <w:tc>
          <w:tcPr>
            <w:tcW w:w="1204" w:type="dxa"/>
            <w:vAlign w:val="center"/>
          </w:tcPr>
          <w:p w:rsidR="00C72198" w:rsidRDefault="003F3B21">
            <w:pPr>
              <w:jc w:val="center"/>
            </w:pPr>
            <w:r>
              <w:rPr>
                <w:color w:val="000000"/>
                <w:kern w:val="0"/>
                <w:sz w:val="24"/>
                <w:szCs w:val="24"/>
              </w:rPr>
              <w:t>1.20%</w:t>
            </w:r>
          </w:p>
        </w:tc>
      </w:tr>
      <w:tr w:rsidR="00C72198">
        <w:tc>
          <w:tcPr>
            <w:tcW w:w="1395" w:type="dxa"/>
            <w:vAlign w:val="center"/>
          </w:tcPr>
          <w:p w:rsidR="00C72198" w:rsidRDefault="003F3B21">
            <w:pPr>
              <w:jc w:val="left"/>
            </w:pPr>
            <w:r>
              <w:rPr>
                <w:color w:val="000000"/>
                <w:kern w:val="0"/>
                <w:sz w:val="24"/>
                <w:szCs w:val="24"/>
              </w:rPr>
              <w:t>过去一年</w:t>
            </w:r>
          </w:p>
        </w:tc>
        <w:tc>
          <w:tcPr>
            <w:tcW w:w="1092" w:type="dxa"/>
            <w:vAlign w:val="center"/>
          </w:tcPr>
          <w:p w:rsidR="00C72198" w:rsidRDefault="003F3B21">
            <w:pPr>
              <w:jc w:val="center"/>
            </w:pPr>
            <w:r>
              <w:rPr>
                <w:color w:val="000000"/>
                <w:kern w:val="0"/>
                <w:sz w:val="24"/>
                <w:szCs w:val="24"/>
              </w:rPr>
              <w:t>33.94%</w:t>
            </w:r>
          </w:p>
        </w:tc>
        <w:tc>
          <w:tcPr>
            <w:tcW w:w="1161" w:type="dxa"/>
            <w:vAlign w:val="center"/>
          </w:tcPr>
          <w:p w:rsidR="00C72198" w:rsidRDefault="003F3B21">
            <w:pPr>
              <w:jc w:val="center"/>
            </w:pPr>
            <w:r>
              <w:rPr>
                <w:color w:val="000000"/>
                <w:kern w:val="0"/>
                <w:sz w:val="24"/>
                <w:szCs w:val="24"/>
              </w:rPr>
              <w:t>1.12%</w:t>
            </w:r>
          </w:p>
        </w:tc>
        <w:tc>
          <w:tcPr>
            <w:tcW w:w="1181" w:type="dxa"/>
            <w:vAlign w:val="center"/>
          </w:tcPr>
          <w:p w:rsidR="00C72198" w:rsidRDefault="003F3B21">
            <w:pPr>
              <w:jc w:val="center"/>
            </w:pPr>
            <w:r>
              <w:rPr>
                <w:color w:val="000000"/>
                <w:kern w:val="0"/>
                <w:sz w:val="24"/>
                <w:szCs w:val="24"/>
              </w:rPr>
              <w:t>3.56%</w:t>
            </w:r>
          </w:p>
        </w:tc>
        <w:tc>
          <w:tcPr>
            <w:tcW w:w="1188" w:type="dxa"/>
            <w:vAlign w:val="center"/>
          </w:tcPr>
          <w:p w:rsidR="00C72198" w:rsidRDefault="003F3B21">
            <w:pPr>
              <w:jc w:val="center"/>
            </w:pPr>
            <w:r>
              <w:rPr>
                <w:color w:val="000000"/>
                <w:kern w:val="0"/>
                <w:sz w:val="24"/>
                <w:szCs w:val="24"/>
              </w:rPr>
              <w:t>0.01%</w:t>
            </w:r>
          </w:p>
        </w:tc>
        <w:tc>
          <w:tcPr>
            <w:tcW w:w="1199" w:type="dxa"/>
            <w:vAlign w:val="center"/>
          </w:tcPr>
          <w:p w:rsidR="00C72198" w:rsidRDefault="003F3B21">
            <w:pPr>
              <w:jc w:val="center"/>
            </w:pPr>
            <w:r>
              <w:rPr>
                <w:color w:val="000000"/>
                <w:kern w:val="0"/>
                <w:sz w:val="24"/>
                <w:szCs w:val="24"/>
              </w:rPr>
              <w:t>30.38%</w:t>
            </w:r>
          </w:p>
        </w:tc>
        <w:tc>
          <w:tcPr>
            <w:tcW w:w="1204" w:type="dxa"/>
            <w:vAlign w:val="center"/>
          </w:tcPr>
          <w:p w:rsidR="00C72198" w:rsidRDefault="003F3B21">
            <w:pPr>
              <w:jc w:val="center"/>
            </w:pPr>
            <w:r>
              <w:rPr>
                <w:color w:val="000000"/>
                <w:kern w:val="0"/>
                <w:sz w:val="24"/>
                <w:szCs w:val="24"/>
              </w:rPr>
              <w:t>1.11%</w:t>
            </w:r>
          </w:p>
        </w:tc>
      </w:tr>
      <w:tr w:rsidR="00C72198">
        <w:tc>
          <w:tcPr>
            <w:tcW w:w="1395" w:type="dxa"/>
            <w:vAlign w:val="center"/>
          </w:tcPr>
          <w:p w:rsidR="00C72198" w:rsidRDefault="003F3B21">
            <w:pPr>
              <w:jc w:val="left"/>
            </w:pPr>
            <w:r>
              <w:rPr>
                <w:color w:val="000000"/>
                <w:kern w:val="0"/>
                <w:sz w:val="24"/>
                <w:szCs w:val="24"/>
              </w:rPr>
              <w:t>过去三年</w:t>
            </w:r>
          </w:p>
        </w:tc>
        <w:tc>
          <w:tcPr>
            <w:tcW w:w="1092" w:type="dxa"/>
            <w:vAlign w:val="center"/>
          </w:tcPr>
          <w:p w:rsidR="00C72198" w:rsidRDefault="003F3B21">
            <w:pPr>
              <w:jc w:val="center"/>
            </w:pPr>
            <w:r>
              <w:rPr>
                <w:color w:val="000000"/>
                <w:kern w:val="0"/>
                <w:sz w:val="24"/>
                <w:szCs w:val="24"/>
              </w:rPr>
              <w:t>-</w:t>
            </w:r>
          </w:p>
        </w:tc>
        <w:tc>
          <w:tcPr>
            <w:tcW w:w="1161" w:type="dxa"/>
            <w:vAlign w:val="center"/>
          </w:tcPr>
          <w:p w:rsidR="00C72198" w:rsidRDefault="003F3B21">
            <w:pPr>
              <w:jc w:val="center"/>
            </w:pPr>
            <w:r>
              <w:rPr>
                <w:color w:val="000000"/>
                <w:kern w:val="0"/>
                <w:sz w:val="24"/>
                <w:szCs w:val="24"/>
              </w:rPr>
              <w:t>-</w:t>
            </w:r>
          </w:p>
        </w:tc>
        <w:tc>
          <w:tcPr>
            <w:tcW w:w="1181" w:type="dxa"/>
            <w:vAlign w:val="center"/>
          </w:tcPr>
          <w:p w:rsidR="00C72198" w:rsidRDefault="003F3B21">
            <w:pPr>
              <w:jc w:val="center"/>
            </w:pPr>
            <w:r>
              <w:rPr>
                <w:color w:val="000000"/>
                <w:kern w:val="0"/>
                <w:sz w:val="24"/>
                <w:szCs w:val="24"/>
              </w:rPr>
              <w:t>-</w:t>
            </w:r>
          </w:p>
        </w:tc>
        <w:tc>
          <w:tcPr>
            <w:tcW w:w="1188" w:type="dxa"/>
            <w:vAlign w:val="center"/>
          </w:tcPr>
          <w:p w:rsidR="00C72198" w:rsidRDefault="003F3B21">
            <w:pPr>
              <w:jc w:val="center"/>
            </w:pPr>
            <w:r>
              <w:rPr>
                <w:color w:val="000000"/>
                <w:kern w:val="0"/>
                <w:sz w:val="24"/>
                <w:szCs w:val="24"/>
              </w:rPr>
              <w:t>-</w:t>
            </w:r>
          </w:p>
        </w:tc>
        <w:tc>
          <w:tcPr>
            <w:tcW w:w="1199" w:type="dxa"/>
            <w:vAlign w:val="center"/>
          </w:tcPr>
          <w:p w:rsidR="00C72198" w:rsidRDefault="003F3B21">
            <w:pPr>
              <w:jc w:val="center"/>
            </w:pPr>
            <w:r>
              <w:rPr>
                <w:color w:val="000000"/>
                <w:kern w:val="0"/>
                <w:sz w:val="24"/>
                <w:szCs w:val="24"/>
              </w:rPr>
              <w:t>-</w:t>
            </w:r>
          </w:p>
        </w:tc>
        <w:tc>
          <w:tcPr>
            <w:tcW w:w="1204" w:type="dxa"/>
            <w:vAlign w:val="center"/>
          </w:tcPr>
          <w:p w:rsidR="00C72198" w:rsidRDefault="003F3B21">
            <w:pPr>
              <w:jc w:val="center"/>
            </w:pPr>
            <w:r>
              <w:rPr>
                <w:color w:val="000000"/>
                <w:kern w:val="0"/>
                <w:sz w:val="24"/>
                <w:szCs w:val="24"/>
              </w:rPr>
              <w:t>-</w:t>
            </w:r>
          </w:p>
        </w:tc>
      </w:tr>
      <w:tr w:rsidR="00C72198">
        <w:tc>
          <w:tcPr>
            <w:tcW w:w="1395" w:type="dxa"/>
            <w:vAlign w:val="center"/>
          </w:tcPr>
          <w:p w:rsidR="00C72198" w:rsidRDefault="003F3B21">
            <w:pPr>
              <w:jc w:val="left"/>
            </w:pPr>
            <w:r>
              <w:rPr>
                <w:color w:val="000000"/>
                <w:kern w:val="0"/>
                <w:sz w:val="24"/>
                <w:szCs w:val="24"/>
              </w:rPr>
              <w:t>过去五年</w:t>
            </w:r>
          </w:p>
        </w:tc>
        <w:tc>
          <w:tcPr>
            <w:tcW w:w="1092" w:type="dxa"/>
            <w:vAlign w:val="center"/>
          </w:tcPr>
          <w:p w:rsidR="00C72198" w:rsidRDefault="003F3B21">
            <w:pPr>
              <w:jc w:val="center"/>
            </w:pPr>
            <w:r>
              <w:rPr>
                <w:color w:val="000000"/>
                <w:kern w:val="0"/>
                <w:sz w:val="24"/>
                <w:szCs w:val="24"/>
              </w:rPr>
              <w:t>-</w:t>
            </w:r>
          </w:p>
        </w:tc>
        <w:tc>
          <w:tcPr>
            <w:tcW w:w="1161" w:type="dxa"/>
            <w:vAlign w:val="center"/>
          </w:tcPr>
          <w:p w:rsidR="00C72198" w:rsidRDefault="003F3B21">
            <w:pPr>
              <w:jc w:val="center"/>
            </w:pPr>
            <w:r>
              <w:rPr>
                <w:color w:val="000000"/>
                <w:kern w:val="0"/>
                <w:sz w:val="24"/>
                <w:szCs w:val="24"/>
              </w:rPr>
              <w:t>-</w:t>
            </w:r>
          </w:p>
        </w:tc>
        <w:tc>
          <w:tcPr>
            <w:tcW w:w="1181" w:type="dxa"/>
            <w:vAlign w:val="center"/>
          </w:tcPr>
          <w:p w:rsidR="00C72198" w:rsidRDefault="003F3B21">
            <w:pPr>
              <w:jc w:val="center"/>
            </w:pPr>
            <w:r>
              <w:rPr>
                <w:color w:val="000000"/>
                <w:kern w:val="0"/>
                <w:sz w:val="24"/>
                <w:szCs w:val="24"/>
              </w:rPr>
              <w:t>-</w:t>
            </w:r>
          </w:p>
        </w:tc>
        <w:tc>
          <w:tcPr>
            <w:tcW w:w="1188" w:type="dxa"/>
            <w:vAlign w:val="center"/>
          </w:tcPr>
          <w:p w:rsidR="00C72198" w:rsidRDefault="003F3B21">
            <w:pPr>
              <w:jc w:val="center"/>
            </w:pPr>
            <w:r>
              <w:rPr>
                <w:color w:val="000000"/>
                <w:kern w:val="0"/>
                <w:sz w:val="24"/>
                <w:szCs w:val="24"/>
              </w:rPr>
              <w:t>-</w:t>
            </w:r>
          </w:p>
        </w:tc>
        <w:tc>
          <w:tcPr>
            <w:tcW w:w="1199" w:type="dxa"/>
            <w:vAlign w:val="center"/>
          </w:tcPr>
          <w:p w:rsidR="00C72198" w:rsidRDefault="003F3B21">
            <w:pPr>
              <w:jc w:val="center"/>
            </w:pPr>
            <w:r>
              <w:rPr>
                <w:color w:val="000000"/>
                <w:kern w:val="0"/>
                <w:sz w:val="24"/>
                <w:szCs w:val="24"/>
              </w:rPr>
              <w:t>-</w:t>
            </w:r>
          </w:p>
        </w:tc>
        <w:tc>
          <w:tcPr>
            <w:tcW w:w="1204" w:type="dxa"/>
            <w:vAlign w:val="center"/>
          </w:tcPr>
          <w:p w:rsidR="00C72198" w:rsidRDefault="003F3B21">
            <w:pPr>
              <w:jc w:val="center"/>
            </w:pPr>
            <w:r>
              <w:rPr>
                <w:color w:val="000000"/>
                <w:kern w:val="0"/>
                <w:sz w:val="24"/>
                <w:szCs w:val="24"/>
              </w:rPr>
              <w:t>-</w:t>
            </w:r>
          </w:p>
        </w:tc>
      </w:tr>
      <w:tr w:rsidR="00C72198">
        <w:tc>
          <w:tcPr>
            <w:tcW w:w="1395" w:type="dxa"/>
            <w:vAlign w:val="center"/>
          </w:tcPr>
          <w:p w:rsidR="00C72198" w:rsidRDefault="003F3B21">
            <w:pPr>
              <w:jc w:val="left"/>
            </w:pPr>
            <w:r>
              <w:rPr>
                <w:color w:val="000000"/>
                <w:kern w:val="0"/>
                <w:sz w:val="24"/>
                <w:szCs w:val="24"/>
              </w:rPr>
              <w:t>自基金合同生效起至今</w:t>
            </w:r>
          </w:p>
        </w:tc>
        <w:tc>
          <w:tcPr>
            <w:tcW w:w="1092" w:type="dxa"/>
            <w:vAlign w:val="center"/>
          </w:tcPr>
          <w:p w:rsidR="00C72198" w:rsidRDefault="003F3B21">
            <w:pPr>
              <w:jc w:val="center"/>
            </w:pPr>
            <w:r>
              <w:rPr>
                <w:color w:val="000000"/>
                <w:kern w:val="0"/>
                <w:sz w:val="24"/>
                <w:szCs w:val="24"/>
              </w:rPr>
              <w:t>48.40%</w:t>
            </w:r>
          </w:p>
        </w:tc>
        <w:tc>
          <w:tcPr>
            <w:tcW w:w="1161" w:type="dxa"/>
            <w:vAlign w:val="center"/>
          </w:tcPr>
          <w:p w:rsidR="00C72198" w:rsidRDefault="003F3B21">
            <w:pPr>
              <w:jc w:val="center"/>
            </w:pPr>
            <w:r>
              <w:rPr>
                <w:color w:val="000000"/>
                <w:kern w:val="0"/>
                <w:sz w:val="24"/>
                <w:szCs w:val="24"/>
              </w:rPr>
              <w:t>1.11%</w:t>
            </w:r>
          </w:p>
        </w:tc>
        <w:tc>
          <w:tcPr>
            <w:tcW w:w="1181" w:type="dxa"/>
            <w:vAlign w:val="center"/>
          </w:tcPr>
          <w:p w:rsidR="00C72198" w:rsidRDefault="003F3B21">
            <w:pPr>
              <w:jc w:val="center"/>
            </w:pPr>
            <w:r>
              <w:rPr>
                <w:color w:val="000000"/>
                <w:kern w:val="0"/>
                <w:sz w:val="24"/>
                <w:szCs w:val="24"/>
              </w:rPr>
              <w:t>8.56%</w:t>
            </w:r>
          </w:p>
        </w:tc>
        <w:tc>
          <w:tcPr>
            <w:tcW w:w="1188" w:type="dxa"/>
            <w:vAlign w:val="center"/>
          </w:tcPr>
          <w:p w:rsidR="00C72198" w:rsidRDefault="003F3B21">
            <w:pPr>
              <w:jc w:val="center"/>
            </w:pPr>
            <w:r>
              <w:rPr>
                <w:color w:val="000000"/>
                <w:kern w:val="0"/>
                <w:sz w:val="24"/>
                <w:szCs w:val="24"/>
              </w:rPr>
              <w:t>0.01%</w:t>
            </w:r>
          </w:p>
        </w:tc>
        <w:tc>
          <w:tcPr>
            <w:tcW w:w="1199" w:type="dxa"/>
            <w:vAlign w:val="center"/>
          </w:tcPr>
          <w:p w:rsidR="00C72198" w:rsidRDefault="003F3B21">
            <w:pPr>
              <w:jc w:val="center"/>
            </w:pPr>
            <w:r>
              <w:rPr>
                <w:color w:val="000000"/>
                <w:kern w:val="0"/>
                <w:sz w:val="24"/>
                <w:szCs w:val="24"/>
              </w:rPr>
              <w:t>39.84%</w:t>
            </w:r>
          </w:p>
        </w:tc>
        <w:tc>
          <w:tcPr>
            <w:tcW w:w="1204" w:type="dxa"/>
            <w:vAlign w:val="center"/>
          </w:tcPr>
          <w:p w:rsidR="00C72198" w:rsidRDefault="003F3B21">
            <w:pPr>
              <w:jc w:val="center"/>
            </w:pPr>
            <w:r>
              <w:rPr>
                <w:color w:val="000000"/>
                <w:kern w:val="0"/>
                <w:sz w:val="24"/>
                <w:szCs w:val="24"/>
              </w:rPr>
              <w:t>1.10%</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易方达瑞和灵活配置混合型证券投资基金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2018</w:t>
      </w:r>
      <w:r w:rsidRPr="0074694E">
        <w:rPr>
          <w:rFonts w:ascii="Times New Roman" w:hAnsi="Times New Roman"/>
          <w:sz w:val="24"/>
          <w:szCs w:val="24"/>
        </w:rPr>
        <w:t>年</w:t>
      </w:r>
      <w:r w:rsidRPr="0074694E">
        <w:rPr>
          <w:rFonts w:ascii="Times New Roman" w:hAnsi="Times New Roman"/>
          <w:sz w:val="24"/>
          <w:szCs w:val="24"/>
        </w:rPr>
        <w:t>2</w:t>
      </w:r>
      <w:r w:rsidRPr="0074694E">
        <w:rPr>
          <w:rFonts w:ascii="Times New Roman" w:hAnsi="Times New Roman"/>
          <w:sz w:val="24"/>
          <w:szCs w:val="24"/>
        </w:rPr>
        <w:t>月</w:t>
      </w:r>
      <w:r w:rsidRPr="0074694E">
        <w:rPr>
          <w:rFonts w:ascii="Times New Roman" w:hAnsi="Times New Roman"/>
          <w:sz w:val="24"/>
          <w:szCs w:val="24"/>
        </w:rPr>
        <w:t>2</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3F3B21" w:rsidP="004061AC">
      <w:pPr>
        <w:pStyle w:val="a5"/>
        <w:snapToGrid w:val="0"/>
        <w:spacing w:before="120" w:line="360" w:lineRule="auto"/>
        <w:jc w:val="center"/>
        <w:rPr>
          <w:rFonts w:hAnsi="宋体"/>
          <w:color w:val="000000"/>
          <w:sz w:val="24"/>
          <w:szCs w:val="24"/>
        </w:rPr>
      </w:pPr>
      <w:r>
        <w:rPr>
          <w:rFonts w:hAnsi="宋体"/>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5pt;height:241.5pt;visibility:visible">
            <v:imagedata r:id="rId10" o:title=""/>
          </v:shape>
        </w:pic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48.40%</w:t>
      </w:r>
      <w:r w:rsidRPr="006C56AA">
        <w:rPr>
          <w:color w:val="000000"/>
          <w:sz w:val="24"/>
          <w:szCs w:val="24"/>
        </w:rPr>
        <w:t>，同期业绩比较基准收益率为</w:t>
      </w:r>
      <w:r w:rsidRPr="006C56AA">
        <w:rPr>
          <w:color w:val="000000"/>
          <w:sz w:val="24"/>
          <w:szCs w:val="24"/>
        </w:rPr>
        <w:t>8.56%</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C72198">
        <w:tc>
          <w:tcPr>
            <w:tcW w:w="567" w:type="dxa"/>
            <w:vAlign w:val="center"/>
          </w:tcPr>
          <w:p w:rsidR="00C72198" w:rsidRDefault="003F3B21">
            <w:pPr>
              <w:jc w:val="center"/>
            </w:pPr>
            <w:r>
              <w:rPr>
                <w:color w:val="000000"/>
                <w:sz w:val="24"/>
              </w:rPr>
              <w:t>韩阅川</w:t>
            </w:r>
          </w:p>
        </w:tc>
        <w:tc>
          <w:tcPr>
            <w:tcW w:w="2835" w:type="dxa"/>
            <w:vAlign w:val="center"/>
          </w:tcPr>
          <w:p w:rsidR="00C72198" w:rsidRDefault="003F3B21">
            <w:pPr>
              <w:jc w:val="left"/>
            </w:pPr>
            <w:r>
              <w:rPr>
                <w:color w:val="000000"/>
                <w:sz w:val="24"/>
              </w:rPr>
              <w:t>本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w:t>
            </w:r>
            <w:r>
              <w:rPr>
                <w:color w:val="000000"/>
                <w:sz w:val="24"/>
              </w:rPr>
              <w:t>型证券投资基金的基金经理、易方达瑞信灵活配置混合型证券投资基金的基金经理、易方达鑫转招利混合型证券投资基金的基金经理、易方达鑫转添利混合型证券投资基金的基金经理、易方达瑞川灵活配</w:t>
            </w:r>
            <w:r>
              <w:rPr>
                <w:color w:val="000000"/>
                <w:sz w:val="24"/>
              </w:rPr>
              <w:lastRenderedPageBreak/>
              <w:t>置混合型发起式证券投资基金的基金经理、易方达丰惠混合型证券投资基金的基金经理、易方达新收益灵活配置混合型证券投资基金的基金经理助理</w:t>
            </w:r>
          </w:p>
        </w:tc>
        <w:tc>
          <w:tcPr>
            <w:tcW w:w="851" w:type="dxa"/>
            <w:vAlign w:val="center"/>
          </w:tcPr>
          <w:p w:rsidR="00C72198" w:rsidRDefault="003F3B21">
            <w:pPr>
              <w:jc w:val="center"/>
            </w:pPr>
            <w:r>
              <w:rPr>
                <w:color w:val="000000"/>
                <w:sz w:val="24"/>
              </w:rPr>
              <w:lastRenderedPageBreak/>
              <w:t>2020-03-07</w:t>
            </w:r>
          </w:p>
        </w:tc>
        <w:tc>
          <w:tcPr>
            <w:tcW w:w="850" w:type="dxa"/>
            <w:vAlign w:val="center"/>
          </w:tcPr>
          <w:p w:rsidR="00C72198" w:rsidRDefault="003F3B21">
            <w:pPr>
              <w:jc w:val="center"/>
            </w:pPr>
            <w:r>
              <w:rPr>
                <w:color w:val="000000"/>
                <w:sz w:val="24"/>
              </w:rPr>
              <w:t>-</w:t>
            </w:r>
          </w:p>
        </w:tc>
        <w:tc>
          <w:tcPr>
            <w:tcW w:w="851" w:type="dxa"/>
            <w:vAlign w:val="center"/>
          </w:tcPr>
          <w:p w:rsidR="00C72198" w:rsidRDefault="003F3B21">
            <w:pPr>
              <w:jc w:val="center"/>
            </w:pPr>
            <w:r>
              <w:rPr>
                <w:color w:val="000000"/>
                <w:sz w:val="24"/>
              </w:rPr>
              <w:t>9</w:t>
            </w:r>
            <w:r>
              <w:rPr>
                <w:color w:val="000000"/>
                <w:sz w:val="24"/>
              </w:rPr>
              <w:t>年</w:t>
            </w:r>
          </w:p>
        </w:tc>
        <w:tc>
          <w:tcPr>
            <w:tcW w:w="2977" w:type="dxa"/>
            <w:vAlign w:val="center"/>
          </w:tcPr>
          <w:p w:rsidR="00C72198" w:rsidRDefault="003F3B21">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w:t>
            </w:r>
            <w:r>
              <w:rPr>
                <w:color w:val="000000"/>
                <w:sz w:val="24"/>
              </w:rPr>
              <w:t>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w:t>
            </w:r>
            <w:r>
              <w:rPr>
                <w:color w:val="000000"/>
                <w:sz w:val="24"/>
              </w:rPr>
              <w:t>基金经理助理。</w:t>
            </w:r>
          </w:p>
        </w:tc>
      </w:tr>
    </w:tbl>
    <w:p w:rsidR="00C72198" w:rsidRDefault="003F3B21">
      <w:pPr>
        <w:spacing w:line="360" w:lineRule="auto"/>
        <w:ind w:firstLineChars="200" w:firstLine="480"/>
        <w:rPr>
          <w:color w:val="000000"/>
          <w:sz w:val="24"/>
          <w:szCs w:val="24"/>
        </w:rPr>
      </w:pPr>
      <w:r>
        <w:rPr>
          <w:color w:val="000000"/>
          <w:sz w:val="24"/>
          <w:szCs w:val="24"/>
        </w:rPr>
        <w:t>注：</w:t>
      </w:r>
      <w:r>
        <w:rPr>
          <w:color w:val="000000"/>
          <w:sz w:val="24"/>
          <w:szCs w:val="24"/>
        </w:rPr>
        <w:t>1.</w:t>
      </w:r>
      <w:r>
        <w:rPr>
          <w:color w:val="000000"/>
          <w:sz w:val="24"/>
          <w:szCs w:val="24"/>
        </w:rPr>
        <w:t>对基金的首任基金经理，其</w:t>
      </w:r>
      <w:r>
        <w:rPr>
          <w:color w:val="000000"/>
          <w:sz w:val="24"/>
          <w:szCs w:val="24"/>
        </w:rPr>
        <w:t>“</w:t>
      </w:r>
      <w:r>
        <w:rPr>
          <w:color w:val="000000"/>
          <w:sz w:val="24"/>
          <w:szCs w:val="24"/>
        </w:rPr>
        <w:t>任职日期</w:t>
      </w:r>
      <w:r>
        <w:rPr>
          <w:color w:val="000000"/>
          <w:sz w:val="24"/>
          <w:szCs w:val="24"/>
        </w:rPr>
        <w:t>”</w:t>
      </w:r>
      <w:r>
        <w:rPr>
          <w:color w:val="000000"/>
          <w:sz w:val="24"/>
          <w:szCs w:val="24"/>
        </w:rPr>
        <w:t>为基金合同生效日，</w:t>
      </w:r>
      <w:r>
        <w:rPr>
          <w:color w:val="000000"/>
          <w:sz w:val="24"/>
          <w:szCs w:val="24"/>
        </w:rPr>
        <w:t>“</w:t>
      </w:r>
      <w:r>
        <w:rPr>
          <w:color w:val="000000"/>
          <w:sz w:val="24"/>
          <w:szCs w:val="24"/>
        </w:rPr>
        <w:t>离任日期</w:t>
      </w:r>
      <w:r>
        <w:rPr>
          <w:color w:val="000000"/>
          <w:sz w:val="24"/>
          <w:szCs w:val="24"/>
        </w:rPr>
        <w:t>”</w:t>
      </w:r>
      <w:r>
        <w:rPr>
          <w:color w:val="000000"/>
          <w:sz w:val="24"/>
          <w:szCs w:val="24"/>
        </w:rPr>
        <w:t>为根据公司决定确定的解聘日期；对此后的非首任基金经理，</w:t>
      </w:r>
      <w:r>
        <w:rPr>
          <w:color w:val="000000"/>
          <w:sz w:val="24"/>
          <w:szCs w:val="24"/>
        </w:rPr>
        <w:t>“</w:t>
      </w:r>
      <w:r>
        <w:rPr>
          <w:color w:val="000000"/>
          <w:sz w:val="24"/>
          <w:szCs w:val="24"/>
        </w:rPr>
        <w:t>任职日期</w:t>
      </w:r>
      <w:r>
        <w:rPr>
          <w:color w:val="000000"/>
          <w:sz w:val="24"/>
          <w:szCs w:val="24"/>
        </w:rPr>
        <w:t>”</w:t>
      </w:r>
      <w:r>
        <w:rPr>
          <w:color w:val="000000"/>
          <w:sz w:val="24"/>
          <w:szCs w:val="24"/>
        </w:rPr>
        <w:t>和</w:t>
      </w:r>
      <w:r>
        <w:rPr>
          <w:color w:val="000000"/>
          <w:sz w:val="24"/>
          <w:szCs w:val="24"/>
        </w:rPr>
        <w:t>“</w:t>
      </w:r>
      <w:r>
        <w:rPr>
          <w:color w:val="000000"/>
          <w:sz w:val="24"/>
          <w:szCs w:val="24"/>
        </w:rPr>
        <w:t>离任日期</w:t>
      </w:r>
      <w:r>
        <w:rPr>
          <w:color w:val="000000"/>
          <w:sz w:val="24"/>
          <w:szCs w:val="24"/>
        </w:rPr>
        <w:t>”</w:t>
      </w:r>
      <w:r>
        <w:rPr>
          <w:color w:val="000000"/>
          <w:sz w:val="24"/>
          <w:szCs w:val="24"/>
        </w:rPr>
        <w:t>分别指根据公司决定确定的聘任日期和解聘日期。</w:t>
      </w:r>
    </w:p>
    <w:p w:rsidR="00750D48" w:rsidRPr="00232B03" w:rsidRDefault="004D28A3" w:rsidP="004D28A3">
      <w:pPr>
        <w:spacing w:line="360" w:lineRule="auto"/>
        <w:ind w:firstLineChars="200" w:firstLine="480"/>
        <w:rPr>
          <w:color w:val="000000"/>
          <w:sz w:val="24"/>
          <w:szCs w:val="24"/>
        </w:rPr>
      </w:pPr>
      <w:r w:rsidRPr="004D28A3">
        <w:rPr>
          <w:color w:val="000000"/>
          <w:sz w:val="24"/>
          <w:szCs w:val="24"/>
        </w:rPr>
        <w:t>2.</w:t>
      </w:r>
      <w:r w:rsidRPr="004D28A3">
        <w:rPr>
          <w:color w:val="000000"/>
          <w:sz w:val="24"/>
          <w:szCs w:val="24"/>
        </w:rPr>
        <w:t>证券从业的含义遵从《证券业从业人员资格管理办法》的相关规定。</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C72198" w:rsidRDefault="003F3B21">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w:t>
      </w:r>
      <w:r>
        <w:rPr>
          <w:color w:val="000000"/>
          <w:sz w:val="24"/>
          <w:szCs w:val="24"/>
        </w:rPr>
        <w:t>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C72198" w:rsidRDefault="003F3B21">
      <w:pPr>
        <w:spacing w:line="360" w:lineRule="auto"/>
        <w:ind w:firstLineChars="200" w:firstLine="480"/>
        <w:rPr>
          <w:color w:val="000000"/>
          <w:sz w:val="24"/>
          <w:szCs w:val="24"/>
        </w:rPr>
      </w:pPr>
      <w:r>
        <w:rPr>
          <w:color w:val="000000"/>
          <w:sz w:val="24"/>
          <w:szCs w:val="24"/>
        </w:rPr>
        <w:lastRenderedPageBreak/>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szCs w:val="24"/>
        </w:rPr>
        <w:t>5</w:t>
      </w:r>
      <w:r>
        <w:rPr>
          <w:color w:val="000000"/>
          <w:sz w:val="24"/>
          <w:szCs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szCs w:val="24"/>
        </w:rPr>
        <w:t>6</w:t>
      </w:r>
      <w:r>
        <w:rPr>
          <w:color w:val="000000"/>
          <w:sz w:val="24"/>
          <w:szCs w:val="24"/>
        </w:rPr>
        <w:t>月，货币环境仍未好转，叠加首批</w:t>
      </w:r>
      <w:r>
        <w:rPr>
          <w:color w:val="000000"/>
          <w:sz w:val="24"/>
          <w:szCs w:val="24"/>
        </w:rPr>
        <w:t>1000</w:t>
      </w:r>
      <w:r>
        <w:rPr>
          <w:color w:val="000000"/>
          <w:sz w:val="24"/>
          <w:szCs w:val="24"/>
        </w:rPr>
        <w:t>亿元特别国债发行但央行无配套动作，市场情绪进一步悲观，继续推动长端收益率上行。直</w:t>
      </w:r>
      <w:r>
        <w:rPr>
          <w:color w:val="000000"/>
          <w:sz w:val="24"/>
          <w:szCs w:val="24"/>
        </w:rPr>
        <w:t>到半年末，央行适时开启逆回购呵护半年末流动性，市场情绪有所恢复，长端收益率趋于稳定。信用债走势与利率债类似，全季来看收益率整体大幅上行，长端信用利差整体走阔。</w:t>
      </w:r>
    </w:p>
    <w:p w:rsidR="00C72198" w:rsidRDefault="003F3B21">
      <w:pPr>
        <w:spacing w:line="360" w:lineRule="auto"/>
        <w:ind w:firstLineChars="200" w:firstLine="48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szCs w:val="24"/>
        </w:rPr>
        <w:t>A</w:t>
      </w:r>
      <w:r>
        <w:rPr>
          <w:color w:val="000000"/>
          <w:sz w:val="24"/>
          <w:szCs w:val="24"/>
        </w:rPr>
        <w:t>股主要沿着业绩</w:t>
      </w:r>
      <w:r>
        <w:rPr>
          <w:color w:val="000000"/>
          <w:sz w:val="24"/>
          <w:szCs w:val="24"/>
        </w:rPr>
        <w:t>“</w:t>
      </w:r>
      <w:r>
        <w:rPr>
          <w:color w:val="000000"/>
          <w:sz w:val="24"/>
          <w:szCs w:val="24"/>
        </w:rPr>
        <w:t>确定性</w:t>
      </w:r>
      <w:r>
        <w:rPr>
          <w:color w:val="000000"/>
          <w:sz w:val="24"/>
          <w:szCs w:val="24"/>
        </w:rPr>
        <w:t>”</w:t>
      </w:r>
      <w:r>
        <w:rPr>
          <w:color w:val="000000"/>
          <w:sz w:val="24"/>
          <w:szCs w:val="24"/>
        </w:rPr>
        <w:t>的方向延伸，其中一季报超预期品种的超额收益尤为确定及显著，医药行业表现持续强势，机构配置持续维持高位。二季度初，伴随海外疫情逐渐消散，国内工业及服</w:t>
      </w:r>
      <w:r>
        <w:rPr>
          <w:color w:val="000000"/>
          <w:sz w:val="24"/>
          <w:szCs w:val="24"/>
        </w:rPr>
        <w:t>务业复工复产快速恢复，与稳增长相关的板块及部分恢复速度较快的可选消费板块表现强劲，其中食品饮料、水泥、半导体等表现突出。市场投资者情绪也呈现快速修复，主动管理基金申购再度回暖。进入</w:t>
      </w:r>
      <w:r>
        <w:rPr>
          <w:color w:val="000000"/>
          <w:sz w:val="24"/>
          <w:szCs w:val="24"/>
        </w:rPr>
        <w:t>5</w:t>
      </w:r>
      <w:r>
        <w:rPr>
          <w:color w:val="000000"/>
          <w:sz w:val="24"/>
          <w:szCs w:val="24"/>
        </w:rPr>
        <w:t>月，中美贸易摩擦再度有所升温，美国疫情进入二次爆发，致使</w:t>
      </w:r>
      <w:r>
        <w:rPr>
          <w:color w:val="000000"/>
          <w:sz w:val="24"/>
          <w:szCs w:val="24"/>
        </w:rPr>
        <w:t>TMT</w:t>
      </w:r>
      <w:r>
        <w:rPr>
          <w:color w:val="000000"/>
          <w:sz w:val="24"/>
          <w:szCs w:val="24"/>
        </w:rPr>
        <w:t>板块的风险偏好有小幅降温，但在海外市场持续强劲的背景下，北上资金不改前期持续流入的趋势，市场并未出现明显调整，保持着结构性行情的震荡格局。</w:t>
      </w:r>
      <w:r>
        <w:rPr>
          <w:color w:val="000000"/>
          <w:sz w:val="24"/>
          <w:szCs w:val="24"/>
        </w:rPr>
        <w:t>6</w:t>
      </w:r>
      <w:r>
        <w:rPr>
          <w:color w:val="000000"/>
          <w:sz w:val="24"/>
          <w:szCs w:val="24"/>
        </w:rPr>
        <w:t>月份以来，资本市场改革政策逐步推出，创业板注册制的快速推进、三板精选层基金的发布等，显著提升了权益市场的风险偏好，也催生二季度后</w:t>
      </w:r>
      <w:r>
        <w:rPr>
          <w:color w:val="000000"/>
          <w:sz w:val="24"/>
          <w:szCs w:val="24"/>
        </w:rPr>
        <w:t>期科技板块的强劲反弹。</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权益坚持自下而上选择个股的长期配置价值，逐步增加股票仓位，以提升组合弹性。债券方面，组合继续维持较高的杠杆和中性的久期水平，整体仍按照票息策略的偏绝对收益操作思路为主。此外，组合仍积极参与科创版打新。</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1.484</w:t>
      </w:r>
      <w:r w:rsidRPr="006C56AA">
        <w:rPr>
          <w:color w:val="000000"/>
          <w:sz w:val="24"/>
          <w:szCs w:val="24"/>
        </w:rPr>
        <w:t>元，本报告期份额净值增长率为</w:t>
      </w:r>
      <w:r w:rsidRPr="006C56AA">
        <w:rPr>
          <w:color w:val="000000"/>
          <w:sz w:val="24"/>
          <w:szCs w:val="24"/>
        </w:rPr>
        <w:lastRenderedPageBreak/>
        <w:t>1.99%</w:t>
      </w:r>
      <w:r w:rsidRPr="006C56AA">
        <w:rPr>
          <w:color w:val="000000"/>
          <w:sz w:val="24"/>
          <w:szCs w:val="24"/>
        </w:rPr>
        <w:t>，同期业绩比较基准收益率为</w:t>
      </w:r>
      <w:r w:rsidRPr="006C56AA">
        <w:rPr>
          <w:color w:val="000000"/>
          <w:sz w:val="24"/>
          <w:szCs w:val="24"/>
        </w:rPr>
        <w:t>0.88%</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144,005,804.81</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12.74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144,005,804.81</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12.74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963,293,751.20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85.20</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911,293,751.20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80.60</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52,000,000.00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4.60</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10,826,171.05</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0.96</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12,504,202.68</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1.11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1,130,629,929.74</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5,873,240.00</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0.61</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90,855,921.60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9.50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6,952,382.32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0.73</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lastRenderedPageBreak/>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5,742,126.00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0.60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15,489,298.12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1.62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190,731.77</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5,779,209.00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0.60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13,122,896.00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1.37</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144,005,804.81</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15.06</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C72198">
        <w:tc>
          <w:tcPr>
            <w:tcW w:w="851" w:type="dxa"/>
            <w:vAlign w:val="center"/>
          </w:tcPr>
          <w:p w:rsidR="00C72198" w:rsidRDefault="003F3B21">
            <w:pPr>
              <w:jc w:val="center"/>
            </w:pPr>
            <w:r>
              <w:rPr>
                <w:color w:val="000000"/>
                <w:kern w:val="0"/>
                <w:sz w:val="24"/>
                <w:szCs w:val="24"/>
              </w:rPr>
              <w:t>1</w:t>
            </w:r>
          </w:p>
        </w:tc>
        <w:tc>
          <w:tcPr>
            <w:tcW w:w="1276" w:type="dxa"/>
            <w:vAlign w:val="center"/>
          </w:tcPr>
          <w:p w:rsidR="00C72198" w:rsidRDefault="003F3B21">
            <w:pPr>
              <w:jc w:val="center"/>
            </w:pPr>
            <w:r>
              <w:rPr>
                <w:color w:val="000000"/>
                <w:kern w:val="0"/>
                <w:sz w:val="24"/>
                <w:szCs w:val="24"/>
              </w:rPr>
              <w:t>601877</w:t>
            </w:r>
          </w:p>
        </w:tc>
        <w:tc>
          <w:tcPr>
            <w:tcW w:w="1418" w:type="dxa"/>
            <w:vAlign w:val="center"/>
          </w:tcPr>
          <w:p w:rsidR="00C72198" w:rsidRDefault="003F3B21">
            <w:pPr>
              <w:jc w:val="center"/>
            </w:pPr>
            <w:r>
              <w:rPr>
                <w:color w:val="000000"/>
                <w:kern w:val="0"/>
                <w:sz w:val="24"/>
                <w:szCs w:val="24"/>
              </w:rPr>
              <w:t>正泰电器</w:t>
            </w:r>
          </w:p>
        </w:tc>
        <w:tc>
          <w:tcPr>
            <w:tcW w:w="1701" w:type="dxa"/>
            <w:vAlign w:val="center"/>
          </w:tcPr>
          <w:p w:rsidR="00C72198" w:rsidRDefault="003F3B21">
            <w:pPr>
              <w:jc w:val="right"/>
            </w:pPr>
            <w:r>
              <w:rPr>
                <w:color w:val="000000"/>
                <w:kern w:val="0"/>
                <w:sz w:val="24"/>
                <w:szCs w:val="24"/>
              </w:rPr>
              <w:t>277,300</w:t>
            </w:r>
          </w:p>
        </w:tc>
        <w:tc>
          <w:tcPr>
            <w:tcW w:w="1984" w:type="dxa"/>
            <w:vAlign w:val="center"/>
          </w:tcPr>
          <w:p w:rsidR="00C72198" w:rsidRDefault="003F3B21">
            <w:pPr>
              <w:jc w:val="right"/>
            </w:pPr>
            <w:r>
              <w:rPr>
                <w:color w:val="000000"/>
                <w:kern w:val="0"/>
                <w:sz w:val="24"/>
                <w:szCs w:val="24"/>
              </w:rPr>
              <w:t>7,306,855.00</w:t>
            </w:r>
          </w:p>
        </w:tc>
        <w:tc>
          <w:tcPr>
            <w:tcW w:w="1559" w:type="dxa"/>
            <w:vAlign w:val="center"/>
          </w:tcPr>
          <w:p w:rsidR="00C72198" w:rsidRDefault="003F3B21">
            <w:pPr>
              <w:jc w:val="right"/>
            </w:pPr>
            <w:r>
              <w:rPr>
                <w:color w:val="000000"/>
                <w:kern w:val="0"/>
                <w:sz w:val="24"/>
                <w:szCs w:val="24"/>
              </w:rPr>
              <w:t>0.76</w:t>
            </w:r>
          </w:p>
        </w:tc>
      </w:tr>
      <w:tr w:rsidR="00C72198">
        <w:tc>
          <w:tcPr>
            <w:tcW w:w="851"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600900</w:t>
            </w:r>
          </w:p>
        </w:tc>
        <w:tc>
          <w:tcPr>
            <w:tcW w:w="1418" w:type="dxa"/>
            <w:vAlign w:val="center"/>
          </w:tcPr>
          <w:p w:rsidR="00C72198" w:rsidRDefault="003F3B21">
            <w:pPr>
              <w:jc w:val="center"/>
            </w:pPr>
            <w:r>
              <w:rPr>
                <w:color w:val="000000"/>
                <w:kern w:val="0"/>
                <w:sz w:val="24"/>
                <w:szCs w:val="24"/>
              </w:rPr>
              <w:t>长江电力</w:t>
            </w:r>
          </w:p>
        </w:tc>
        <w:tc>
          <w:tcPr>
            <w:tcW w:w="1701" w:type="dxa"/>
            <w:vAlign w:val="center"/>
          </w:tcPr>
          <w:p w:rsidR="00C72198" w:rsidRDefault="003F3B21">
            <w:pPr>
              <w:jc w:val="right"/>
            </w:pPr>
            <w:r>
              <w:rPr>
                <w:color w:val="000000"/>
                <w:kern w:val="0"/>
                <w:sz w:val="24"/>
                <w:szCs w:val="24"/>
              </w:rPr>
              <w:t>366,400</w:t>
            </w:r>
          </w:p>
        </w:tc>
        <w:tc>
          <w:tcPr>
            <w:tcW w:w="1984" w:type="dxa"/>
            <w:vAlign w:val="center"/>
          </w:tcPr>
          <w:p w:rsidR="00C72198" w:rsidRDefault="003F3B21">
            <w:pPr>
              <w:jc w:val="right"/>
            </w:pPr>
            <w:r>
              <w:rPr>
                <w:color w:val="000000"/>
                <w:kern w:val="0"/>
                <w:sz w:val="24"/>
                <w:szCs w:val="24"/>
              </w:rPr>
              <w:t>6,939,616.00</w:t>
            </w:r>
          </w:p>
        </w:tc>
        <w:tc>
          <w:tcPr>
            <w:tcW w:w="1559" w:type="dxa"/>
            <w:vAlign w:val="center"/>
          </w:tcPr>
          <w:p w:rsidR="00C72198" w:rsidRDefault="003F3B21">
            <w:pPr>
              <w:jc w:val="right"/>
            </w:pPr>
            <w:r>
              <w:rPr>
                <w:color w:val="000000"/>
                <w:kern w:val="0"/>
                <w:sz w:val="24"/>
                <w:szCs w:val="24"/>
              </w:rPr>
              <w:t>0.73</w:t>
            </w:r>
          </w:p>
        </w:tc>
      </w:tr>
      <w:tr w:rsidR="00C72198">
        <w:tc>
          <w:tcPr>
            <w:tcW w:w="851" w:type="dxa"/>
            <w:vAlign w:val="center"/>
          </w:tcPr>
          <w:p w:rsidR="00C72198" w:rsidRDefault="003F3B21">
            <w:pPr>
              <w:jc w:val="center"/>
            </w:pPr>
            <w:r>
              <w:rPr>
                <w:color w:val="000000"/>
                <w:kern w:val="0"/>
                <w:sz w:val="24"/>
                <w:szCs w:val="24"/>
              </w:rPr>
              <w:t>3</w:t>
            </w:r>
          </w:p>
        </w:tc>
        <w:tc>
          <w:tcPr>
            <w:tcW w:w="1276" w:type="dxa"/>
            <w:vAlign w:val="center"/>
          </w:tcPr>
          <w:p w:rsidR="00C72198" w:rsidRDefault="003F3B21">
            <w:pPr>
              <w:jc w:val="center"/>
            </w:pPr>
            <w:r>
              <w:rPr>
                <w:color w:val="000000"/>
                <w:kern w:val="0"/>
                <w:sz w:val="24"/>
                <w:szCs w:val="24"/>
              </w:rPr>
              <w:t>600048</w:t>
            </w:r>
          </w:p>
        </w:tc>
        <w:tc>
          <w:tcPr>
            <w:tcW w:w="1418" w:type="dxa"/>
            <w:vAlign w:val="center"/>
          </w:tcPr>
          <w:p w:rsidR="00C72198" w:rsidRDefault="003F3B21">
            <w:pPr>
              <w:jc w:val="center"/>
            </w:pPr>
            <w:r>
              <w:rPr>
                <w:color w:val="000000"/>
                <w:kern w:val="0"/>
                <w:sz w:val="24"/>
                <w:szCs w:val="24"/>
              </w:rPr>
              <w:t>保利地产</w:t>
            </w:r>
          </w:p>
        </w:tc>
        <w:tc>
          <w:tcPr>
            <w:tcW w:w="1701" w:type="dxa"/>
            <w:vAlign w:val="center"/>
          </w:tcPr>
          <w:p w:rsidR="00C72198" w:rsidRDefault="003F3B21">
            <w:pPr>
              <w:jc w:val="right"/>
            </w:pPr>
            <w:r>
              <w:rPr>
                <w:color w:val="000000"/>
                <w:kern w:val="0"/>
                <w:sz w:val="24"/>
                <w:szCs w:val="24"/>
              </w:rPr>
              <w:t>453,900</w:t>
            </w:r>
          </w:p>
        </w:tc>
        <w:tc>
          <w:tcPr>
            <w:tcW w:w="1984" w:type="dxa"/>
            <w:vAlign w:val="center"/>
          </w:tcPr>
          <w:p w:rsidR="00C72198" w:rsidRDefault="003F3B21">
            <w:pPr>
              <w:jc w:val="right"/>
            </w:pPr>
            <w:r>
              <w:rPr>
                <w:color w:val="000000"/>
                <w:kern w:val="0"/>
                <w:sz w:val="24"/>
                <w:szCs w:val="24"/>
              </w:rPr>
              <w:t>6,708,642.00</w:t>
            </w:r>
          </w:p>
        </w:tc>
        <w:tc>
          <w:tcPr>
            <w:tcW w:w="1559" w:type="dxa"/>
            <w:vAlign w:val="center"/>
          </w:tcPr>
          <w:p w:rsidR="00C72198" w:rsidRDefault="003F3B21">
            <w:pPr>
              <w:jc w:val="right"/>
            </w:pPr>
            <w:r>
              <w:rPr>
                <w:color w:val="000000"/>
                <w:kern w:val="0"/>
                <w:sz w:val="24"/>
                <w:szCs w:val="24"/>
              </w:rPr>
              <w:t>0.70</w:t>
            </w:r>
          </w:p>
        </w:tc>
      </w:tr>
      <w:tr w:rsidR="00C72198">
        <w:tc>
          <w:tcPr>
            <w:tcW w:w="851" w:type="dxa"/>
            <w:vAlign w:val="center"/>
          </w:tcPr>
          <w:p w:rsidR="00C72198" w:rsidRDefault="003F3B21">
            <w:pPr>
              <w:jc w:val="center"/>
            </w:pPr>
            <w:r>
              <w:rPr>
                <w:color w:val="000000"/>
                <w:kern w:val="0"/>
                <w:sz w:val="24"/>
                <w:szCs w:val="24"/>
              </w:rPr>
              <w:t>4</w:t>
            </w:r>
          </w:p>
        </w:tc>
        <w:tc>
          <w:tcPr>
            <w:tcW w:w="1276" w:type="dxa"/>
            <w:vAlign w:val="center"/>
          </w:tcPr>
          <w:p w:rsidR="00C72198" w:rsidRDefault="003F3B21">
            <w:pPr>
              <w:jc w:val="center"/>
            </w:pPr>
            <w:r>
              <w:rPr>
                <w:color w:val="000000"/>
                <w:kern w:val="0"/>
                <w:sz w:val="24"/>
                <w:szCs w:val="24"/>
              </w:rPr>
              <w:t>600585</w:t>
            </w:r>
          </w:p>
        </w:tc>
        <w:tc>
          <w:tcPr>
            <w:tcW w:w="1418" w:type="dxa"/>
            <w:vAlign w:val="center"/>
          </w:tcPr>
          <w:p w:rsidR="00C72198" w:rsidRDefault="003F3B21">
            <w:pPr>
              <w:jc w:val="center"/>
            </w:pPr>
            <w:r>
              <w:rPr>
                <w:color w:val="000000"/>
                <w:kern w:val="0"/>
                <w:sz w:val="24"/>
                <w:szCs w:val="24"/>
              </w:rPr>
              <w:t>海螺水泥</w:t>
            </w:r>
          </w:p>
        </w:tc>
        <w:tc>
          <w:tcPr>
            <w:tcW w:w="1701" w:type="dxa"/>
            <w:vAlign w:val="center"/>
          </w:tcPr>
          <w:p w:rsidR="00C72198" w:rsidRDefault="003F3B21">
            <w:pPr>
              <w:jc w:val="right"/>
            </w:pPr>
            <w:r>
              <w:rPr>
                <w:color w:val="000000"/>
                <w:kern w:val="0"/>
                <w:sz w:val="24"/>
                <w:szCs w:val="24"/>
              </w:rPr>
              <w:t>120,400</w:t>
            </w:r>
          </w:p>
        </w:tc>
        <w:tc>
          <w:tcPr>
            <w:tcW w:w="1984" w:type="dxa"/>
            <w:vAlign w:val="center"/>
          </w:tcPr>
          <w:p w:rsidR="00C72198" w:rsidRDefault="003F3B21">
            <w:pPr>
              <w:jc w:val="right"/>
            </w:pPr>
            <w:r>
              <w:rPr>
                <w:color w:val="000000"/>
                <w:kern w:val="0"/>
                <w:sz w:val="24"/>
                <w:szCs w:val="24"/>
              </w:rPr>
              <w:t>6,370,364.00</w:t>
            </w:r>
          </w:p>
        </w:tc>
        <w:tc>
          <w:tcPr>
            <w:tcW w:w="1559" w:type="dxa"/>
            <w:vAlign w:val="center"/>
          </w:tcPr>
          <w:p w:rsidR="00C72198" w:rsidRDefault="003F3B21">
            <w:pPr>
              <w:jc w:val="right"/>
            </w:pPr>
            <w:r>
              <w:rPr>
                <w:color w:val="000000"/>
                <w:kern w:val="0"/>
                <w:sz w:val="24"/>
                <w:szCs w:val="24"/>
              </w:rPr>
              <w:t>0.67</w:t>
            </w:r>
          </w:p>
        </w:tc>
      </w:tr>
      <w:tr w:rsidR="00C72198">
        <w:tc>
          <w:tcPr>
            <w:tcW w:w="851" w:type="dxa"/>
            <w:vAlign w:val="center"/>
          </w:tcPr>
          <w:p w:rsidR="00C72198" w:rsidRDefault="003F3B21">
            <w:pPr>
              <w:jc w:val="center"/>
            </w:pPr>
            <w:r>
              <w:rPr>
                <w:color w:val="000000"/>
                <w:kern w:val="0"/>
                <w:sz w:val="24"/>
                <w:szCs w:val="24"/>
              </w:rPr>
              <w:t>5</w:t>
            </w:r>
          </w:p>
        </w:tc>
        <w:tc>
          <w:tcPr>
            <w:tcW w:w="1276" w:type="dxa"/>
            <w:vAlign w:val="center"/>
          </w:tcPr>
          <w:p w:rsidR="00C72198" w:rsidRDefault="003F3B21">
            <w:pPr>
              <w:jc w:val="center"/>
            </w:pPr>
            <w:r>
              <w:rPr>
                <w:color w:val="000000"/>
                <w:kern w:val="0"/>
                <w:sz w:val="24"/>
                <w:szCs w:val="24"/>
              </w:rPr>
              <w:t>600066</w:t>
            </w:r>
          </w:p>
        </w:tc>
        <w:tc>
          <w:tcPr>
            <w:tcW w:w="1418" w:type="dxa"/>
            <w:vAlign w:val="center"/>
          </w:tcPr>
          <w:p w:rsidR="00C72198" w:rsidRDefault="003F3B21">
            <w:pPr>
              <w:jc w:val="center"/>
            </w:pPr>
            <w:r>
              <w:rPr>
                <w:color w:val="000000"/>
                <w:kern w:val="0"/>
                <w:sz w:val="24"/>
                <w:szCs w:val="24"/>
              </w:rPr>
              <w:t>宇通客车</w:t>
            </w:r>
          </w:p>
        </w:tc>
        <w:tc>
          <w:tcPr>
            <w:tcW w:w="1701" w:type="dxa"/>
            <w:vAlign w:val="center"/>
          </w:tcPr>
          <w:p w:rsidR="00C72198" w:rsidRDefault="003F3B21">
            <w:pPr>
              <w:jc w:val="right"/>
            </w:pPr>
            <w:r>
              <w:rPr>
                <w:color w:val="000000"/>
                <w:kern w:val="0"/>
                <w:sz w:val="24"/>
                <w:szCs w:val="24"/>
              </w:rPr>
              <w:t>508,364</w:t>
            </w:r>
          </w:p>
        </w:tc>
        <w:tc>
          <w:tcPr>
            <w:tcW w:w="1984" w:type="dxa"/>
            <w:vAlign w:val="center"/>
          </w:tcPr>
          <w:p w:rsidR="00C72198" w:rsidRDefault="003F3B21">
            <w:pPr>
              <w:jc w:val="right"/>
            </w:pPr>
            <w:r>
              <w:rPr>
                <w:color w:val="000000"/>
                <w:kern w:val="0"/>
                <w:sz w:val="24"/>
                <w:szCs w:val="24"/>
              </w:rPr>
              <w:t>6,202,040.80</w:t>
            </w:r>
          </w:p>
        </w:tc>
        <w:tc>
          <w:tcPr>
            <w:tcW w:w="1559" w:type="dxa"/>
            <w:vAlign w:val="center"/>
          </w:tcPr>
          <w:p w:rsidR="00C72198" w:rsidRDefault="003F3B21">
            <w:pPr>
              <w:jc w:val="right"/>
            </w:pPr>
            <w:r>
              <w:rPr>
                <w:color w:val="000000"/>
                <w:kern w:val="0"/>
                <w:sz w:val="24"/>
                <w:szCs w:val="24"/>
              </w:rPr>
              <w:t>0.65</w:t>
            </w:r>
          </w:p>
        </w:tc>
      </w:tr>
      <w:tr w:rsidR="00C72198">
        <w:tc>
          <w:tcPr>
            <w:tcW w:w="851" w:type="dxa"/>
            <w:vAlign w:val="center"/>
          </w:tcPr>
          <w:p w:rsidR="00C72198" w:rsidRDefault="003F3B21">
            <w:pPr>
              <w:jc w:val="center"/>
            </w:pPr>
            <w:r>
              <w:rPr>
                <w:color w:val="000000"/>
                <w:kern w:val="0"/>
                <w:sz w:val="24"/>
                <w:szCs w:val="24"/>
              </w:rPr>
              <w:t>6</w:t>
            </w:r>
          </w:p>
        </w:tc>
        <w:tc>
          <w:tcPr>
            <w:tcW w:w="1276" w:type="dxa"/>
            <w:vAlign w:val="center"/>
          </w:tcPr>
          <w:p w:rsidR="00C72198" w:rsidRDefault="003F3B21">
            <w:pPr>
              <w:jc w:val="center"/>
            </w:pPr>
            <w:r>
              <w:rPr>
                <w:color w:val="000000"/>
                <w:kern w:val="0"/>
                <w:sz w:val="24"/>
                <w:szCs w:val="24"/>
              </w:rPr>
              <w:t>600377</w:t>
            </w:r>
          </w:p>
        </w:tc>
        <w:tc>
          <w:tcPr>
            <w:tcW w:w="1418" w:type="dxa"/>
            <w:vAlign w:val="center"/>
          </w:tcPr>
          <w:p w:rsidR="00C72198" w:rsidRDefault="003F3B21">
            <w:pPr>
              <w:jc w:val="center"/>
            </w:pPr>
            <w:r>
              <w:rPr>
                <w:color w:val="000000"/>
                <w:kern w:val="0"/>
                <w:sz w:val="24"/>
                <w:szCs w:val="24"/>
              </w:rPr>
              <w:t>宁沪高速</w:t>
            </w:r>
          </w:p>
        </w:tc>
        <w:tc>
          <w:tcPr>
            <w:tcW w:w="1701" w:type="dxa"/>
            <w:vAlign w:val="center"/>
          </w:tcPr>
          <w:p w:rsidR="00C72198" w:rsidRDefault="003F3B21">
            <w:pPr>
              <w:jc w:val="right"/>
            </w:pPr>
            <w:r>
              <w:rPr>
                <w:color w:val="000000"/>
                <w:kern w:val="0"/>
                <w:sz w:val="24"/>
                <w:szCs w:val="24"/>
              </w:rPr>
              <w:t>625,500</w:t>
            </w:r>
          </w:p>
        </w:tc>
        <w:tc>
          <w:tcPr>
            <w:tcW w:w="1984" w:type="dxa"/>
            <w:vAlign w:val="center"/>
          </w:tcPr>
          <w:p w:rsidR="00C72198" w:rsidRDefault="003F3B21">
            <w:pPr>
              <w:jc w:val="right"/>
            </w:pPr>
            <w:r>
              <w:rPr>
                <w:color w:val="000000"/>
                <w:kern w:val="0"/>
                <w:sz w:val="24"/>
                <w:szCs w:val="24"/>
              </w:rPr>
              <w:t>6,136,155.00</w:t>
            </w:r>
          </w:p>
        </w:tc>
        <w:tc>
          <w:tcPr>
            <w:tcW w:w="1559" w:type="dxa"/>
            <w:vAlign w:val="center"/>
          </w:tcPr>
          <w:p w:rsidR="00C72198" w:rsidRDefault="003F3B21">
            <w:pPr>
              <w:jc w:val="right"/>
            </w:pPr>
            <w:r>
              <w:rPr>
                <w:color w:val="000000"/>
                <w:kern w:val="0"/>
                <w:sz w:val="24"/>
                <w:szCs w:val="24"/>
              </w:rPr>
              <w:t>0.64</w:t>
            </w:r>
          </w:p>
        </w:tc>
      </w:tr>
      <w:tr w:rsidR="00C72198">
        <w:tc>
          <w:tcPr>
            <w:tcW w:w="851" w:type="dxa"/>
            <w:vAlign w:val="center"/>
          </w:tcPr>
          <w:p w:rsidR="00C72198" w:rsidRDefault="003F3B21">
            <w:pPr>
              <w:jc w:val="center"/>
            </w:pPr>
            <w:r>
              <w:rPr>
                <w:color w:val="000000"/>
                <w:kern w:val="0"/>
                <w:sz w:val="24"/>
                <w:szCs w:val="24"/>
              </w:rPr>
              <w:t>7</w:t>
            </w:r>
          </w:p>
        </w:tc>
        <w:tc>
          <w:tcPr>
            <w:tcW w:w="1276" w:type="dxa"/>
            <w:vAlign w:val="center"/>
          </w:tcPr>
          <w:p w:rsidR="00C72198" w:rsidRDefault="003F3B21">
            <w:pPr>
              <w:jc w:val="center"/>
            </w:pPr>
            <w:r>
              <w:rPr>
                <w:color w:val="000000"/>
                <w:kern w:val="0"/>
                <w:sz w:val="24"/>
                <w:szCs w:val="24"/>
              </w:rPr>
              <w:t>600104</w:t>
            </w:r>
          </w:p>
        </w:tc>
        <w:tc>
          <w:tcPr>
            <w:tcW w:w="1418" w:type="dxa"/>
            <w:vAlign w:val="center"/>
          </w:tcPr>
          <w:p w:rsidR="00C72198" w:rsidRDefault="003F3B21">
            <w:pPr>
              <w:jc w:val="center"/>
            </w:pPr>
            <w:r>
              <w:rPr>
                <w:color w:val="000000"/>
                <w:kern w:val="0"/>
                <w:sz w:val="24"/>
                <w:szCs w:val="24"/>
              </w:rPr>
              <w:t>上汽集团</w:t>
            </w:r>
          </w:p>
        </w:tc>
        <w:tc>
          <w:tcPr>
            <w:tcW w:w="1701" w:type="dxa"/>
            <w:vAlign w:val="center"/>
          </w:tcPr>
          <w:p w:rsidR="00C72198" w:rsidRDefault="003F3B21">
            <w:pPr>
              <w:jc w:val="right"/>
            </w:pPr>
            <w:r>
              <w:rPr>
                <w:color w:val="000000"/>
                <w:kern w:val="0"/>
                <w:sz w:val="24"/>
                <w:szCs w:val="24"/>
              </w:rPr>
              <w:t>359,000</w:t>
            </w:r>
          </w:p>
        </w:tc>
        <w:tc>
          <w:tcPr>
            <w:tcW w:w="1984" w:type="dxa"/>
            <w:vAlign w:val="center"/>
          </w:tcPr>
          <w:p w:rsidR="00C72198" w:rsidRDefault="003F3B21">
            <w:pPr>
              <w:jc w:val="right"/>
            </w:pPr>
            <w:r>
              <w:rPr>
                <w:color w:val="000000"/>
                <w:kern w:val="0"/>
                <w:sz w:val="24"/>
                <w:szCs w:val="24"/>
              </w:rPr>
              <w:t>6,099,410.00</w:t>
            </w:r>
          </w:p>
        </w:tc>
        <w:tc>
          <w:tcPr>
            <w:tcW w:w="1559" w:type="dxa"/>
            <w:vAlign w:val="center"/>
          </w:tcPr>
          <w:p w:rsidR="00C72198" w:rsidRDefault="003F3B21">
            <w:pPr>
              <w:jc w:val="right"/>
            </w:pPr>
            <w:r>
              <w:rPr>
                <w:color w:val="000000"/>
                <w:kern w:val="0"/>
                <w:sz w:val="24"/>
                <w:szCs w:val="24"/>
              </w:rPr>
              <w:t>0.64</w:t>
            </w:r>
          </w:p>
        </w:tc>
      </w:tr>
      <w:tr w:rsidR="00C72198">
        <w:tc>
          <w:tcPr>
            <w:tcW w:w="851" w:type="dxa"/>
            <w:vAlign w:val="center"/>
          </w:tcPr>
          <w:p w:rsidR="00C72198" w:rsidRDefault="003F3B21">
            <w:pPr>
              <w:jc w:val="center"/>
            </w:pPr>
            <w:r>
              <w:rPr>
                <w:color w:val="000000"/>
                <w:kern w:val="0"/>
                <w:sz w:val="24"/>
                <w:szCs w:val="24"/>
              </w:rPr>
              <w:t>8</w:t>
            </w:r>
          </w:p>
        </w:tc>
        <w:tc>
          <w:tcPr>
            <w:tcW w:w="1276" w:type="dxa"/>
            <w:vAlign w:val="center"/>
          </w:tcPr>
          <w:p w:rsidR="00C72198" w:rsidRDefault="003F3B21">
            <w:pPr>
              <w:jc w:val="center"/>
            </w:pPr>
            <w:r>
              <w:rPr>
                <w:color w:val="000000"/>
                <w:kern w:val="0"/>
                <w:sz w:val="24"/>
                <w:szCs w:val="24"/>
              </w:rPr>
              <w:t>601088</w:t>
            </w:r>
          </w:p>
        </w:tc>
        <w:tc>
          <w:tcPr>
            <w:tcW w:w="1418" w:type="dxa"/>
            <w:vAlign w:val="center"/>
          </w:tcPr>
          <w:p w:rsidR="00C72198" w:rsidRDefault="003F3B21">
            <w:pPr>
              <w:jc w:val="center"/>
            </w:pPr>
            <w:r>
              <w:rPr>
                <w:color w:val="000000"/>
                <w:kern w:val="0"/>
                <w:sz w:val="24"/>
                <w:szCs w:val="24"/>
              </w:rPr>
              <w:t>中国神华</w:t>
            </w:r>
          </w:p>
        </w:tc>
        <w:tc>
          <w:tcPr>
            <w:tcW w:w="1701" w:type="dxa"/>
            <w:vAlign w:val="center"/>
          </w:tcPr>
          <w:p w:rsidR="00C72198" w:rsidRDefault="003F3B21">
            <w:pPr>
              <w:jc w:val="right"/>
            </w:pPr>
            <w:r>
              <w:rPr>
                <w:color w:val="000000"/>
                <w:kern w:val="0"/>
                <w:sz w:val="24"/>
                <w:szCs w:val="24"/>
              </w:rPr>
              <w:t>409,000</w:t>
            </w:r>
          </w:p>
        </w:tc>
        <w:tc>
          <w:tcPr>
            <w:tcW w:w="1984" w:type="dxa"/>
            <w:vAlign w:val="center"/>
          </w:tcPr>
          <w:p w:rsidR="00C72198" w:rsidRDefault="003F3B21">
            <w:pPr>
              <w:jc w:val="right"/>
            </w:pPr>
            <w:r>
              <w:rPr>
                <w:color w:val="000000"/>
                <w:kern w:val="0"/>
                <w:sz w:val="24"/>
                <w:szCs w:val="24"/>
              </w:rPr>
              <w:t>5,873,240.00</w:t>
            </w:r>
          </w:p>
        </w:tc>
        <w:tc>
          <w:tcPr>
            <w:tcW w:w="1559" w:type="dxa"/>
            <w:vAlign w:val="center"/>
          </w:tcPr>
          <w:p w:rsidR="00C72198" w:rsidRDefault="003F3B21">
            <w:pPr>
              <w:jc w:val="right"/>
            </w:pPr>
            <w:r>
              <w:rPr>
                <w:color w:val="000000"/>
                <w:kern w:val="0"/>
                <w:sz w:val="24"/>
                <w:szCs w:val="24"/>
              </w:rPr>
              <w:t>0.61</w:t>
            </w:r>
          </w:p>
        </w:tc>
      </w:tr>
      <w:tr w:rsidR="00C72198">
        <w:tc>
          <w:tcPr>
            <w:tcW w:w="851" w:type="dxa"/>
            <w:vAlign w:val="center"/>
          </w:tcPr>
          <w:p w:rsidR="00C72198" w:rsidRDefault="003F3B21">
            <w:pPr>
              <w:jc w:val="center"/>
            </w:pPr>
            <w:r>
              <w:rPr>
                <w:color w:val="000000"/>
                <w:kern w:val="0"/>
                <w:sz w:val="24"/>
                <w:szCs w:val="24"/>
              </w:rPr>
              <w:t>9</w:t>
            </w:r>
          </w:p>
        </w:tc>
        <w:tc>
          <w:tcPr>
            <w:tcW w:w="1276" w:type="dxa"/>
            <w:vAlign w:val="center"/>
          </w:tcPr>
          <w:p w:rsidR="00C72198" w:rsidRDefault="003F3B21">
            <w:pPr>
              <w:jc w:val="center"/>
            </w:pPr>
            <w:r>
              <w:rPr>
                <w:color w:val="000000"/>
                <w:kern w:val="0"/>
                <w:sz w:val="24"/>
                <w:szCs w:val="24"/>
              </w:rPr>
              <w:t>601668</w:t>
            </w:r>
          </w:p>
        </w:tc>
        <w:tc>
          <w:tcPr>
            <w:tcW w:w="1418" w:type="dxa"/>
            <w:vAlign w:val="center"/>
          </w:tcPr>
          <w:p w:rsidR="00C72198" w:rsidRDefault="003F3B21">
            <w:pPr>
              <w:jc w:val="center"/>
            </w:pPr>
            <w:r>
              <w:rPr>
                <w:color w:val="000000"/>
                <w:kern w:val="0"/>
                <w:sz w:val="24"/>
                <w:szCs w:val="24"/>
              </w:rPr>
              <w:t>中国建筑</w:t>
            </w:r>
          </w:p>
        </w:tc>
        <w:tc>
          <w:tcPr>
            <w:tcW w:w="1701" w:type="dxa"/>
            <w:vAlign w:val="center"/>
          </w:tcPr>
          <w:p w:rsidR="00C72198" w:rsidRDefault="003F3B21">
            <w:pPr>
              <w:jc w:val="right"/>
            </w:pPr>
            <w:r>
              <w:rPr>
                <w:color w:val="000000"/>
                <w:kern w:val="0"/>
                <w:sz w:val="24"/>
                <w:szCs w:val="24"/>
              </w:rPr>
              <w:t>1,203,800</w:t>
            </w:r>
          </w:p>
        </w:tc>
        <w:tc>
          <w:tcPr>
            <w:tcW w:w="1984" w:type="dxa"/>
            <w:vAlign w:val="center"/>
          </w:tcPr>
          <w:p w:rsidR="00C72198" w:rsidRDefault="003F3B21">
            <w:pPr>
              <w:jc w:val="right"/>
            </w:pPr>
            <w:r>
              <w:rPr>
                <w:color w:val="000000"/>
                <w:kern w:val="0"/>
                <w:sz w:val="24"/>
                <w:szCs w:val="24"/>
              </w:rPr>
              <w:t>5,742,126.00</w:t>
            </w:r>
          </w:p>
        </w:tc>
        <w:tc>
          <w:tcPr>
            <w:tcW w:w="1559" w:type="dxa"/>
            <w:vAlign w:val="center"/>
          </w:tcPr>
          <w:p w:rsidR="00C72198" w:rsidRDefault="003F3B21">
            <w:pPr>
              <w:jc w:val="right"/>
            </w:pPr>
            <w:r>
              <w:rPr>
                <w:color w:val="000000"/>
                <w:kern w:val="0"/>
                <w:sz w:val="24"/>
                <w:szCs w:val="24"/>
              </w:rPr>
              <w:t>0.60</w:t>
            </w:r>
          </w:p>
        </w:tc>
      </w:tr>
      <w:tr w:rsidR="00C72198">
        <w:tc>
          <w:tcPr>
            <w:tcW w:w="851" w:type="dxa"/>
            <w:vAlign w:val="center"/>
          </w:tcPr>
          <w:p w:rsidR="00C72198" w:rsidRDefault="003F3B21">
            <w:pPr>
              <w:jc w:val="center"/>
            </w:pPr>
            <w:r>
              <w:rPr>
                <w:color w:val="000000"/>
                <w:kern w:val="0"/>
                <w:sz w:val="24"/>
                <w:szCs w:val="24"/>
              </w:rPr>
              <w:t>10</w:t>
            </w:r>
          </w:p>
        </w:tc>
        <w:tc>
          <w:tcPr>
            <w:tcW w:w="1276" w:type="dxa"/>
            <w:vAlign w:val="center"/>
          </w:tcPr>
          <w:p w:rsidR="00C72198" w:rsidRDefault="003F3B21">
            <w:pPr>
              <w:jc w:val="center"/>
            </w:pPr>
            <w:r>
              <w:rPr>
                <w:color w:val="000000"/>
                <w:kern w:val="0"/>
                <w:sz w:val="24"/>
                <w:szCs w:val="24"/>
              </w:rPr>
              <w:t>300657</w:t>
            </w:r>
          </w:p>
        </w:tc>
        <w:tc>
          <w:tcPr>
            <w:tcW w:w="1418" w:type="dxa"/>
            <w:vAlign w:val="center"/>
          </w:tcPr>
          <w:p w:rsidR="00C72198" w:rsidRDefault="003F3B21">
            <w:pPr>
              <w:jc w:val="center"/>
            </w:pPr>
            <w:r>
              <w:rPr>
                <w:color w:val="000000"/>
                <w:kern w:val="0"/>
                <w:sz w:val="24"/>
                <w:szCs w:val="24"/>
              </w:rPr>
              <w:t>弘信电子</w:t>
            </w:r>
          </w:p>
        </w:tc>
        <w:tc>
          <w:tcPr>
            <w:tcW w:w="1701" w:type="dxa"/>
            <w:vAlign w:val="center"/>
          </w:tcPr>
          <w:p w:rsidR="00C72198" w:rsidRDefault="003F3B21">
            <w:pPr>
              <w:jc w:val="right"/>
            </w:pPr>
            <w:r>
              <w:rPr>
                <w:color w:val="000000"/>
                <w:kern w:val="0"/>
                <w:sz w:val="24"/>
                <w:szCs w:val="24"/>
              </w:rPr>
              <w:t>311,581</w:t>
            </w:r>
          </w:p>
        </w:tc>
        <w:tc>
          <w:tcPr>
            <w:tcW w:w="1984" w:type="dxa"/>
            <w:vAlign w:val="center"/>
          </w:tcPr>
          <w:p w:rsidR="00C72198" w:rsidRDefault="003F3B21">
            <w:pPr>
              <w:jc w:val="right"/>
            </w:pPr>
            <w:r>
              <w:rPr>
                <w:color w:val="000000"/>
                <w:kern w:val="0"/>
                <w:sz w:val="24"/>
                <w:szCs w:val="24"/>
              </w:rPr>
              <w:t>5,630,267.87</w:t>
            </w:r>
          </w:p>
        </w:tc>
        <w:tc>
          <w:tcPr>
            <w:tcW w:w="1559" w:type="dxa"/>
            <w:vAlign w:val="center"/>
          </w:tcPr>
          <w:p w:rsidR="00C72198" w:rsidRDefault="003F3B21">
            <w:pPr>
              <w:jc w:val="right"/>
            </w:pPr>
            <w:r>
              <w:rPr>
                <w:color w:val="000000"/>
                <w:kern w:val="0"/>
                <w:sz w:val="24"/>
                <w:szCs w:val="24"/>
              </w:rPr>
              <w:t>0.59</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1,000,500.00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0.10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lastRenderedPageBreak/>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47,467,700.00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4.96</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47,467,700.00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4.96</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273,787,647.20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28.63</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99,938,000.00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10.45</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489,040,000.00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51.14</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59,904.00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0.01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911,293,751.20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95.29</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C72198">
        <w:tc>
          <w:tcPr>
            <w:tcW w:w="959" w:type="dxa"/>
            <w:vAlign w:val="center"/>
          </w:tcPr>
          <w:p w:rsidR="00C72198" w:rsidRDefault="003F3B21">
            <w:pPr>
              <w:jc w:val="center"/>
            </w:pPr>
            <w:r>
              <w:rPr>
                <w:color w:val="000000"/>
                <w:kern w:val="0"/>
                <w:sz w:val="24"/>
                <w:szCs w:val="24"/>
              </w:rPr>
              <w:t>1</w:t>
            </w:r>
          </w:p>
        </w:tc>
        <w:tc>
          <w:tcPr>
            <w:tcW w:w="1276" w:type="dxa"/>
            <w:vAlign w:val="center"/>
          </w:tcPr>
          <w:p w:rsidR="00C72198" w:rsidRDefault="003F3B21">
            <w:pPr>
              <w:jc w:val="center"/>
            </w:pPr>
            <w:r>
              <w:rPr>
                <w:color w:val="000000"/>
                <w:kern w:val="0"/>
                <w:sz w:val="24"/>
                <w:szCs w:val="24"/>
              </w:rPr>
              <w:t>042000045</w:t>
            </w:r>
          </w:p>
        </w:tc>
        <w:tc>
          <w:tcPr>
            <w:tcW w:w="1275" w:type="dxa"/>
            <w:vAlign w:val="center"/>
          </w:tcPr>
          <w:p w:rsidR="00C72198" w:rsidRDefault="003F3B21">
            <w:pPr>
              <w:jc w:val="center"/>
            </w:pPr>
            <w:r>
              <w:rPr>
                <w:color w:val="000000"/>
                <w:kern w:val="0"/>
                <w:sz w:val="24"/>
                <w:szCs w:val="24"/>
              </w:rPr>
              <w:t>20</w:t>
            </w:r>
            <w:r>
              <w:rPr>
                <w:color w:val="000000"/>
                <w:kern w:val="0"/>
                <w:sz w:val="24"/>
                <w:szCs w:val="24"/>
              </w:rPr>
              <w:t>鞍钢集</w:t>
            </w:r>
            <w:r>
              <w:rPr>
                <w:color w:val="000000"/>
                <w:kern w:val="0"/>
                <w:sz w:val="24"/>
                <w:szCs w:val="24"/>
              </w:rPr>
              <w:t>CP001</w:t>
            </w:r>
          </w:p>
        </w:tc>
        <w:tc>
          <w:tcPr>
            <w:tcW w:w="1560" w:type="dxa"/>
            <w:vAlign w:val="center"/>
          </w:tcPr>
          <w:p w:rsidR="00C72198" w:rsidRDefault="003F3B21">
            <w:pPr>
              <w:jc w:val="right"/>
            </w:pPr>
            <w:r>
              <w:rPr>
                <w:color w:val="000000"/>
                <w:kern w:val="0"/>
                <w:sz w:val="24"/>
                <w:szCs w:val="24"/>
              </w:rPr>
              <w:t>500,000</w:t>
            </w:r>
          </w:p>
        </w:tc>
        <w:tc>
          <w:tcPr>
            <w:tcW w:w="1984" w:type="dxa"/>
            <w:vAlign w:val="center"/>
          </w:tcPr>
          <w:p w:rsidR="00C72198" w:rsidRDefault="003F3B21">
            <w:pPr>
              <w:jc w:val="right"/>
            </w:pPr>
            <w:r>
              <w:rPr>
                <w:color w:val="000000"/>
                <w:kern w:val="0"/>
                <w:sz w:val="24"/>
                <w:szCs w:val="24"/>
              </w:rPr>
              <w:t>50,040,000.00</w:t>
            </w:r>
          </w:p>
        </w:tc>
        <w:tc>
          <w:tcPr>
            <w:tcW w:w="1474" w:type="dxa"/>
            <w:vAlign w:val="center"/>
          </w:tcPr>
          <w:p w:rsidR="00C72198" w:rsidRDefault="003F3B21">
            <w:pPr>
              <w:jc w:val="right"/>
            </w:pPr>
            <w:r>
              <w:rPr>
                <w:color w:val="000000"/>
                <w:kern w:val="0"/>
                <w:sz w:val="24"/>
                <w:szCs w:val="24"/>
              </w:rPr>
              <w:t>5.23</w:t>
            </w:r>
          </w:p>
        </w:tc>
      </w:tr>
      <w:tr w:rsidR="00C72198">
        <w:tc>
          <w:tcPr>
            <w:tcW w:w="959"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163458</w:t>
            </w:r>
          </w:p>
        </w:tc>
        <w:tc>
          <w:tcPr>
            <w:tcW w:w="1275" w:type="dxa"/>
            <w:vAlign w:val="center"/>
          </w:tcPr>
          <w:p w:rsidR="00C72198" w:rsidRDefault="003F3B21">
            <w:pPr>
              <w:jc w:val="center"/>
            </w:pPr>
            <w:r>
              <w:rPr>
                <w:color w:val="000000"/>
                <w:kern w:val="0"/>
                <w:sz w:val="24"/>
                <w:szCs w:val="24"/>
              </w:rPr>
              <w:t>20</w:t>
            </w:r>
            <w:r>
              <w:rPr>
                <w:color w:val="000000"/>
                <w:kern w:val="0"/>
                <w:sz w:val="24"/>
                <w:szCs w:val="24"/>
              </w:rPr>
              <w:t>新际</w:t>
            </w:r>
            <w:r>
              <w:rPr>
                <w:color w:val="000000"/>
                <w:kern w:val="0"/>
                <w:sz w:val="24"/>
                <w:szCs w:val="24"/>
              </w:rPr>
              <w:t>02</w:t>
            </w:r>
          </w:p>
        </w:tc>
        <w:tc>
          <w:tcPr>
            <w:tcW w:w="1560" w:type="dxa"/>
            <w:vAlign w:val="center"/>
          </w:tcPr>
          <w:p w:rsidR="00C72198" w:rsidRDefault="003F3B21">
            <w:pPr>
              <w:jc w:val="right"/>
            </w:pPr>
            <w:r>
              <w:rPr>
                <w:color w:val="000000"/>
                <w:kern w:val="0"/>
                <w:sz w:val="24"/>
                <w:szCs w:val="24"/>
              </w:rPr>
              <w:t>300,000</w:t>
            </w:r>
          </w:p>
        </w:tc>
        <w:tc>
          <w:tcPr>
            <w:tcW w:w="1984" w:type="dxa"/>
            <w:vAlign w:val="center"/>
          </w:tcPr>
          <w:p w:rsidR="00C72198" w:rsidRDefault="003F3B21">
            <w:pPr>
              <w:jc w:val="right"/>
            </w:pPr>
            <w:r>
              <w:rPr>
                <w:color w:val="000000"/>
                <w:kern w:val="0"/>
                <w:sz w:val="24"/>
                <w:szCs w:val="24"/>
              </w:rPr>
              <w:t>29,640,000.00</w:t>
            </w:r>
          </w:p>
        </w:tc>
        <w:tc>
          <w:tcPr>
            <w:tcW w:w="1474" w:type="dxa"/>
            <w:vAlign w:val="center"/>
          </w:tcPr>
          <w:p w:rsidR="00C72198" w:rsidRDefault="003F3B21">
            <w:pPr>
              <w:jc w:val="right"/>
            </w:pPr>
            <w:r>
              <w:rPr>
                <w:color w:val="000000"/>
                <w:kern w:val="0"/>
                <w:sz w:val="24"/>
                <w:szCs w:val="24"/>
              </w:rPr>
              <w:t>3.10</w:t>
            </w:r>
          </w:p>
        </w:tc>
      </w:tr>
      <w:tr w:rsidR="00C72198">
        <w:tc>
          <w:tcPr>
            <w:tcW w:w="959" w:type="dxa"/>
            <w:vAlign w:val="center"/>
          </w:tcPr>
          <w:p w:rsidR="00C72198" w:rsidRDefault="003F3B21">
            <w:pPr>
              <w:jc w:val="center"/>
            </w:pPr>
            <w:r>
              <w:rPr>
                <w:color w:val="000000"/>
                <w:kern w:val="0"/>
                <w:sz w:val="24"/>
                <w:szCs w:val="24"/>
              </w:rPr>
              <w:t>3</w:t>
            </w:r>
          </w:p>
        </w:tc>
        <w:tc>
          <w:tcPr>
            <w:tcW w:w="1276" w:type="dxa"/>
            <w:vAlign w:val="center"/>
          </w:tcPr>
          <w:p w:rsidR="00C72198" w:rsidRDefault="003F3B21">
            <w:pPr>
              <w:jc w:val="center"/>
            </w:pPr>
            <w:r>
              <w:rPr>
                <w:color w:val="000000"/>
                <w:kern w:val="0"/>
                <w:sz w:val="24"/>
                <w:szCs w:val="24"/>
              </w:rPr>
              <w:t>102000716</w:t>
            </w:r>
          </w:p>
        </w:tc>
        <w:tc>
          <w:tcPr>
            <w:tcW w:w="1275" w:type="dxa"/>
            <w:vAlign w:val="center"/>
          </w:tcPr>
          <w:p w:rsidR="00C72198" w:rsidRDefault="003F3B21">
            <w:pPr>
              <w:jc w:val="center"/>
            </w:pPr>
            <w:r>
              <w:rPr>
                <w:color w:val="000000"/>
                <w:kern w:val="0"/>
                <w:sz w:val="24"/>
                <w:szCs w:val="24"/>
              </w:rPr>
              <w:t>20</w:t>
            </w:r>
            <w:r>
              <w:rPr>
                <w:color w:val="000000"/>
                <w:kern w:val="0"/>
                <w:sz w:val="24"/>
                <w:szCs w:val="24"/>
              </w:rPr>
              <w:t>深业</w:t>
            </w:r>
            <w:r>
              <w:rPr>
                <w:color w:val="000000"/>
                <w:kern w:val="0"/>
                <w:sz w:val="24"/>
                <w:szCs w:val="24"/>
              </w:rPr>
              <w:t>MTN002</w:t>
            </w:r>
          </w:p>
        </w:tc>
        <w:tc>
          <w:tcPr>
            <w:tcW w:w="1560" w:type="dxa"/>
            <w:vAlign w:val="center"/>
          </w:tcPr>
          <w:p w:rsidR="00C72198" w:rsidRDefault="003F3B21">
            <w:pPr>
              <w:jc w:val="right"/>
            </w:pPr>
            <w:r>
              <w:rPr>
                <w:color w:val="000000"/>
                <w:kern w:val="0"/>
                <w:sz w:val="24"/>
                <w:szCs w:val="24"/>
              </w:rPr>
              <w:t>300,000</w:t>
            </w:r>
          </w:p>
        </w:tc>
        <w:tc>
          <w:tcPr>
            <w:tcW w:w="1984" w:type="dxa"/>
            <w:vAlign w:val="center"/>
          </w:tcPr>
          <w:p w:rsidR="00C72198" w:rsidRDefault="003F3B21">
            <w:pPr>
              <w:jc w:val="right"/>
            </w:pPr>
            <w:r>
              <w:rPr>
                <w:color w:val="000000"/>
                <w:kern w:val="0"/>
                <w:sz w:val="24"/>
                <w:szCs w:val="24"/>
              </w:rPr>
              <w:t>29,487,000.00</w:t>
            </w:r>
          </w:p>
        </w:tc>
        <w:tc>
          <w:tcPr>
            <w:tcW w:w="1474" w:type="dxa"/>
            <w:vAlign w:val="center"/>
          </w:tcPr>
          <w:p w:rsidR="00C72198" w:rsidRDefault="003F3B21">
            <w:pPr>
              <w:jc w:val="right"/>
            </w:pPr>
            <w:r>
              <w:rPr>
                <w:color w:val="000000"/>
                <w:kern w:val="0"/>
                <w:sz w:val="24"/>
                <w:szCs w:val="24"/>
              </w:rPr>
              <w:t>3.08</w:t>
            </w:r>
          </w:p>
        </w:tc>
      </w:tr>
      <w:tr w:rsidR="00C72198">
        <w:tc>
          <w:tcPr>
            <w:tcW w:w="959" w:type="dxa"/>
            <w:vAlign w:val="center"/>
          </w:tcPr>
          <w:p w:rsidR="00C72198" w:rsidRDefault="003F3B21">
            <w:pPr>
              <w:jc w:val="center"/>
            </w:pPr>
            <w:r>
              <w:rPr>
                <w:color w:val="000000"/>
                <w:kern w:val="0"/>
                <w:sz w:val="24"/>
                <w:szCs w:val="24"/>
              </w:rPr>
              <w:t>4</w:t>
            </w:r>
          </w:p>
        </w:tc>
        <w:tc>
          <w:tcPr>
            <w:tcW w:w="1276" w:type="dxa"/>
            <w:vAlign w:val="center"/>
          </w:tcPr>
          <w:p w:rsidR="00C72198" w:rsidRDefault="003F3B21">
            <w:pPr>
              <w:jc w:val="center"/>
            </w:pPr>
            <w:r>
              <w:rPr>
                <w:color w:val="000000"/>
                <w:kern w:val="0"/>
                <w:sz w:val="24"/>
                <w:szCs w:val="24"/>
              </w:rPr>
              <w:t>160206</w:t>
            </w:r>
          </w:p>
        </w:tc>
        <w:tc>
          <w:tcPr>
            <w:tcW w:w="1275" w:type="dxa"/>
            <w:vAlign w:val="center"/>
          </w:tcPr>
          <w:p w:rsidR="00C72198" w:rsidRDefault="003F3B21">
            <w:pPr>
              <w:jc w:val="center"/>
            </w:pPr>
            <w:r>
              <w:rPr>
                <w:color w:val="000000"/>
                <w:kern w:val="0"/>
                <w:sz w:val="24"/>
                <w:szCs w:val="24"/>
              </w:rPr>
              <w:t>16</w:t>
            </w:r>
            <w:r>
              <w:rPr>
                <w:color w:val="000000"/>
                <w:kern w:val="0"/>
                <w:sz w:val="24"/>
                <w:szCs w:val="24"/>
              </w:rPr>
              <w:t>国开</w:t>
            </w:r>
            <w:r>
              <w:rPr>
                <w:color w:val="000000"/>
                <w:kern w:val="0"/>
                <w:sz w:val="24"/>
                <w:szCs w:val="24"/>
              </w:rPr>
              <w:t>06</w:t>
            </w:r>
          </w:p>
        </w:tc>
        <w:tc>
          <w:tcPr>
            <w:tcW w:w="1560" w:type="dxa"/>
            <w:vAlign w:val="center"/>
          </w:tcPr>
          <w:p w:rsidR="00C72198" w:rsidRDefault="003F3B21">
            <w:pPr>
              <w:jc w:val="right"/>
            </w:pPr>
            <w:r>
              <w:rPr>
                <w:color w:val="000000"/>
                <w:kern w:val="0"/>
                <w:sz w:val="24"/>
                <w:szCs w:val="24"/>
              </w:rPr>
              <w:t>250,000</w:t>
            </w:r>
          </w:p>
        </w:tc>
        <w:tc>
          <w:tcPr>
            <w:tcW w:w="1984" w:type="dxa"/>
            <w:vAlign w:val="center"/>
          </w:tcPr>
          <w:p w:rsidR="00C72198" w:rsidRDefault="003F3B21">
            <w:pPr>
              <w:jc w:val="right"/>
            </w:pPr>
            <w:r>
              <w:rPr>
                <w:color w:val="000000"/>
                <w:kern w:val="0"/>
                <w:sz w:val="24"/>
                <w:szCs w:val="24"/>
              </w:rPr>
              <w:t>25,122,500.00</w:t>
            </w:r>
          </w:p>
        </w:tc>
        <w:tc>
          <w:tcPr>
            <w:tcW w:w="1474" w:type="dxa"/>
            <w:vAlign w:val="center"/>
          </w:tcPr>
          <w:p w:rsidR="00C72198" w:rsidRDefault="003F3B21">
            <w:pPr>
              <w:jc w:val="right"/>
            </w:pPr>
            <w:r>
              <w:rPr>
                <w:color w:val="000000"/>
                <w:kern w:val="0"/>
                <w:sz w:val="24"/>
                <w:szCs w:val="24"/>
              </w:rPr>
              <w:t>2.63</w:t>
            </w:r>
          </w:p>
        </w:tc>
      </w:tr>
      <w:tr w:rsidR="00C72198">
        <w:tc>
          <w:tcPr>
            <w:tcW w:w="959" w:type="dxa"/>
            <w:vAlign w:val="center"/>
          </w:tcPr>
          <w:p w:rsidR="00C72198" w:rsidRDefault="003F3B21">
            <w:pPr>
              <w:jc w:val="center"/>
            </w:pPr>
            <w:r>
              <w:rPr>
                <w:color w:val="000000"/>
                <w:kern w:val="0"/>
                <w:sz w:val="24"/>
                <w:szCs w:val="24"/>
              </w:rPr>
              <w:t>5</w:t>
            </w:r>
          </w:p>
        </w:tc>
        <w:tc>
          <w:tcPr>
            <w:tcW w:w="1276" w:type="dxa"/>
            <w:vAlign w:val="center"/>
          </w:tcPr>
          <w:p w:rsidR="00C72198" w:rsidRDefault="003F3B21">
            <w:pPr>
              <w:jc w:val="center"/>
            </w:pPr>
            <w:r>
              <w:rPr>
                <w:color w:val="000000"/>
                <w:kern w:val="0"/>
                <w:sz w:val="24"/>
                <w:szCs w:val="24"/>
              </w:rPr>
              <w:t>101901273</w:t>
            </w:r>
          </w:p>
        </w:tc>
        <w:tc>
          <w:tcPr>
            <w:tcW w:w="1275" w:type="dxa"/>
            <w:vAlign w:val="center"/>
          </w:tcPr>
          <w:p w:rsidR="00C72198" w:rsidRDefault="003F3B21">
            <w:pPr>
              <w:jc w:val="center"/>
            </w:pPr>
            <w:r>
              <w:rPr>
                <w:color w:val="000000"/>
                <w:kern w:val="0"/>
                <w:sz w:val="24"/>
                <w:szCs w:val="24"/>
              </w:rPr>
              <w:t>19</w:t>
            </w:r>
            <w:r>
              <w:rPr>
                <w:color w:val="000000"/>
                <w:kern w:val="0"/>
                <w:sz w:val="24"/>
                <w:szCs w:val="24"/>
              </w:rPr>
              <w:t>陕有色</w:t>
            </w:r>
            <w:r>
              <w:rPr>
                <w:color w:val="000000"/>
                <w:kern w:val="0"/>
                <w:sz w:val="24"/>
                <w:szCs w:val="24"/>
              </w:rPr>
              <w:t>MTN003</w:t>
            </w:r>
          </w:p>
        </w:tc>
        <w:tc>
          <w:tcPr>
            <w:tcW w:w="1560" w:type="dxa"/>
            <w:vAlign w:val="center"/>
          </w:tcPr>
          <w:p w:rsidR="00C72198" w:rsidRDefault="003F3B21">
            <w:pPr>
              <w:jc w:val="right"/>
            </w:pPr>
            <w:r>
              <w:rPr>
                <w:color w:val="000000"/>
                <w:kern w:val="0"/>
                <w:sz w:val="24"/>
                <w:szCs w:val="24"/>
              </w:rPr>
              <w:t>200,000</w:t>
            </w:r>
          </w:p>
        </w:tc>
        <w:tc>
          <w:tcPr>
            <w:tcW w:w="1984" w:type="dxa"/>
            <w:vAlign w:val="center"/>
          </w:tcPr>
          <w:p w:rsidR="00C72198" w:rsidRDefault="003F3B21">
            <w:pPr>
              <w:jc w:val="right"/>
            </w:pPr>
            <w:r>
              <w:rPr>
                <w:color w:val="000000"/>
                <w:kern w:val="0"/>
                <w:sz w:val="24"/>
                <w:szCs w:val="24"/>
              </w:rPr>
              <w:t>20,602,000.00</w:t>
            </w:r>
          </w:p>
        </w:tc>
        <w:tc>
          <w:tcPr>
            <w:tcW w:w="1474" w:type="dxa"/>
            <w:vAlign w:val="center"/>
          </w:tcPr>
          <w:p w:rsidR="00C72198" w:rsidRDefault="003F3B21">
            <w:pPr>
              <w:jc w:val="right"/>
            </w:pPr>
            <w:r>
              <w:rPr>
                <w:color w:val="000000"/>
                <w:kern w:val="0"/>
                <w:sz w:val="24"/>
                <w:szCs w:val="24"/>
              </w:rPr>
              <w:t>2.15</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802"/>
        <w:gridCol w:w="1742"/>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证券名称</w:t>
            </w:r>
          </w:p>
        </w:tc>
        <w:tc>
          <w:tcPr>
            <w:tcW w:w="180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w="174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C72198">
        <w:tc>
          <w:tcPr>
            <w:tcW w:w="959" w:type="dxa"/>
            <w:vAlign w:val="center"/>
          </w:tcPr>
          <w:p w:rsidR="00C72198" w:rsidRDefault="003F3B21">
            <w:pPr>
              <w:jc w:val="center"/>
            </w:pPr>
            <w:r>
              <w:rPr>
                <w:color w:val="000000"/>
                <w:kern w:val="0"/>
                <w:sz w:val="24"/>
                <w:szCs w:val="24"/>
              </w:rPr>
              <w:t>1</w:t>
            </w:r>
          </w:p>
        </w:tc>
        <w:tc>
          <w:tcPr>
            <w:tcW w:w="1276" w:type="dxa"/>
            <w:vAlign w:val="center"/>
          </w:tcPr>
          <w:p w:rsidR="00C72198" w:rsidRDefault="003F3B21">
            <w:pPr>
              <w:jc w:val="center"/>
            </w:pPr>
            <w:r w:rsidRPr="003F3B21">
              <w:rPr>
                <w:color w:val="000000"/>
                <w:kern w:val="0"/>
                <w:sz w:val="24"/>
                <w:szCs w:val="24"/>
              </w:rPr>
              <w:t>138809</w:t>
            </w:r>
          </w:p>
        </w:tc>
        <w:tc>
          <w:tcPr>
            <w:tcW w:w="1275" w:type="dxa"/>
            <w:vAlign w:val="center"/>
          </w:tcPr>
          <w:p w:rsidR="00C72198" w:rsidRDefault="003F3B21">
            <w:pPr>
              <w:jc w:val="center"/>
            </w:pPr>
            <w:r>
              <w:rPr>
                <w:color w:val="000000"/>
                <w:kern w:val="0"/>
                <w:sz w:val="24"/>
                <w:szCs w:val="24"/>
              </w:rPr>
              <w:t>厚德</w:t>
            </w:r>
            <w:r>
              <w:rPr>
                <w:color w:val="000000"/>
                <w:kern w:val="0"/>
                <w:sz w:val="24"/>
                <w:szCs w:val="24"/>
              </w:rPr>
              <w:t>0</w:t>
            </w:r>
            <w:bookmarkStart w:id="0" w:name="_GoBack"/>
            <w:bookmarkEnd w:id="0"/>
            <w:r>
              <w:rPr>
                <w:color w:val="000000"/>
                <w:kern w:val="0"/>
                <w:sz w:val="24"/>
                <w:szCs w:val="24"/>
              </w:rPr>
              <w:t>4A</w:t>
            </w:r>
          </w:p>
        </w:tc>
        <w:tc>
          <w:tcPr>
            <w:tcW w:w="1802" w:type="dxa"/>
            <w:vAlign w:val="center"/>
          </w:tcPr>
          <w:p w:rsidR="00C72198" w:rsidRDefault="003F3B21">
            <w:pPr>
              <w:jc w:val="right"/>
            </w:pPr>
            <w:r>
              <w:rPr>
                <w:color w:val="000000"/>
                <w:kern w:val="0"/>
                <w:sz w:val="24"/>
                <w:szCs w:val="24"/>
              </w:rPr>
              <w:t>120,000</w:t>
            </w:r>
          </w:p>
        </w:tc>
        <w:tc>
          <w:tcPr>
            <w:tcW w:w="1742" w:type="dxa"/>
            <w:vAlign w:val="center"/>
          </w:tcPr>
          <w:p w:rsidR="00C72198" w:rsidRDefault="003F3B21">
            <w:pPr>
              <w:jc w:val="right"/>
            </w:pPr>
            <w:r>
              <w:rPr>
                <w:color w:val="000000"/>
                <w:kern w:val="0"/>
                <w:sz w:val="24"/>
                <w:szCs w:val="24"/>
              </w:rPr>
              <w:t>12,000,000.00</w:t>
            </w:r>
          </w:p>
        </w:tc>
        <w:tc>
          <w:tcPr>
            <w:tcW w:w="1474" w:type="dxa"/>
            <w:vAlign w:val="center"/>
          </w:tcPr>
          <w:p w:rsidR="00C72198" w:rsidRDefault="003F3B21">
            <w:pPr>
              <w:jc w:val="right"/>
            </w:pPr>
            <w:r>
              <w:rPr>
                <w:color w:val="000000"/>
                <w:kern w:val="0"/>
                <w:sz w:val="24"/>
                <w:szCs w:val="24"/>
              </w:rPr>
              <w:t>1.25</w:t>
            </w:r>
          </w:p>
        </w:tc>
      </w:tr>
      <w:tr w:rsidR="00C72198">
        <w:tc>
          <w:tcPr>
            <w:tcW w:w="959"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168589</w:t>
            </w:r>
          </w:p>
        </w:tc>
        <w:tc>
          <w:tcPr>
            <w:tcW w:w="1275" w:type="dxa"/>
            <w:vAlign w:val="center"/>
          </w:tcPr>
          <w:p w:rsidR="00C72198" w:rsidRDefault="003F3B21">
            <w:pPr>
              <w:jc w:val="center"/>
            </w:pPr>
            <w:r>
              <w:rPr>
                <w:color w:val="000000"/>
                <w:kern w:val="0"/>
                <w:sz w:val="24"/>
                <w:szCs w:val="24"/>
              </w:rPr>
              <w:t>天信</w:t>
            </w:r>
            <w:r>
              <w:rPr>
                <w:color w:val="000000"/>
                <w:kern w:val="0"/>
                <w:sz w:val="24"/>
                <w:szCs w:val="24"/>
              </w:rPr>
              <w:t>7A</w:t>
            </w:r>
          </w:p>
        </w:tc>
        <w:tc>
          <w:tcPr>
            <w:tcW w:w="1802" w:type="dxa"/>
            <w:vAlign w:val="center"/>
          </w:tcPr>
          <w:p w:rsidR="00C72198" w:rsidRDefault="003F3B21">
            <w:pPr>
              <w:jc w:val="right"/>
            </w:pPr>
            <w:r>
              <w:rPr>
                <w:color w:val="000000"/>
                <w:kern w:val="0"/>
                <w:sz w:val="24"/>
                <w:szCs w:val="24"/>
              </w:rPr>
              <w:t>100,000</w:t>
            </w:r>
          </w:p>
        </w:tc>
        <w:tc>
          <w:tcPr>
            <w:tcW w:w="1742" w:type="dxa"/>
            <w:vAlign w:val="center"/>
          </w:tcPr>
          <w:p w:rsidR="00C72198" w:rsidRDefault="003F3B21">
            <w:pPr>
              <w:jc w:val="right"/>
            </w:pPr>
            <w:r>
              <w:rPr>
                <w:color w:val="000000"/>
                <w:kern w:val="0"/>
                <w:sz w:val="24"/>
                <w:szCs w:val="24"/>
              </w:rPr>
              <w:t>10,000,000.00</w:t>
            </w:r>
          </w:p>
        </w:tc>
        <w:tc>
          <w:tcPr>
            <w:tcW w:w="1474" w:type="dxa"/>
            <w:vAlign w:val="center"/>
          </w:tcPr>
          <w:p w:rsidR="00C72198" w:rsidRDefault="003F3B21">
            <w:pPr>
              <w:jc w:val="right"/>
            </w:pPr>
            <w:r>
              <w:rPr>
                <w:color w:val="000000"/>
                <w:kern w:val="0"/>
                <w:sz w:val="24"/>
                <w:szCs w:val="24"/>
              </w:rPr>
              <w:t>1.05</w:t>
            </w:r>
          </w:p>
        </w:tc>
      </w:tr>
      <w:tr w:rsidR="00C72198">
        <w:tc>
          <w:tcPr>
            <w:tcW w:w="959"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168608</w:t>
            </w:r>
          </w:p>
        </w:tc>
        <w:tc>
          <w:tcPr>
            <w:tcW w:w="1275" w:type="dxa"/>
            <w:vAlign w:val="center"/>
          </w:tcPr>
          <w:p w:rsidR="00C72198" w:rsidRDefault="003F3B21">
            <w:pPr>
              <w:jc w:val="center"/>
            </w:pPr>
            <w:r>
              <w:rPr>
                <w:color w:val="000000"/>
                <w:kern w:val="0"/>
                <w:sz w:val="24"/>
                <w:szCs w:val="24"/>
              </w:rPr>
              <w:t>健弘</w:t>
            </w:r>
            <w:r>
              <w:rPr>
                <w:color w:val="000000"/>
                <w:kern w:val="0"/>
                <w:sz w:val="24"/>
                <w:szCs w:val="24"/>
              </w:rPr>
              <w:t>04A</w:t>
            </w:r>
          </w:p>
        </w:tc>
        <w:tc>
          <w:tcPr>
            <w:tcW w:w="1802" w:type="dxa"/>
            <w:vAlign w:val="center"/>
          </w:tcPr>
          <w:p w:rsidR="00C72198" w:rsidRDefault="003F3B21">
            <w:pPr>
              <w:jc w:val="right"/>
            </w:pPr>
            <w:r>
              <w:rPr>
                <w:color w:val="000000"/>
                <w:kern w:val="0"/>
                <w:sz w:val="24"/>
                <w:szCs w:val="24"/>
              </w:rPr>
              <w:t>100,000</w:t>
            </w:r>
          </w:p>
        </w:tc>
        <w:tc>
          <w:tcPr>
            <w:tcW w:w="1742" w:type="dxa"/>
            <w:vAlign w:val="center"/>
          </w:tcPr>
          <w:p w:rsidR="00C72198" w:rsidRDefault="003F3B21">
            <w:pPr>
              <w:jc w:val="right"/>
            </w:pPr>
            <w:r>
              <w:rPr>
                <w:color w:val="000000"/>
                <w:kern w:val="0"/>
                <w:sz w:val="24"/>
                <w:szCs w:val="24"/>
              </w:rPr>
              <w:t>10,000,000.00</w:t>
            </w:r>
          </w:p>
        </w:tc>
        <w:tc>
          <w:tcPr>
            <w:tcW w:w="1474" w:type="dxa"/>
            <w:vAlign w:val="center"/>
          </w:tcPr>
          <w:p w:rsidR="00C72198" w:rsidRDefault="003F3B21">
            <w:pPr>
              <w:jc w:val="right"/>
            </w:pPr>
            <w:r>
              <w:rPr>
                <w:color w:val="000000"/>
                <w:kern w:val="0"/>
                <w:sz w:val="24"/>
                <w:szCs w:val="24"/>
              </w:rPr>
              <w:t>1.05</w:t>
            </w:r>
          </w:p>
        </w:tc>
      </w:tr>
      <w:tr w:rsidR="00C72198">
        <w:tc>
          <w:tcPr>
            <w:tcW w:w="959"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168613</w:t>
            </w:r>
          </w:p>
        </w:tc>
        <w:tc>
          <w:tcPr>
            <w:tcW w:w="1275" w:type="dxa"/>
            <w:vAlign w:val="center"/>
          </w:tcPr>
          <w:p w:rsidR="00C72198" w:rsidRDefault="003F3B21">
            <w:pPr>
              <w:jc w:val="center"/>
            </w:pPr>
            <w:r>
              <w:rPr>
                <w:color w:val="000000"/>
                <w:kern w:val="0"/>
                <w:sz w:val="24"/>
                <w:szCs w:val="24"/>
              </w:rPr>
              <w:t>智禾</w:t>
            </w:r>
            <w:r>
              <w:rPr>
                <w:color w:val="000000"/>
                <w:kern w:val="0"/>
                <w:sz w:val="24"/>
                <w:szCs w:val="24"/>
              </w:rPr>
              <w:t>01A</w:t>
            </w:r>
          </w:p>
        </w:tc>
        <w:tc>
          <w:tcPr>
            <w:tcW w:w="1802" w:type="dxa"/>
            <w:vAlign w:val="center"/>
          </w:tcPr>
          <w:p w:rsidR="00C72198" w:rsidRDefault="003F3B21">
            <w:pPr>
              <w:jc w:val="right"/>
            </w:pPr>
            <w:r>
              <w:rPr>
                <w:color w:val="000000"/>
                <w:kern w:val="0"/>
                <w:sz w:val="24"/>
                <w:szCs w:val="24"/>
              </w:rPr>
              <w:t>100,000</w:t>
            </w:r>
          </w:p>
        </w:tc>
        <w:tc>
          <w:tcPr>
            <w:tcW w:w="1742" w:type="dxa"/>
            <w:vAlign w:val="center"/>
          </w:tcPr>
          <w:p w:rsidR="00C72198" w:rsidRDefault="003F3B21">
            <w:pPr>
              <w:jc w:val="right"/>
            </w:pPr>
            <w:r>
              <w:rPr>
                <w:color w:val="000000"/>
                <w:kern w:val="0"/>
                <w:sz w:val="24"/>
                <w:szCs w:val="24"/>
              </w:rPr>
              <w:t>10,000,000.00</w:t>
            </w:r>
          </w:p>
        </w:tc>
        <w:tc>
          <w:tcPr>
            <w:tcW w:w="1474" w:type="dxa"/>
            <w:vAlign w:val="center"/>
          </w:tcPr>
          <w:p w:rsidR="00C72198" w:rsidRDefault="003F3B21">
            <w:pPr>
              <w:jc w:val="right"/>
            </w:pPr>
            <w:r>
              <w:rPr>
                <w:color w:val="000000"/>
                <w:kern w:val="0"/>
                <w:sz w:val="24"/>
                <w:szCs w:val="24"/>
              </w:rPr>
              <w:t>1.05</w:t>
            </w:r>
          </w:p>
        </w:tc>
      </w:tr>
      <w:tr w:rsidR="00C72198">
        <w:tc>
          <w:tcPr>
            <w:tcW w:w="959" w:type="dxa"/>
            <w:vAlign w:val="center"/>
          </w:tcPr>
          <w:p w:rsidR="00C72198" w:rsidRDefault="003F3B21">
            <w:pPr>
              <w:jc w:val="center"/>
            </w:pPr>
            <w:r>
              <w:rPr>
                <w:color w:val="000000"/>
                <w:kern w:val="0"/>
                <w:sz w:val="24"/>
                <w:szCs w:val="24"/>
              </w:rPr>
              <w:t>2</w:t>
            </w:r>
          </w:p>
        </w:tc>
        <w:tc>
          <w:tcPr>
            <w:tcW w:w="1276" w:type="dxa"/>
            <w:vAlign w:val="center"/>
          </w:tcPr>
          <w:p w:rsidR="00C72198" w:rsidRDefault="003F3B21">
            <w:pPr>
              <w:jc w:val="center"/>
            </w:pPr>
            <w:r>
              <w:rPr>
                <w:color w:val="000000"/>
                <w:kern w:val="0"/>
                <w:sz w:val="24"/>
                <w:szCs w:val="24"/>
              </w:rPr>
              <w:t>YA0131</w:t>
            </w:r>
          </w:p>
        </w:tc>
        <w:tc>
          <w:tcPr>
            <w:tcW w:w="1275" w:type="dxa"/>
            <w:vAlign w:val="center"/>
          </w:tcPr>
          <w:p w:rsidR="00C72198" w:rsidRDefault="003F3B21">
            <w:pPr>
              <w:jc w:val="center"/>
            </w:pPr>
            <w:r>
              <w:rPr>
                <w:color w:val="000000"/>
                <w:kern w:val="0"/>
                <w:sz w:val="24"/>
                <w:szCs w:val="24"/>
              </w:rPr>
              <w:t>荟享</w:t>
            </w:r>
            <w:r>
              <w:rPr>
                <w:color w:val="000000"/>
                <w:kern w:val="0"/>
                <w:sz w:val="24"/>
                <w:szCs w:val="24"/>
              </w:rPr>
              <w:t>041A</w:t>
            </w:r>
          </w:p>
        </w:tc>
        <w:tc>
          <w:tcPr>
            <w:tcW w:w="1802" w:type="dxa"/>
            <w:vAlign w:val="center"/>
          </w:tcPr>
          <w:p w:rsidR="00C72198" w:rsidRDefault="003F3B21">
            <w:pPr>
              <w:jc w:val="right"/>
            </w:pPr>
            <w:r>
              <w:rPr>
                <w:color w:val="000000"/>
                <w:kern w:val="0"/>
                <w:sz w:val="24"/>
                <w:szCs w:val="24"/>
              </w:rPr>
              <w:t>100,000</w:t>
            </w:r>
          </w:p>
        </w:tc>
        <w:tc>
          <w:tcPr>
            <w:tcW w:w="1742" w:type="dxa"/>
            <w:vAlign w:val="center"/>
          </w:tcPr>
          <w:p w:rsidR="00C72198" w:rsidRDefault="003F3B21">
            <w:pPr>
              <w:jc w:val="right"/>
            </w:pPr>
            <w:r>
              <w:rPr>
                <w:color w:val="000000"/>
                <w:kern w:val="0"/>
                <w:sz w:val="24"/>
                <w:szCs w:val="24"/>
              </w:rPr>
              <w:t>10,000,000.00</w:t>
            </w:r>
          </w:p>
        </w:tc>
        <w:tc>
          <w:tcPr>
            <w:tcW w:w="1474" w:type="dxa"/>
            <w:vAlign w:val="center"/>
          </w:tcPr>
          <w:p w:rsidR="00C72198" w:rsidRDefault="003F3B21">
            <w:pPr>
              <w:jc w:val="right"/>
            </w:pPr>
            <w:r>
              <w:rPr>
                <w:color w:val="000000"/>
                <w:kern w:val="0"/>
                <w:sz w:val="24"/>
                <w:szCs w:val="24"/>
              </w:rPr>
              <w:t>1.05</w:t>
            </w:r>
          </w:p>
        </w:tc>
      </w:tr>
    </w:tbl>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w:t>
      </w:r>
      <w:r w:rsidRPr="001D63BB">
        <w:rPr>
          <w:rFonts w:ascii="宋体" w:hAnsi="宋体" w:hint="eastAsia"/>
          <w:b/>
          <w:bCs/>
          <w:color w:val="000000"/>
          <w:kern w:val="0"/>
          <w:sz w:val="24"/>
          <w:szCs w:val="24"/>
        </w:rPr>
        <w:lastRenderedPageBreak/>
        <w:t>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2019年12月2日，重庆渝中区税务局对中联重科股份有限公司未按照规定期限办理纳税申报和报送纳税资料的行为，作出行政处罚。</w:t>
      </w:r>
    </w:p>
    <w:p w:rsidR="00C72198" w:rsidRDefault="003F3B21">
      <w:pPr>
        <w:spacing w:line="360" w:lineRule="auto"/>
        <w:rPr>
          <w:rFonts w:ascii="宋体" w:hAnsi="宋体"/>
          <w:color w:val="000000"/>
          <w:sz w:val="24"/>
          <w:szCs w:val="24"/>
        </w:rPr>
      </w:pPr>
      <w:r>
        <w:rPr>
          <w:rFonts w:ascii="宋体" w:hAnsi="宋体"/>
          <w:color w:val="000000"/>
          <w:sz w:val="24"/>
          <w:szCs w:val="24"/>
        </w:rPr>
        <w:t>2019</w:t>
      </w:r>
      <w:r>
        <w:rPr>
          <w:rFonts w:ascii="宋体" w:hAnsi="宋体"/>
          <w:color w:val="000000"/>
          <w:sz w:val="24"/>
          <w:szCs w:val="24"/>
        </w:rPr>
        <w:t>年</w:t>
      </w:r>
      <w:r>
        <w:rPr>
          <w:rFonts w:ascii="宋体" w:hAnsi="宋体"/>
          <w:color w:val="000000"/>
          <w:sz w:val="24"/>
          <w:szCs w:val="24"/>
        </w:rPr>
        <w:t>11</w:t>
      </w:r>
      <w:r>
        <w:rPr>
          <w:rFonts w:ascii="宋体" w:hAnsi="宋体"/>
          <w:color w:val="000000"/>
          <w:sz w:val="24"/>
          <w:szCs w:val="24"/>
        </w:rPr>
        <w:t>月</w:t>
      </w:r>
      <w:r>
        <w:rPr>
          <w:rFonts w:ascii="宋体" w:hAnsi="宋体"/>
          <w:color w:val="000000"/>
          <w:sz w:val="24"/>
          <w:szCs w:val="24"/>
        </w:rPr>
        <w:t>18</w:t>
      </w:r>
      <w:r>
        <w:rPr>
          <w:rFonts w:ascii="宋体" w:hAnsi="宋体"/>
          <w:color w:val="000000"/>
          <w:sz w:val="24"/>
          <w:szCs w:val="24"/>
        </w:rPr>
        <w:t>日，北京市规划委员会石景山分局对首钢集团有限公司</w:t>
      </w:r>
      <w:r>
        <w:rPr>
          <w:rFonts w:ascii="宋体" w:hAnsi="宋体"/>
          <w:color w:val="000000"/>
          <w:sz w:val="24"/>
          <w:szCs w:val="24"/>
        </w:rPr>
        <w:t>“</w:t>
      </w:r>
      <w:r>
        <w:rPr>
          <w:rFonts w:ascii="宋体" w:hAnsi="宋体"/>
          <w:color w:val="000000"/>
          <w:sz w:val="24"/>
          <w:szCs w:val="24"/>
        </w:rPr>
        <w:t>因设计失误造成实测建筑面积超出规划许可建筑面积</w:t>
      </w:r>
      <w:r>
        <w:rPr>
          <w:rFonts w:ascii="宋体" w:hAnsi="宋体"/>
          <w:color w:val="000000"/>
          <w:sz w:val="24"/>
          <w:szCs w:val="24"/>
        </w:rPr>
        <w:t>”</w:t>
      </w:r>
      <w:r>
        <w:rPr>
          <w:rFonts w:ascii="宋体" w:hAnsi="宋体"/>
          <w:color w:val="000000"/>
          <w:sz w:val="24"/>
          <w:szCs w:val="24"/>
        </w:rPr>
        <w:t>的行为罚款额</w:t>
      </w:r>
      <w:r>
        <w:rPr>
          <w:rFonts w:ascii="宋体" w:hAnsi="宋体"/>
          <w:color w:val="000000"/>
          <w:sz w:val="24"/>
          <w:szCs w:val="24"/>
        </w:rPr>
        <w:t>58765.25</w:t>
      </w:r>
      <w:r>
        <w:rPr>
          <w:rFonts w:ascii="宋体" w:hAnsi="宋体"/>
          <w:color w:val="000000"/>
          <w:sz w:val="24"/>
          <w:szCs w:val="24"/>
        </w:rPr>
        <w:t>元。</w:t>
      </w:r>
    </w:p>
    <w:p w:rsidR="00C72198" w:rsidRDefault="003F3B21">
      <w:pPr>
        <w:spacing w:line="360" w:lineRule="auto"/>
        <w:rPr>
          <w:rFonts w:ascii="宋体" w:hAnsi="宋体"/>
          <w:color w:val="000000"/>
          <w:sz w:val="24"/>
          <w:szCs w:val="24"/>
        </w:rPr>
      </w:pPr>
      <w:r>
        <w:rPr>
          <w:rFonts w:ascii="宋体" w:hAnsi="宋体"/>
          <w:color w:val="000000"/>
          <w:sz w:val="24"/>
          <w:szCs w:val="24"/>
        </w:rPr>
        <w:t>本基金投资</w:t>
      </w:r>
      <w:r>
        <w:rPr>
          <w:rFonts w:ascii="宋体" w:hAnsi="宋体"/>
          <w:color w:val="000000"/>
          <w:sz w:val="24"/>
          <w:szCs w:val="24"/>
        </w:rPr>
        <w:t>19</w:t>
      </w:r>
      <w:r>
        <w:rPr>
          <w:rFonts w:ascii="宋体" w:hAnsi="宋体"/>
          <w:color w:val="000000"/>
          <w:sz w:val="24"/>
          <w:szCs w:val="24"/>
        </w:rPr>
        <w:t>中联重科</w:t>
      </w:r>
      <w:r>
        <w:rPr>
          <w:rFonts w:ascii="宋体" w:hAnsi="宋体"/>
          <w:color w:val="000000"/>
          <w:sz w:val="24"/>
          <w:szCs w:val="24"/>
        </w:rPr>
        <w:t>MTN001</w:t>
      </w:r>
      <w:r>
        <w:rPr>
          <w:rFonts w:ascii="宋体" w:hAnsi="宋体"/>
          <w:color w:val="000000"/>
          <w:sz w:val="24"/>
          <w:szCs w:val="24"/>
        </w:rPr>
        <w:t>、</w:t>
      </w:r>
      <w:r>
        <w:rPr>
          <w:rFonts w:ascii="宋体" w:hAnsi="宋体"/>
          <w:color w:val="000000"/>
          <w:sz w:val="24"/>
          <w:szCs w:val="24"/>
        </w:rPr>
        <w:t>19</w:t>
      </w:r>
      <w:r>
        <w:rPr>
          <w:rFonts w:ascii="宋体" w:hAnsi="宋体"/>
          <w:color w:val="000000"/>
          <w:sz w:val="24"/>
          <w:szCs w:val="24"/>
        </w:rPr>
        <w:t>首钢</w:t>
      </w:r>
      <w:r>
        <w:rPr>
          <w:rFonts w:ascii="宋体" w:hAnsi="宋体"/>
          <w:color w:val="000000"/>
          <w:sz w:val="24"/>
          <w:szCs w:val="24"/>
        </w:rPr>
        <w:t>MTN004</w:t>
      </w:r>
      <w:r>
        <w:rPr>
          <w:rFonts w:ascii="宋体" w:hAnsi="宋体"/>
          <w:color w:val="000000"/>
          <w:sz w:val="24"/>
          <w:szCs w:val="24"/>
        </w:rPr>
        <w:t>的投资决策程序符合公司投资制度的规定。</w:t>
      </w:r>
    </w:p>
    <w:p w:rsidR="00C72198" w:rsidRDefault="003F3B21">
      <w:pPr>
        <w:spacing w:line="360" w:lineRule="auto"/>
        <w:rPr>
          <w:rFonts w:ascii="宋体" w:hAnsi="宋体"/>
          <w:color w:val="000000"/>
          <w:sz w:val="24"/>
          <w:szCs w:val="24"/>
        </w:rPr>
      </w:pPr>
      <w:r>
        <w:rPr>
          <w:rFonts w:ascii="宋体" w:hAnsi="宋体"/>
          <w:color w:val="000000"/>
          <w:sz w:val="24"/>
          <w:szCs w:val="24"/>
        </w:rPr>
        <w:t>除</w:t>
      </w:r>
      <w:r>
        <w:rPr>
          <w:rFonts w:ascii="宋体" w:hAnsi="宋体"/>
          <w:color w:val="000000"/>
          <w:sz w:val="24"/>
          <w:szCs w:val="24"/>
        </w:rPr>
        <w:t>19</w:t>
      </w:r>
      <w:r>
        <w:rPr>
          <w:rFonts w:ascii="宋体" w:hAnsi="宋体"/>
          <w:color w:val="000000"/>
          <w:sz w:val="24"/>
          <w:szCs w:val="24"/>
        </w:rPr>
        <w:t>中联重科</w:t>
      </w:r>
      <w:r>
        <w:rPr>
          <w:rFonts w:ascii="宋体" w:hAnsi="宋体"/>
          <w:color w:val="000000"/>
          <w:sz w:val="24"/>
          <w:szCs w:val="24"/>
        </w:rPr>
        <w:t>MTN001</w:t>
      </w:r>
      <w:r>
        <w:rPr>
          <w:rFonts w:ascii="宋体" w:hAnsi="宋体"/>
          <w:color w:val="000000"/>
          <w:sz w:val="24"/>
          <w:szCs w:val="24"/>
        </w:rPr>
        <w:t>、</w:t>
      </w:r>
      <w:r>
        <w:rPr>
          <w:rFonts w:ascii="宋体" w:hAnsi="宋体"/>
          <w:color w:val="000000"/>
          <w:sz w:val="24"/>
          <w:szCs w:val="24"/>
        </w:rPr>
        <w:t>19</w:t>
      </w:r>
      <w:r>
        <w:rPr>
          <w:rFonts w:ascii="宋体" w:hAnsi="宋体"/>
          <w:color w:val="000000"/>
          <w:sz w:val="24"/>
          <w:szCs w:val="24"/>
        </w:rPr>
        <w:t>首钢</w:t>
      </w:r>
      <w:r>
        <w:rPr>
          <w:rFonts w:ascii="宋体" w:hAnsi="宋体"/>
          <w:color w:val="000000"/>
          <w:sz w:val="24"/>
          <w:szCs w:val="24"/>
        </w:rPr>
        <w:t>MTN004</w:t>
      </w:r>
      <w:r>
        <w:rPr>
          <w:rFonts w:ascii="宋体" w:hAnsi="宋体"/>
          <w:color w:val="000000"/>
          <w:sz w:val="24"/>
          <w:szCs w:val="24"/>
        </w:rPr>
        <w:t>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138,632.07</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1,973,327.05</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10,186,876.29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205,367.27</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12,504,202.68</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本基金本报告期末未持有处于转股期的可转换债券。</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750D48" w:rsidRPr="00264E55" w:rsidTr="00B05049">
        <w:tc>
          <w:tcPr>
            <w:tcW w:w="1083"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302"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股票代码</w:t>
            </w:r>
          </w:p>
        </w:tc>
        <w:tc>
          <w:tcPr>
            <w:tcW w:w="1301"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股票名称</w:t>
            </w:r>
          </w:p>
        </w:tc>
        <w:tc>
          <w:tcPr>
            <w:tcW w:w="1805"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w="1655"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w="1367"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流通受限情况说明</w:t>
            </w:r>
          </w:p>
        </w:tc>
      </w:tr>
      <w:tr w:rsidR="00C72198">
        <w:tc>
          <w:tcPr>
            <w:tcW w:w="1083" w:type="dxa"/>
            <w:vAlign w:val="center"/>
          </w:tcPr>
          <w:p w:rsidR="00C72198" w:rsidRDefault="003F3B21">
            <w:pPr>
              <w:jc w:val="center"/>
            </w:pPr>
            <w:r>
              <w:rPr>
                <w:color w:val="000000"/>
                <w:kern w:val="0"/>
                <w:sz w:val="24"/>
                <w:szCs w:val="24"/>
              </w:rPr>
              <w:t>1</w:t>
            </w:r>
          </w:p>
        </w:tc>
        <w:tc>
          <w:tcPr>
            <w:tcW w:w="1302" w:type="dxa"/>
            <w:vAlign w:val="center"/>
          </w:tcPr>
          <w:p w:rsidR="00C72198" w:rsidRDefault="003F3B21">
            <w:pPr>
              <w:jc w:val="center"/>
            </w:pPr>
            <w:r>
              <w:rPr>
                <w:color w:val="000000"/>
                <w:kern w:val="0"/>
                <w:sz w:val="24"/>
                <w:szCs w:val="24"/>
              </w:rPr>
              <w:t>300657</w:t>
            </w:r>
          </w:p>
        </w:tc>
        <w:tc>
          <w:tcPr>
            <w:tcW w:w="1301" w:type="dxa"/>
            <w:vAlign w:val="center"/>
          </w:tcPr>
          <w:p w:rsidR="00C72198" w:rsidRDefault="003F3B21">
            <w:pPr>
              <w:jc w:val="center"/>
            </w:pPr>
            <w:r>
              <w:rPr>
                <w:color w:val="000000"/>
                <w:kern w:val="0"/>
                <w:sz w:val="24"/>
                <w:szCs w:val="24"/>
              </w:rPr>
              <w:t>弘信电子</w:t>
            </w:r>
          </w:p>
        </w:tc>
        <w:tc>
          <w:tcPr>
            <w:tcW w:w="1805" w:type="dxa"/>
            <w:vAlign w:val="center"/>
          </w:tcPr>
          <w:p w:rsidR="00C72198" w:rsidRDefault="003F3B21">
            <w:pPr>
              <w:jc w:val="right"/>
            </w:pPr>
            <w:r>
              <w:rPr>
                <w:color w:val="000000"/>
                <w:kern w:val="0"/>
                <w:sz w:val="24"/>
                <w:szCs w:val="24"/>
              </w:rPr>
              <w:t>2,939,757.30</w:t>
            </w:r>
          </w:p>
        </w:tc>
        <w:tc>
          <w:tcPr>
            <w:tcW w:w="1655" w:type="dxa"/>
            <w:vAlign w:val="center"/>
          </w:tcPr>
          <w:p w:rsidR="00C72198" w:rsidRDefault="003F3B21">
            <w:pPr>
              <w:jc w:val="right"/>
            </w:pPr>
            <w:r>
              <w:rPr>
                <w:color w:val="000000"/>
                <w:kern w:val="0"/>
                <w:sz w:val="24"/>
                <w:szCs w:val="24"/>
              </w:rPr>
              <w:t>0.31</w:t>
            </w:r>
          </w:p>
        </w:tc>
        <w:tc>
          <w:tcPr>
            <w:tcW w:w="1367" w:type="dxa"/>
            <w:vAlign w:val="center"/>
          </w:tcPr>
          <w:p w:rsidR="00C72198" w:rsidRDefault="003F3B21">
            <w:pPr>
              <w:jc w:val="right"/>
            </w:pPr>
            <w:r>
              <w:rPr>
                <w:color w:val="000000"/>
                <w:kern w:val="0"/>
                <w:sz w:val="24"/>
                <w:szCs w:val="24"/>
              </w:rPr>
              <w:t>非公开发行流通受限</w:t>
            </w:r>
          </w:p>
        </w:tc>
      </w:tr>
      <w:tr w:rsidR="00C72198">
        <w:tc>
          <w:tcPr>
            <w:tcW w:w="1083" w:type="dxa"/>
            <w:vAlign w:val="center"/>
          </w:tcPr>
          <w:p w:rsidR="00C72198" w:rsidRDefault="003F3B21">
            <w:pPr>
              <w:jc w:val="center"/>
            </w:pPr>
            <w:r>
              <w:rPr>
                <w:color w:val="000000"/>
                <w:kern w:val="0"/>
                <w:sz w:val="24"/>
                <w:szCs w:val="24"/>
              </w:rPr>
              <w:t>2</w:t>
            </w:r>
          </w:p>
        </w:tc>
        <w:tc>
          <w:tcPr>
            <w:tcW w:w="1302" w:type="dxa"/>
            <w:vAlign w:val="center"/>
          </w:tcPr>
          <w:p w:rsidR="00C72198" w:rsidRDefault="003F3B21">
            <w:pPr>
              <w:jc w:val="center"/>
            </w:pPr>
            <w:r>
              <w:rPr>
                <w:color w:val="000000"/>
                <w:kern w:val="0"/>
                <w:sz w:val="24"/>
                <w:szCs w:val="24"/>
              </w:rPr>
              <w:t>300657</w:t>
            </w:r>
          </w:p>
        </w:tc>
        <w:tc>
          <w:tcPr>
            <w:tcW w:w="1301" w:type="dxa"/>
            <w:vAlign w:val="center"/>
          </w:tcPr>
          <w:p w:rsidR="00C72198" w:rsidRDefault="003F3B21">
            <w:pPr>
              <w:jc w:val="center"/>
            </w:pPr>
            <w:r>
              <w:rPr>
                <w:color w:val="000000"/>
                <w:kern w:val="0"/>
                <w:sz w:val="24"/>
                <w:szCs w:val="24"/>
              </w:rPr>
              <w:t>弘信电子</w:t>
            </w:r>
          </w:p>
        </w:tc>
        <w:tc>
          <w:tcPr>
            <w:tcW w:w="1805" w:type="dxa"/>
            <w:vAlign w:val="center"/>
          </w:tcPr>
          <w:p w:rsidR="00C72198" w:rsidRDefault="003F3B21">
            <w:pPr>
              <w:jc w:val="right"/>
            </w:pPr>
            <w:r>
              <w:rPr>
                <w:color w:val="000000"/>
                <w:kern w:val="0"/>
                <w:sz w:val="24"/>
                <w:szCs w:val="24"/>
              </w:rPr>
              <w:t>2,690,510.57</w:t>
            </w:r>
          </w:p>
        </w:tc>
        <w:tc>
          <w:tcPr>
            <w:tcW w:w="1655" w:type="dxa"/>
            <w:vAlign w:val="center"/>
          </w:tcPr>
          <w:p w:rsidR="00C72198" w:rsidRDefault="003F3B21">
            <w:pPr>
              <w:jc w:val="right"/>
            </w:pPr>
            <w:r>
              <w:rPr>
                <w:color w:val="000000"/>
                <w:kern w:val="0"/>
                <w:sz w:val="24"/>
                <w:szCs w:val="24"/>
              </w:rPr>
              <w:t>0.28</w:t>
            </w:r>
          </w:p>
        </w:tc>
        <w:tc>
          <w:tcPr>
            <w:tcW w:w="1367" w:type="dxa"/>
            <w:vAlign w:val="center"/>
          </w:tcPr>
          <w:p w:rsidR="00C72198" w:rsidRDefault="003F3B21">
            <w:pPr>
              <w:jc w:val="right"/>
            </w:pPr>
            <w:r>
              <w:rPr>
                <w:color w:val="000000"/>
                <w:kern w:val="0"/>
                <w:sz w:val="24"/>
                <w:szCs w:val="24"/>
              </w:rPr>
              <w:t>非公开发行流通受限</w:t>
            </w:r>
          </w:p>
        </w:tc>
      </w:tr>
    </w:tbl>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注：根据《深圳</w:t>
      </w:r>
      <w:r w:rsidRPr="006C56AA">
        <w:rPr>
          <w:color w:val="000000"/>
          <w:sz w:val="24"/>
          <w:szCs w:val="24"/>
        </w:rPr>
        <w:t>/</w:t>
      </w:r>
      <w:r w:rsidRPr="006C56AA">
        <w:rPr>
          <w:color w:val="000000"/>
          <w:sz w:val="24"/>
          <w:szCs w:val="24"/>
        </w:rPr>
        <w:t>上海证券交易所上市公司股东及董事、监事、高级管理人员减持股份实施细则》，大股东以外的股东减持所持有的上市公司非公开发行股份，采取集中竞价交易方式的，在任意连续</w:t>
      </w:r>
      <w:r w:rsidRPr="006C56AA">
        <w:rPr>
          <w:color w:val="000000"/>
          <w:sz w:val="24"/>
          <w:szCs w:val="24"/>
        </w:rPr>
        <w:t>90</w:t>
      </w:r>
      <w:r w:rsidRPr="006C56AA">
        <w:rPr>
          <w:color w:val="000000"/>
          <w:sz w:val="24"/>
          <w:szCs w:val="24"/>
        </w:rPr>
        <w:t>日内，减持股份的总数不得超过公司股份总数的</w:t>
      </w:r>
      <w:r w:rsidRPr="006C56AA">
        <w:rPr>
          <w:color w:val="000000"/>
          <w:sz w:val="24"/>
          <w:szCs w:val="24"/>
        </w:rPr>
        <w:t>1%</w:t>
      </w:r>
      <w:r w:rsidRPr="006C56AA">
        <w:rPr>
          <w:color w:val="000000"/>
          <w:sz w:val="24"/>
          <w:szCs w:val="24"/>
        </w:rPr>
        <w:t>。持有上市公司非公开发行股份的股东，通过集中竞价交易减持该部分股份的，除遵守前款规定外，自股份解除限售之日起</w:t>
      </w:r>
      <w:r w:rsidRPr="006C56AA">
        <w:rPr>
          <w:color w:val="000000"/>
          <w:sz w:val="24"/>
          <w:szCs w:val="24"/>
        </w:rPr>
        <w:t>12</w:t>
      </w:r>
      <w:r w:rsidRPr="006C56AA">
        <w:rPr>
          <w:color w:val="000000"/>
          <w:sz w:val="24"/>
          <w:szCs w:val="24"/>
        </w:rPr>
        <w:t>个月内，减持数量不得超过其持有该次非公开发行股份数量的</w:t>
      </w:r>
      <w:r w:rsidRPr="006C56AA">
        <w:rPr>
          <w:color w:val="000000"/>
          <w:sz w:val="24"/>
          <w:szCs w:val="24"/>
        </w:rPr>
        <w:t>50%</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300,897,724.56</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398,782,497.47</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55,074,322.63</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644,605,899.40</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lastRenderedPageBreak/>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rsidR="00C72198" w:rsidRDefault="003F3B21">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中国证监会准予易方达瑞和灵活配置混合型证券投资基金注册的文件；</w:t>
      </w:r>
    </w:p>
    <w:p w:rsidR="00C72198" w:rsidRDefault="003F3B21">
      <w:pPr>
        <w:spacing w:line="360" w:lineRule="auto"/>
        <w:ind w:firstLineChars="200" w:firstLine="480"/>
        <w:rPr>
          <w:color w:val="000000"/>
          <w:sz w:val="24"/>
          <w:szCs w:val="24"/>
        </w:rPr>
      </w:pPr>
      <w:r>
        <w:rPr>
          <w:color w:val="000000"/>
          <w:sz w:val="24"/>
          <w:szCs w:val="24"/>
        </w:rPr>
        <w:t>2.</w:t>
      </w:r>
      <w:r>
        <w:rPr>
          <w:color w:val="000000"/>
          <w:sz w:val="24"/>
          <w:szCs w:val="24"/>
        </w:rPr>
        <w:t>《易方达瑞和灵活配置混合型证券投资基金基金合同》；</w:t>
      </w:r>
    </w:p>
    <w:p w:rsidR="00C72198" w:rsidRDefault="003F3B21">
      <w:pPr>
        <w:spacing w:line="360" w:lineRule="auto"/>
        <w:ind w:firstLineChars="200" w:firstLine="480"/>
        <w:rPr>
          <w:color w:val="000000"/>
          <w:sz w:val="24"/>
          <w:szCs w:val="24"/>
        </w:rPr>
      </w:pPr>
      <w:r>
        <w:rPr>
          <w:color w:val="000000"/>
          <w:sz w:val="24"/>
          <w:szCs w:val="24"/>
        </w:rPr>
        <w:t>3.</w:t>
      </w:r>
      <w:r>
        <w:rPr>
          <w:color w:val="000000"/>
          <w:sz w:val="24"/>
          <w:szCs w:val="24"/>
        </w:rPr>
        <w:t>《易方达瑞和灵活配置混合型证券投资基金托管协议》；</w:t>
      </w:r>
    </w:p>
    <w:p w:rsidR="00C72198" w:rsidRDefault="003F3B21">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1"/>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3F3B21">
      <w:rPr>
        <w:rStyle w:val="a7"/>
        <w:noProof/>
      </w:rPr>
      <w:t>1</w:t>
    </w:r>
    <w:r>
      <w:rPr>
        <w:rStyle w:val="a7"/>
      </w:rPr>
      <w:fldChar w:fldCharType="end"/>
    </w:r>
    <w:r>
      <w:rPr>
        <w:rStyle w:val="a7"/>
        <w:rFonts w:hint="eastAsia"/>
      </w:rPr>
      <w:t>页共</w:t>
    </w:r>
    <w:fldSimple w:instr=" NUMPAGES  \* Arabic  \* MERGEFORMAT ">
      <w:r w:rsidR="003F3B21" w:rsidRPr="003F3B21">
        <w:rPr>
          <w:rStyle w:val="a7"/>
          <w:noProof/>
        </w:rPr>
        <w:t>13</w:t>
      </w:r>
    </w:fldSimple>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3F3B21">
      <w:rPr>
        <w:rStyle w:val="a7"/>
        <w:noProof/>
      </w:rPr>
      <w:t>10</w:t>
    </w:r>
    <w:r>
      <w:rPr>
        <w:rStyle w:val="a7"/>
      </w:rPr>
      <w:fldChar w:fldCharType="end"/>
    </w:r>
    <w:r>
      <w:rPr>
        <w:rStyle w:val="a7"/>
        <w:rFonts w:hint="eastAsia"/>
      </w:rPr>
      <w:t>页共</w:t>
    </w:r>
    <w:r w:rsidR="003F3B21">
      <w:fldChar w:fldCharType="begin"/>
    </w:r>
    <w:r w:rsidR="003F3B21">
      <w:instrText xml:space="preserve"> NUMPAGES  \* Arabic  \* MERGEFORMAT </w:instrText>
    </w:r>
    <w:r w:rsidR="003F3B21">
      <w:fldChar w:fldCharType="separate"/>
    </w:r>
    <w:r w:rsidR="003F3B21" w:rsidRPr="003F3B21">
      <w:rPr>
        <w:rStyle w:val="a7"/>
        <w:noProof/>
      </w:rPr>
      <w:t>13</w:t>
    </w:r>
    <w:r w:rsidR="003F3B21">
      <w:rPr>
        <w:rStyle w:val="a7"/>
        <w:noProof/>
      </w:rPr>
      <w:fldChar w:fldCharType="end"/>
    </w:r>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A26" w:rsidRDefault="00BE5A26" w:rsidP="00876D65">
      <w:r>
        <w:separator/>
      </w:r>
    </w:p>
  </w:footnote>
  <w:footnote w:type="continuationSeparator" w:id="0">
    <w:p w:rsidR="00BE5A26" w:rsidRDefault="00BE5A26"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易方达瑞和灵活配置混合型证券投资基金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3B21"/>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198"/>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97213F0A-56FB-43F1-8F96-99DB4F0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B571-16C6-45AF-85F8-33DA5B32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13</Pages>
  <Words>1221</Words>
  <Characters>6960</Characters>
  <Application>Microsoft Office Word</Application>
  <DocSecurity>0</DocSecurity>
  <Lines>58</Lines>
  <Paragraphs>16</Paragraphs>
  <ScaleCrop>false</ScaleCrop>
  <Company/>
  <LinksUpToDate>false</LinksUpToDate>
  <CharactersWithSpaces>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李维</cp:lastModifiedBy>
  <cp:revision>344</cp:revision>
  <dcterms:created xsi:type="dcterms:W3CDTF">2012-10-16T06:07:00Z</dcterms:created>
  <dcterms:modified xsi:type="dcterms:W3CDTF">2020-07-14T08:44:00Z</dcterms:modified>
</cp:coreProperties>
</file>