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542546" w:rsidR="00750D48" w:rsidRDefault="00750D48" w:rsidRPr="00264E55">
      <w:pPr>
        <w:spacing w:line="360" w:lineRule="auto"/>
        <w:jc w:val="center"/>
        <w:rPr>
          <w:rFonts w:ascii="宋体" w:hAnsi="宋体"/>
          <w:b/>
          <w:sz w:val="36"/>
          <w:szCs w:val="36"/>
        </w:rPr>
      </w:pPr>
      <w:r w:rsidRPr="00264E55">
        <w:rPr>
          <w:rFonts w:ascii="宋体"/>
          <w:b/>
          <w:sz w:val="36"/>
          <w:szCs w:val="36"/>
        </w:rPr>
        <w:t/>
      </w:r>
      <w:proofErr w:type="spellStart"/>
      <w:proofErr w:type="gramStart"/>
      <w:r w:rsidRPr="00264E55">
        <w:rPr>
          <w:rFonts w:ascii="宋体" w:hAnsi="宋体"/>
          <w:b/>
          <w:sz w:val="36"/>
          <w:szCs w:val="36"/>
        </w:rPr>
        <w:t/>
      </w:r>
      <w:proofErr w:type="spellEnd"/>
      <w:proofErr w:type="gramEnd"/>
      <w:r w:rsidRPr="00264E55">
        <w:rPr>
          <w:rFonts w:ascii="宋体" w:hAnsi="宋体"/>
          <w:b/>
          <w:sz w:val="36"/>
          <w:szCs w:val="36"/>
        </w:rPr>
        <w:t>易方达信息产业混合型证券投资基金</w:t>
      </w:r>
    </w:p>
    <w:p w:rsidP="00542546" w:rsidR="00750D48" w:rsidRDefault="00750D48" w:rsidRPr="00264E55">
      <w:pPr>
        <w:spacing w:line="360" w:lineRule="auto"/>
        <w:jc w:val="center"/>
        <w:rPr>
          <w:rFonts w:ascii="宋体" w:hAnsi="宋体"/>
          <w:b/>
          <w:sz w:val="36"/>
          <w:szCs w:val="36"/>
        </w:rPr>
      </w:pPr>
      <w:r w:rsidRPr="00264E55">
        <w:rPr>
          <w:rFonts w:ascii="宋体" w:hAnsi="宋体"/>
          <w:b/>
          <w:sz w:val="36"/>
          <w:szCs w:val="36"/>
        </w:rPr>
        <w:t/>
      </w:r>
      <w:proofErr w:type="spellStart"/>
      <w:r w:rsidRPr="00264E55">
        <w:rPr>
          <w:rFonts w:ascii="宋体" w:hAnsi="宋体"/>
          <w:b/>
          <w:sz w:val="36"/>
          <w:szCs w:val="36"/>
        </w:rPr>
        <w:t/>
      </w:r>
      <w:proofErr w:type="spellEnd"/>
      <w:r w:rsidRPr="00264E55">
        <w:rPr>
          <w:rFonts w:ascii="宋体" w:hAnsi="宋体"/>
          <w:b/>
          <w:sz w:val="36"/>
          <w:szCs w:val="36"/>
        </w:rPr>
        <w:t>2020年第2季度报告</w:t>
      </w:r>
    </w:p>
    <w:p w:rsidP="00542546" w:rsidR="00750D48" w:rsidRDefault="00750D48" w:rsidRPr="00093704">
      <w:pPr>
        <w:spacing w:line="360" w:lineRule="auto"/>
        <w:jc w:val="center"/>
        <w:rPr>
          <w:rFonts w:ascii="宋体" w:hAnsi="宋体"/>
          <w:b/>
          <w:sz w:val="24"/>
          <w:szCs w:val="24"/>
        </w:rPr>
      </w:pPr>
      <w:r w:rsidRPr="00093704">
        <w:rPr>
          <w:rFonts w:ascii="宋体"/>
          <w:b/>
          <w:sz w:val="24"/>
          <w:szCs w:val="24"/>
        </w:rPr>
        <w:t/>
      </w:r>
      <w:proofErr w:type="spellStart"/>
      <w:proofErr w:type="gramStart"/>
      <w:r w:rsidRPr="00093704">
        <w:rPr>
          <w:rFonts w:ascii="宋体" w:hAnsi="宋体"/>
          <w:b/>
          <w:sz w:val="24"/>
          <w:szCs w:val="24"/>
        </w:rPr>
        <w:t/>
      </w:r>
      <w:proofErr w:type="spellEnd"/>
      <w:proofErr w:type="gramEnd"/>
      <w:r w:rsidRPr="00093704">
        <w:rPr>
          <w:rFonts w:ascii="宋体" w:hAnsi="宋体"/>
          <w:b/>
          <w:sz w:val="24"/>
          <w:szCs w:val="24"/>
        </w:rPr>
        <w:t>2020年6月30日</w:t>
      </w: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rPr>
          <w:rFonts w:ascii="宋体"/>
          <w:b/>
          <w:bCs/>
          <w:color w:val="000000"/>
          <w:sz w:val="24"/>
          <w:szCs w:val="24"/>
        </w:rPr>
      </w:pP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基金管理人：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易方达基金管理有限公司</w:t>
      </w: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基金托管人：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中国建设银行股份有限公司</w:t>
      </w:r>
    </w:p>
    <w:p w:rsidP="00EB572F" w:rsidR="00750D48" w:rsidRDefault="00750D48" w:rsidRPr="00264E55">
      <w:pPr>
        <w:spacing w:line="360" w:lineRule="auto"/>
        <w:ind w:firstLine="2168" w:firstLineChars="900"/>
        <w:rPr>
          <w:rFonts w:ascii="宋体" w:hAnsi="宋体"/>
          <w:b/>
          <w:color w:val="000000"/>
          <w:sz w:val="24"/>
          <w:szCs w:val="24"/>
        </w:rPr>
        <w:sectPr w:rsidR="00750D48" w:rsidRPr="00264E55" w:rsidSect="00304A12">
          <w:headerReference r:id="rId9" w:type="default"/>
          <w:footerReference r:id="rId10" w:type="default"/>
          <w:pgSz w:h="15840" w:w="11926"/>
          <w:pgMar w:bottom="851" w:footer="992" w:gutter="0" w:header="851" w:left="1418" w:right="1418" w:top="1418"/>
          <w:cols w:space="720"/>
          <w:noEndnote/>
        </w:sectPr>
      </w:pPr>
      <w:r w:rsidRPr="00264E55">
        <w:rPr>
          <w:rFonts w:ascii="宋体" w:hAnsi="宋体" w:hint="eastAsia"/>
          <w:b/>
          <w:color w:val="000000"/>
          <w:sz w:val="24"/>
          <w:szCs w:val="24"/>
        </w:rPr>
        <w:t>报告送出日期：</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二〇二〇年七月二十一日</w:t>
      </w:r>
    </w:p>
    <w:p w:rsidP="004D28A3" w:rsidR="00750D48" w:rsidRDefault="00750D48" w:rsidRPr="00264E55">
      <w:pPr>
        <w:pStyle w:val="1"/>
        <w:spacing w:after="312" w:afterLines="100" w:before="312" w:beforeLines="100" w:line="360" w:lineRule="auto"/>
        <w:jc w:val="center"/>
        <w:rPr>
          <w:rFonts w:ascii="宋体"/>
          <w:b w:val="0"/>
          <w:bCs w:val="0"/>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1  </w:t>
      </w:r>
      <w:r w:rsidRPr="00264E55">
        <w:rPr>
          <w:rFonts w:ascii="宋体" w:hAnsi="宋体" w:hint="eastAsia"/>
          <w:color w:val="000000"/>
          <w:kern w:val="0"/>
          <w:sz w:val="24"/>
          <w:szCs w:val="24"/>
        </w:rPr>
        <w:t>重要提示</w:t>
      </w:r>
    </w:p>
    <w:p>
      <w:pPr>
        <w:spacing w:line="360" w:lineRule="auto"/>
        <w:ind w:firstLine="480" w:firstLineChars="200"/>
        <w:rPr>
          <w:color w:val="000000"/>
          <w:sz w:val="24"/>
          <w:szCs w:val="24"/>
        </w:rPr>
      </w:pPr>
      <w:r>
        <w:rPr>
          <w:color w:val="000000"/>
          <w:sz w:val="24"/>
          <w:szCs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szCs w:val="24"/>
        </w:rPr>
      </w:pPr>
      <w:r>
        <w:rPr>
          <w:color w:val="000000"/>
          <w:sz w:val="24"/>
          <w:szCs w:val="24"/>
        </w:rPr>
        <w:t xml:space="preserve">基金托管人中国建设银行股份有限公司根据本基金合同规定，于2020年7月17日复核了本报告中的财务指标、净值表现和投资组合报告等内容，保证复核内容不存在虚假记载、误导性陈述或者重大遗漏。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szCs w:val="24"/>
        </w:rPr>
      </w:pPr>
      <w:r>
        <w:rPr>
          <w:color w:val="000000"/>
          <w:sz w:val="24"/>
          <w:szCs w:val="24"/>
        </w:rPr>
        <w:t xml:space="preserve">基金管理人承诺以诚实信用、勤勉尽责的原则管理和运用基金资产，但不保证基金一定盈利。 </w:t>
      </w:r>
    </w:p>
    <w:p>
      <w:pPr>
        <w:spacing w:line="360" w:lineRule="auto"/>
        <w:ind w:firstLine="480" w:firstLineChars="200"/>
        <w:rPr>
          <w:color w:val="000000"/>
          <w:sz w:val="24"/>
          <w:szCs w:val="24"/>
        </w:rPr>
      </w:pPr>
      <w:r>
        <w:rPr>
          <w:color w:val="000000"/>
          <w:sz w:val="24"/>
          <w:szCs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szCs w:val="24"/>
        </w:rPr>
      </w:pPr>
      <w:r>
        <w:rPr>
          <w:color w:val="000000"/>
          <w:sz w:val="24"/>
          <w:szCs w:val="24"/>
        </w:rPr>
        <w:t>本报告中财务资料未经审计。</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proofErr w:type="gramStart"/>
      <w:r w:rsidRPr="006C56AA">
        <w:rPr>
          <w:color w:val="000000"/>
          <w:sz w:val="24"/>
          <w:szCs w:val="24"/>
        </w:rPr>
        <w:t/>
      </w:r>
      <w:proofErr w:type="spellEnd"/>
      <w:proofErr w:type="gramEnd"/>
      <w:r w:rsidRPr="006C56AA">
        <w:rPr>
          <w:color w:val="000000"/>
          <w:sz w:val="24"/>
          <w:szCs w:val="24"/>
        </w:rPr>
        <w:t>本报告期自2020年4月1日起至6月30日止。</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2  </w:t>
      </w:r>
      <w:r w:rsidRPr="00264E55">
        <w:rPr>
          <w:rFonts w:ascii="宋体"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40"/>
      </w:tblGrid>
      <w:tr w:rsidR="00750D48" w:rsidRPr="00264E55" w:rsidTr="00500A03">
        <w:tc>
          <w:tcPr>
            <w:tcW w:type="dxa" w:w="2835"/>
          </w:tcPr>
          <w:p w:rsidP="007B5AFB" w:rsidR="00750D48" w:rsidRDefault="00750D48" w:rsidRPr="00232B03">
            <w:pPr>
              <w:adjustRightInd w:val="0"/>
              <w:spacing w:before="29" w:line="360" w:lineRule="auto"/>
              <w:ind w:left="17"/>
              <w:jc w:val="left"/>
              <w:rPr>
                <w:kern w:val="0"/>
                <w:sz w:val="24"/>
                <w:szCs w:val="24"/>
              </w:rPr>
            </w:pPr>
            <w:r w:rsidRPr="00232B03">
              <w:rPr>
                <w:kern w:val="0"/>
                <w:sz w:val="24"/>
                <w:szCs w:val="24"/>
              </w:rPr>
              <w:t>基金简称</w:t>
            </w:r>
          </w:p>
        </w:tc>
        <w:tc>
          <w:tcPr>
            <w:tcW w:type="dxa" w:w="5479"/>
            <w:gridSpan w:val="2"/>
          </w:tcPr>
          <w:p w:rsidP="007B5AFB"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易方达信息产业混合</w:t>
            </w:r>
          </w:p>
        </w:tc>
      </w:tr>
      <w:tr w:rsidR="00750D48" w:rsidRPr="00264E55" w:rsidTr="00D94B8D">
        <w:tc>
          <w:tcPr>
            <w:tcW w:type="dxa" w:w="2835"/>
          </w:tcPr>
          <w:p w:rsidR="00750D48" w:rsidRDefault="00750D48" w:rsidRPr="00232B03">
            <w:pPr>
              <w:adjustRightInd w:val="0"/>
              <w:spacing w:before="29" w:line="360" w:lineRule="auto"/>
              <w:ind w:left="17"/>
              <w:jc w:val="left"/>
              <w:rPr>
                <w:kern w:val="0"/>
                <w:sz w:val="24"/>
                <w:szCs w:val="24"/>
              </w:rPr>
            </w:pPr>
            <w:r w:rsidRPr="00232B03">
              <w:rPr>
                <w:kern w:val="0"/>
                <w:sz w:val="24"/>
                <w:szCs w:val="24"/>
              </w:rPr>
              <w:t>基金主代码</w:t>
            </w:r>
          </w:p>
        </w:tc>
        <w:tc>
          <w:tcPr>
            <w:tcW w:type="dxa" w:w="5479"/>
            <w:gridSpan w:val="2"/>
          </w:tcPr>
          <w:p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001513</w:t>
            </w:r>
          </w:p>
        </w:tc>
      </w:tr>
      <w:tr w:rsidR="00750D48" w:rsidRPr="00264E55" w:rsidTr="00D94B8D">
        <w:tc>
          <w:tcPr>
            <w:tcW w:type="dxa" w:w="2835"/>
          </w:tcPr>
          <w:p w:rsidP="00895A8A" w:rsidR="00750D48" w:rsidRDefault="00750D48" w:rsidRPr="00232B03">
            <w:pPr>
              <w:adjustRightInd w:val="0"/>
              <w:spacing w:before="29" w:line="360" w:lineRule="auto"/>
              <w:ind w:left="17"/>
              <w:jc w:val="left"/>
              <w:rPr>
                <w:kern w:val="0"/>
                <w:sz w:val="24"/>
                <w:szCs w:val="24"/>
              </w:rPr>
            </w:pPr>
            <w:r w:rsidRPr="00232B03">
              <w:rPr>
                <w:kern w:val="0"/>
                <w:sz w:val="24"/>
                <w:szCs w:val="24"/>
              </w:rPr>
              <w:t>交易代码</w:t>
            </w:r>
          </w:p>
        </w:tc>
        <w:tc>
          <w:tcPr>
            <w:tcW w:type="dxa" w:w="5479"/>
            <w:gridSpan w:val="2"/>
          </w:tcPr>
          <w:p w:rsidP="00895A8A" w:rsidR="00750D48" w:rsidRDefault="00750D48" w:rsidRPr="00232B03">
            <w:pPr>
              <w:adjustRightInd w:val="0"/>
              <w:spacing w:before="29" w:line="360" w:lineRule="auto"/>
              <w:ind w:left="17"/>
              <w:jc w:val="left"/>
              <w:rPr>
                <w:color w:val="000000"/>
                <w:kern w:val="0"/>
                <w:sz w:val="24"/>
                <w:szCs w:val="24"/>
              </w:rPr>
            </w:pPr>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001513</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基金运作方式</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契约型开放式</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基金合同生效日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2016年9月27日</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报告期末基金份额总额</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3,642,623,634.04</w:t>
            </w:r>
            <w:r w:rsidRPr="00232B03">
              <w:rPr>
                <w:color w:val="000000"/>
                <w:kern w:val="0"/>
                <w:sz w:val="24"/>
                <w:szCs w:val="24"/>
              </w:rPr>
              <w:t>份</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投资目标</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本基金在严格控制风险的前提下，追求超越业绩比较基准的投资回报。</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投资策略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将基于定量与定性相结合的宏观及市场分析，确定组合中股票、债券、货币市场工具及其他金融工具的比例。在股票投资方面，本基金综合考虑行业景气度及可持续性、行业竞争格局、技术水平及其发展趋势、国家政策等因素，进行股票资产在各细分子行业之间的配置。在个股选择方面，本基金对信息产业上市公司的投资价值进行综合评价，精选具备较强竞争优势的上市公司。在债券投资方面，本基金将通过类属配置与券种选择两个层次进行投资管理。</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业绩比较基准</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中证TMT产业主题指数收益率×70%+一年期人民币定期存款利率（税后）×30%</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风险收益特征</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本基金为混合基金，理论上其预期风险与预期收益水平低于股票基金，高于债券基金和货币市场基金。</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基金管理人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易方达基金管理有限公司</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基金托管人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中国建设银行股份有限公司</w:t>
            </w:r>
          </w:p>
        </w:tc>
      </w:tr>
    </w:tbl>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3  </w:t>
      </w:r>
      <w:r w:rsidRPr="00264E55">
        <w:rPr>
          <w:rFonts w:ascii="宋体" w:hAnsi="宋体" w:hint="eastAsia"/>
          <w:color w:val="000000"/>
          <w:kern w:val="0"/>
          <w:sz w:val="24"/>
          <w:szCs w:val="24"/>
        </w:rPr>
        <w:t>主要财务指标和基金净值表现</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3.1 </w:t>
      </w:r>
      <w:r w:rsidRPr="00264E55">
        <w:rPr>
          <w:rFonts w:ascii="宋体" w:hAnsi="宋体" w:hint="eastAsia"/>
          <w:b/>
          <w:bCs/>
          <w:color w:val="000000"/>
          <w:kern w:val="0"/>
          <w:sz w:val="24"/>
          <w:szCs w:val="24"/>
        </w:rPr>
        <w:t>主要财务指标</w:t>
      </w:r>
    </w:p>
    <w:p w:rsidP="00392044" w:rsidR="00392044" w:rsidRDefault="00392044"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单位：人民币元</w:t>
      </w:r>
    </w:p>
    <w:tbl>
      <w:tblPr>
        <w:tblW w:type="dxa" w:w="8364"/>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552"/>
        <w:gridCol w:w="2410"/>
      </w:tblGrid>
      <w:tr w:rsidR="00392044" w:rsidRPr="006506EF" w:rsidTr="00C3442A">
        <w:tc>
          <w:tcPr>
            <w:tcW w:type="dxa" w:w="3402"/>
            <w:vAlign w:val="center"/>
          </w:tcPr>
          <w:p w:rsidP="00C3442A" w:rsidR="00392044" w:rsidRDefault="00392044" w:rsidRPr="006506EF">
            <w:pPr>
              <w:adjustRightInd w:val="0"/>
              <w:spacing w:before="29" w:line="360" w:lineRule="auto"/>
              <w:ind w:left="17"/>
              <w:jc w:val="center"/>
              <w:rPr>
                <w:kern w:val="0"/>
                <w:sz w:val="24"/>
              </w:rPr>
            </w:pPr>
            <w:r w:rsidRPr="006506EF">
              <w:rPr>
                <w:kern w:val="0"/>
                <w:sz w:val="24"/>
              </w:rPr>
              <w:t>主要财务指标</w:t>
            </w:r>
            <w:r w:rsidRPr="006506EF">
              <w:rPr>
                <w:kern w:val="0"/>
                <w:sz w:val="24"/>
              </w:rPr>
              <w:t/>
            </w:r>
            <w:proofErr w:type="spellStart"/>
            <w:r w:rsidRPr="006506EF">
              <w:rPr>
                <w:kern w:val="0"/>
                <w:sz w:val="24"/>
              </w:rPr>
              <w:t/>
            </w:r>
            <w:proofErr w:type="spellEnd"/>
            <w:r w:rsidRPr="006506EF">
              <w:rPr>
                <w:kern w:val="0"/>
                <w:sz w:val="24"/>
              </w:rPr>
              <w:t/>
            </w:r>
          </w:p>
        </w:tc>
        <w:tc>
          <w:tcPr>
            <w:tcW w:type="dxa" w:w="4962"/>
            <w:hMerge w:val="restart"/>
            <w:vAlign w:val="center"/>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报告期</w:t>
            </w:r>
          </w:p>
          <w:p w:rsidP="00C3442A" w:rsidR="00392044" w:rsidRDefault="00392044" w:rsidRPr="006506EF">
            <w:pPr>
              <w:adjustRightInd w:val="0"/>
              <w:spacing w:before="29" w:line="360" w:lineRule="auto"/>
              <w:ind w:left="17"/>
              <w:jc w:val="center"/>
              <w:rPr>
                <w:color w:val="000000"/>
                <w:sz w:val="24"/>
              </w:rPr>
            </w:pPr>
            <w:r w:rsidRPr="006506EF">
              <w:rPr>
                <w:color w:val="000000"/>
                <w:sz w:val="24"/>
              </w:rPr>
              <w:t>(</w:t>
            </w:r>
            <w:proofErr w:type="spellStart"/>
            <w:r w:rsidRPr="006506EF">
              <w:rPr>
                <w:color w:val="000000"/>
                <w:sz w:val="24"/>
              </w:rPr>
              <w:t/>
            </w:r>
            <w:proofErr w:type="spellEnd"/>
            <w:r w:rsidRPr="006506EF">
              <w:rPr>
                <w:color w:val="000000"/>
                <w:sz w:val="24"/>
              </w:rPr>
              <w:t>2020年4月1日-</w:t>
            </w:r>
            <w:proofErr w:type="spellStart"/>
            <w:r w:rsidRPr="006506EF">
              <w:rPr>
                <w:color w:val="000000"/>
                <w:sz w:val="24"/>
              </w:rPr>
              <w:t/>
            </w:r>
            <w:proofErr w:type="spellEnd"/>
            <w:r w:rsidRPr="006506EF">
              <w:rPr>
                <w:color w:val="000000"/>
                <w:sz w:val="24"/>
              </w:rPr>
              <w:t>2020年6月30日)</w:t>
            </w:r>
          </w:p>
        </w:tc>
        <w:tc>
          <w:tcPr>
            <w:tcW w:type="dxa" w:w="2410"/>
            <w:hMerge/>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上期金额</w:t>
            </w:r>
            <w:r w:rsidRPr="006506EF">
              <w:rPr>
                <w:color w:val="000000"/>
                <w:sz w:val="24"/>
              </w:rPr>
              <w:t/>
            </w:r>
            <w:proofErr w:type="spellStart"/>
            <w:r w:rsidRPr="006506EF">
              <w:rPr>
                <w:color w:val="000000"/>
                <w:sz w:val="24"/>
              </w:rPr>
              <w:t/>
            </w:r>
            <w:proofErr w:type="spellEnd"/>
            <w:r w:rsidRPr="006506EF">
              <w:rPr>
                <w:color w:val="000000"/>
                <w:sz w:val="24"/>
              </w:rPr>
              <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1.</w:t>
            </w:r>
            <w:r w:rsidRPr="006506EF">
              <w:rPr>
                <w:kern w:val="0"/>
                <w:sz w:val="24"/>
              </w:rPr>
              <w:t>本期已实现收益</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73,733,177.73</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2.</w:t>
            </w:r>
            <w:r w:rsidRPr="006506EF">
              <w:rPr>
                <w:kern w:val="0"/>
                <w:sz w:val="24"/>
              </w:rPr>
              <w:t>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2,189,980,453.62</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3.</w:t>
            </w:r>
            <w:r w:rsidRPr="006506EF">
              <w:rPr>
                <w:kern w:val="0"/>
                <w:sz w:val="24"/>
              </w:rPr>
              <w:t>加权平均基金份额本期利润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0.5563</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4.</w:t>
            </w:r>
            <w:r w:rsidRPr="006506EF">
              <w:rPr>
                <w:kern w:val="0"/>
                <w:sz w:val="24"/>
              </w:rPr>
              <w:t>期末基金资产净值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8,500,110,995.71</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rPr>
          <w:trHeight w:val="158"/>
        </w:trPr>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5.</w:t>
            </w:r>
            <w:r w:rsidRPr="006506EF">
              <w:rPr>
                <w:kern w:val="0"/>
                <w:sz w:val="24"/>
              </w:rPr>
              <w:t>期末基金份额净值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2.334</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bl>
    <w:p>
      <w:pPr>
        <w:spacing w:line="360" w:lineRule="auto"/>
        <w:ind w:firstLine="480" w:firstLineChars="200"/>
        <w:rPr>
          <w:color w:val="000000"/>
          <w:sz w:val="24"/>
          <w:szCs w:val="24"/>
        </w:rPr>
      </w:pPr>
      <w:r>
        <w:rPr>
          <w:color w:val="000000"/>
          <w:sz w:val="24"/>
        </w:rPr>
        <w:t>注：1.所述基金业绩指标不包括持有人认购或交易基金的各项费用，计入费用后实际收益水平要低于所列数字。</w:t>
      </w:r>
    </w:p>
    <w:p w:rsidP="00232B03" w:rsidR="00750D48" w:rsidRDefault="00392044" w:rsidRPr="00232B03">
      <w:pPr>
        <w:spacing w:line="360" w:lineRule="auto"/>
        <w:ind w:firstLine="480" w:firstLineChars="200"/>
        <w:rPr>
          <w:color w:val="000000"/>
          <w:sz w:val="24"/>
          <w:szCs w:val="24"/>
        </w:rPr>
      </w:pPr>
      <w:r w:rsidRPr="006506EF">
        <w:rPr>
          <w:color w:val="000000"/>
          <w:sz w:val="24"/>
        </w:rPr>
        <w:t/>
      </w:r>
      <w:proofErr w:type="spellStart"/>
      <w:r w:rsidRPr="006506EF">
        <w:rPr>
          <w:color w:val="000000"/>
          <w:sz w:val="24"/>
        </w:rPr>
        <w:t/>
      </w:r>
      <w:proofErr w:type="spellEnd"/>
      <w:r w:rsidRPr="006506EF">
        <w:rPr>
          <w:color w:val="000000"/>
          <w:sz w:val="24"/>
        </w:rPr>
        <w:t/>
      </w:r>
      <w:proofErr w:type="spellStart"/>
      <w:proofErr w:type="gramStart"/>
      <w:r w:rsidRPr="006506EF">
        <w:rPr>
          <w:color w:val="000000"/>
          <w:sz w:val="24"/>
        </w:rPr>
        <w:t/>
      </w:r>
      <w:proofErr w:type="spellEnd"/>
      <w:proofErr w:type="gramEnd"/>
      <w:r w:rsidRPr="006506EF">
        <w:rPr>
          <w:color w:val="000000"/>
          <w:sz w:val="24"/>
        </w:rPr>
        <w:t>2.本期已实现收益指基金本期利息收入、投资收益、其他收入（不含公允价值变动收益）扣除相关费用后的余额，本期利润为本期已实现收益加上本期公允价值变动收益。</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3.2 </w:t>
      </w:r>
      <w:r w:rsidRPr="00264E55">
        <w:rPr>
          <w:rFonts w:ascii="宋体" w:hAnsi="宋体" w:hint="eastAsia"/>
          <w:b/>
          <w:bCs/>
          <w:color w:val="000000"/>
          <w:kern w:val="0"/>
          <w:sz w:val="24"/>
          <w:szCs w:val="24"/>
        </w:rPr>
        <w:t>基金净值表现</w:t>
      </w:r>
    </w:p>
    <w:p w:rsidP="009E7C6A" w:rsidR="00750D48" w:rsidRDefault="00750D48" w:rsidRPr="00264E55">
      <w:pPr>
        <w:autoSpaceDE w:val="0"/>
        <w:autoSpaceDN w:val="0"/>
        <w:adjustRightInd w:val="0"/>
        <w:spacing w:line="360" w:lineRule="auto"/>
        <w:jc w:val="left"/>
        <w:rPr>
          <w:rFonts w:ascii="宋体" w:cs="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3.2.1</w:t>
        </w:r>
      </w:smartTag>
      <w:r w:rsidRPr="00264E55">
        <w:rPr>
          <w:rFonts w:ascii="宋体" w:cs="宋体" w:hAnsi="宋体" w:hint="eastAsia"/>
          <w:b/>
          <w:bCs/>
          <w:color w:val="000000"/>
          <w:kern w:val="0"/>
          <w:sz w:val="24"/>
          <w:szCs w:val="24"/>
        </w:rPr>
        <w:t>本报告</w:t>
      </w:r>
      <w:proofErr w:type="gramStart"/>
      <w:r w:rsidRPr="00264E55">
        <w:rPr>
          <w:rFonts w:ascii="宋体" w:cs="宋体" w:hAnsi="宋体" w:hint="eastAsia"/>
          <w:b/>
          <w:bCs/>
          <w:color w:val="000000"/>
          <w:kern w:val="0"/>
          <w:sz w:val="24"/>
          <w:szCs w:val="24"/>
        </w:rPr>
        <w:t>期基金</w:t>
      </w:r>
      <w:proofErr w:type="gramEnd"/>
      <w:r w:rsidRPr="00264E55">
        <w:rPr>
          <w:rFonts w:ascii="宋体" w:cs="宋体" w:hAnsi="宋体" w:hint="eastAsia"/>
          <w:b/>
          <w:bCs/>
          <w:color w:val="000000"/>
          <w:kern w:val="0"/>
          <w:sz w:val="24"/>
          <w:szCs w:val="24"/>
        </w:rPr>
        <w:t>份额净值增长率及其与同期业绩比较基准收益率的比较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395"/>
        <w:gridCol w:w="1092"/>
        <w:gridCol w:w="1161"/>
        <w:gridCol w:w="1181"/>
        <w:gridCol w:w="1188"/>
        <w:gridCol w:w="1199"/>
        <w:gridCol w:w="1204"/>
      </w:tblGrid>
      <w:tr w:rsidR="00750D48" w:rsidRPr="00264E55" w:rsidTr="00B05049">
        <w:tc>
          <w:tcPr>
            <w:tcW w:type="dxa" w:w="1395"/>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阶段</w:t>
            </w: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
            </w:r>
          </w:p>
        </w:tc>
        <w:tc>
          <w:tcPr>
            <w:tcW w:type="dxa" w:w="1092"/>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w:t>
            </w:r>
            <w:r w:rsidRPr="00232B03">
              <w:rPr>
                <w:rFonts w:ascii="宋体" w:cs="宋体" w:hAnsi="宋体" w:hint="eastAsia"/>
                <w:color w:val="000000"/>
                <w:kern w:val="0"/>
                <w:sz w:val="24"/>
                <w:szCs w:val="24"/>
              </w:rPr>
              <w:t>①</w:t>
            </w:r>
          </w:p>
        </w:tc>
        <w:tc>
          <w:tcPr>
            <w:tcW w:type="dxa" w:w="116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净值增长率标准差</w:t>
            </w:r>
            <w:r w:rsidRPr="00232B03">
              <w:rPr>
                <w:rFonts w:ascii="宋体" w:cs="宋体" w:hAnsi="宋体" w:hint="eastAsia"/>
                <w:color w:val="000000"/>
                <w:kern w:val="0"/>
                <w:sz w:val="24"/>
                <w:szCs w:val="24"/>
              </w:rPr>
              <w:t>②</w:t>
            </w:r>
          </w:p>
        </w:tc>
        <w:tc>
          <w:tcPr>
            <w:tcW w:type="dxa" w:w="118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业绩比较基准收益率</w:t>
            </w:r>
            <w:r w:rsidRPr="00232B03">
              <w:rPr>
                <w:rFonts w:ascii="宋体" w:cs="宋体" w:hAnsi="宋体" w:hint="eastAsia"/>
                <w:color w:val="000000"/>
                <w:kern w:val="0"/>
                <w:sz w:val="24"/>
                <w:szCs w:val="24"/>
              </w:rPr>
              <w:lastRenderedPageBreak/>
              <w:t>③</w:t>
            </w:r>
          </w:p>
        </w:tc>
        <w:tc>
          <w:tcPr>
            <w:tcW w:type="dxa" w:w="1188"/>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lastRenderedPageBreak/>
              <w:t>业绩比较基准收益率</w:t>
            </w:r>
            <w:r w:rsidRPr="00232B03">
              <w:rPr>
                <w:color w:val="000000"/>
                <w:kern w:val="0"/>
                <w:sz w:val="24"/>
                <w:szCs w:val="24"/>
              </w:rPr>
              <w:lastRenderedPageBreak/>
              <w:t>标准差</w:t>
            </w:r>
            <w:r w:rsidRPr="00232B03">
              <w:rPr>
                <w:rFonts w:ascii="宋体" w:cs="宋体" w:hAnsi="宋体" w:hint="eastAsia"/>
                <w:color w:val="000000"/>
                <w:kern w:val="0"/>
                <w:sz w:val="24"/>
                <w:szCs w:val="24"/>
              </w:rPr>
              <w:t>④</w:t>
            </w:r>
          </w:p>
        </w:tc>
        <w:tc>
          <w:tcPr>
            <w:tcW w:type="dxa" w:w="1199"/>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lastRenderedPageBreak/>
              <w:t>①</w:t>
            </w:r>
            <w:r w:rsidRPr="00232B03">
              <w:rPr>
                <w:color w:val="000000"/>
                <w:kern w:val="0"/>
                <w:sz w:val="24"/>
                <w:szCs w:val="24"/>
              </w:rPr>
              <w:t>-</w:t>
            </w:r>
            <w:r w:rsidRPr="00232B03">
              <w:rPr>
                <w:rFonts w:ascii="宋体" w:cs="宋体" w:hAnsi="宋体" w:hint="eastAsia"/>
                <w:color w:val="000000"/>
                <w:kern w:val="0"/>
                <w:sz w:val="24"/>
                <w:szCs w:val="24"/>
              </w:rPr>
              <w:t>③</w:t>
            </w:r>
          </w:p>
        </w:tc>
        <w:tc>
          <w:tcPr>
            <w:tcW w:type="dxa" w:w="1204"/>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t>②</w:t>
            </w:r>
            <w:r w:rsidRPr="00232B03">
              <w:rPr>
                <w:color w:val="000000"/>
                <w:kern w:val="0"/>
                <w:sz w:val="24"/>
                <w:szCs w:val="24"/>
              </w:rPr>
              <w:t>-</w:t>
            </w:r>
            <w:r w:rsidRPr="00232B03">
              <w:rPr>
                <w:rFonts w:ascii="宋体" w:cs="宋体" w:hAnsi="宋体" w:hint="eastAsia"/>
                <w:color w:val="000000"/>
                <w:kern w:val="0"/>
                <w:sz w:val="24"/>
                <w:szCs w:val="24"/>
              </w:rPr>
              <w:t>④</w:t>
            </w:r>
          </w:p>
        </w:tc>
      </w:tr>
      <w:tr>
        <w:tc>
          <w:tcPr>
            <w:vAlign w:val="center"/>
          </w:tcPr>
          <w:p>
            <w:pPr>
              <w:jc w:val="left"/>
            </w:pPr>
            <w:r>
              <w:rPr>
                <w:color w:val="000000"/>
                <w:kern w:val="0"/>
                <w:sz w:val="24"/>
                <w:szCs w:val="24"/>
              </w:rPr>
              <w:t>过去三个月</w:t>
            </w:r>
          </w:p>
        </w:tc>
        <w:tc>
          <w:tcPr>
            <w:vAlign w:val="center"/>
          </w:tcPr>
          <w:p>
            <w:pPr>
              <w:jc w:val="center"/>
            </w:pPr>
            <w:r>
              <w:rPr>
                <w:color w:val="000000"/>
                <w:kern w:val="0"/>
                <w:sz w:val="24"/>
                <w:szCs w:val="24"/>
              </w:rPr>
              <w:t>32.69%</w:t>
            </w:r>
          </w:p>
        </w:tc>
        <w:tc>
          <w:tcPr>
            <w:vAlign w:val="center"/>
          </w:tcPr>
          <w:p>
            <w:pPr>
              <w:jc w:val="center"/>
            </w:pPr>
            <w:r>
              <w:rPr>
                <w:color w:val="000000"/>
                <w:kern w:val="0"/>
                <w:sz w:val="24"/>
                <w:szCs w:val="24"/>
              </w:rPr>
              <w:t>1.60%</w:t>
            </w:r>
          </w:p>
        </w:tc>
        <w:tc>
          <w:tcPr>
            <w:vAlign w:val="center"/>
          </w:tcPr>
          <w:p>
            <w:pPr>
              <w:jc w:val="center"/>
            </w:pPr>
            <w:r>
              <w:rPr>
                <w:color w:val="000000"/>
                <w:kern w:val="0"/>
                <w:sz w:val="24"/>
                <w:szCs w:val="24"/>
              </w:rPr>
              <w:t>14.39%</w:t>
            </w:r>
          </w:p>
        </w:tc>
        <w:tc>
          <w:tcPr>
            <w:vAlign w:val="center"/>
          </w:tcPr>
          <w:p>
            <w:pPr>
              <w:jc w:val="center"/>
            </w:pPr>
            <w:r>
              <w:rPr>
                <w:color w:val="000000"/>
                <w:kern w:val="0"/>
                <w:sz w:val="24"/>
                <w:szCs w:val="24"/>
              </w:rPr>
              <w:t>1.18%</w:t>
            </w:r>
          </w:p>
        </w:tc>
        <w:tc>
          <w:tcPr>
            <w:vAlign w:val="center"/>
          </w:tcPr>
          <w:p>
            <w:pPr>
              <w:jc w:val="center"/>
            </w:pPr>
            <w:r>
              <w:rPr>
                <w:color w:val="000000"/>
                <w:kern w:val="0"/>
                <w:sz w:val="24"/>
                <w:szCs w:val="24"/>
              </w:rPr>
              <w:t>18.30%</w:t>
            </w:r>
          </w:p>
        </w:tc>
        <w:tc>
          <w:tcPr>
            <w:vAlign w:val="center"/>
          </w:tcPr>
          <w:p>
            <w:pPr>
              <w:jc w:val="center"/>
            </w:pPr>
            <w:r>
              <w:rPr>
                <w:color w:val="000000"/>
                <w:kern w:val="0"/>
                <w:sz w:val="24"/>
                <w:szCs w:val="24"/>
              </w:rPr>
              <w:t>0.42%</w:t>
            </w:r>
          </w:p>
        </w:tc>
      </w:tr>
      <w:tr>
        <w:tc>
          <w:tcPr>
            <w:vAlign w:val="center"/>
          </w:tcPr>
          <w:p>
            <w:pPr>
              <w:jc w:val="left"/>
            </w:pPr>
            <w:r>
              <w:rPr>
                <w:color w:val="000000"/>
                <w:kern w:val="0"/>
                <w:sz w:val="24"/>
                <w:szCs w:val="24"/>
              </w:rPr>
              <w:t>过去六个月</w:t>
            </w:r>
          </w:p>
        </w:tc>
        <w:tc>
          <w:tcPr>
            <w:vAlign w:val="center"/>
          </w:tcPr>
          <w:p>
            <w:pPr>
              <w:jc w:val="center"/>
            </w:pPr>
            <w:r>
              <w:rPr>
                <w:color w:val="000000"/>
                <w:kern w:val="0"/>
                <w:sz w:val="24"/>
                <w:szCs w:val="24"/>
              </w:rPr>
              <w:t>36.33%</w:t>
            </w:r>
          </w:p>
        </w:tc>
        <w:tc>
          <w:tcPr>
            <w:vAlign w:val="center"/>
          </w:tcPr>
          <w:p>
            <w:pPr>
              <w:jc w:val="center"/>
            </w:pPr>
            <w:r>
              <w:rPr>
                <w:color w:val="000000"/>
                <w:kern w:val="0"/>
                <w:sz w:val="24"/>
                <w:szCs w:val="24"/>
              </w:rPr>
              <w:t>2.11%</w:t>
            </w:r>
          </w:p>
        </w:tc>
        <w:tc>
          <w:tcPr>
            <w:vAlign w:val="center"/>
          </w:tcPr>
          <w:p>
            <w:pPr>
              <w:jc w:val="center"/>
            </w:pPr>
            <w:r>
              <w:rPr>
                <w:color w:val="000000"/>
                <w:kern w:val="0"/>
                <w:sz w:val="24"/>
                <w:szCs w:val="24"/>
              </w:rPr>
              <w:t>13.18%</w:t>
            </w:r>
          </w:p>
        </w:tc>
        <w:tc>
          <w:tcPr>
            <w:vAlign w:val="center"/>
          </w:tcPr>
          <w:p>
            <w:pPr>
              <w:jc w:val="center"/>
            </w:pPr>
            <w:r>
              <w:rPr>
                <w:color w:val="000000"/>
                <w:kern w:val="0"/>
                <w:sz w:val="24"/>
                <w:szCs w:val="24"/>
              </w:rPr>
              <w:t>1.66%</w:t>
            </w:r>
          </w:p>
        </w:tc>
        <w:tc>
          <w:tcPr>
            <w:vAlign w:val="center"/>
          </w:tcPr>
          <w:p>
            <w:pPr>
              <w:jc w:val="center"/>
            </w:pPr>
            <w:r>
              <w:rPr>
                <w:color w:val="000000"/>
                <w:kern w:val="0"/>
                <w:sz w:val="24"/>
                <w:szCs w:val="24"/>
              </w:rPr>
              <w:t>23.15%</w:t>
            </w:r>
          </w:p>
        </w:tc>
        <w:tc>
          <w:tcPr>
            <w:vAlign w:val="center"/>
          </w:tcPr>
          <w:p>
            <w:pPr>
              <w:jc w:val="center"/>
            </w:pPr>
            <w:r>
              <w:rPr>
                <w:color w:val="000000"/>
                <w:kern w:val="0"/>
                <w:sz w:val="24"/>
                <w:szCs w:val="24"/>
              </w:rPr>
              <w:t>0.45%</w:t>
            </w:r>
          </w:p>
        </w:tc>
      </w:tr>
      <w:tr>
        <w:tc>
          <w:tcPr>
            <w:vAlign w:val="center"/>
          </w:tcPr>
          <w:p>
            <w:pPr>
              <w:jc w:val="left"/>
            </w:pPr>
            <w:r>
              <w:rPr>
                <w:color w:val="000000"/>
                <w:kern w:val="0"/>
                <w:sz w:val="24"/>
                <w:szCs w:val="24"/>
              </w:rPr>
              <w:t>过去一年</w:t>
            </w:r>
          </w:p>
        </w:tc>
        <w:tc>
          <w:tcPr>
            <w:vAlign w:val="center"/>
          </w:tcPr>
          <w:p>
            <w:pPr>
              <w:jc w:val="center"/>
            </w:pPr>
            <w:r>
              <w:rPr>
                <w:color w:val="000000"/>
                <w:kern w:val="0"/>
                <w:sz w:val="24"/>
                <w:szCs w:val="24"/>
              </w:rPr>
              <w:t>94.01%</w:t>
            </w:r>
          </w:p>
        </w:tc>
        <w:tc>
          <w:tcPr>
            <w:vAlign w:val="center"/>
          </w:tcPr>
          <w:p>
            <w:pPr>
              <w:jc w:val="center"/>
            </w:pPr>
            <w:r>
              <w:rPr>
                <w:color w:val="000000"/>
                <w:kern w:val="0"/>
                <w:sz w:val="24"/>
                <w:szCs w:val="24"/>
              </w:rPr>
              <w:t>1.85%</w:t>
            </w:r>
          </w:p>
        </w:tc>
        <w:tc>
          <w:tcPr>
            <w:vAlign w:val="center"/>
          </w:tcPr>
          <w:p>
            <w:pPr>
              <w:jc w:val="center"/>
            </w:pPr>
            <w:r>
              <w:rPr>
                <w:color w:val="000000"/>
                <w:kern w:val="0"/>
                <w:sz w:val="24"/>
                <w:szCs w:val="24"/>
              </w:rPr>
              <w:t>31.98%</w:t>
            </w:r>
          </w:p>
        </w:tc>
        <w:tc>
          <w:tcPr>
            <w:vAlign w:val="center"/>
          </w:tcPr>
          <w:p>
            <w:pPr>
              <w:jc w:val="center"/>
            </w:pPr>
            <w:r>
              <w:rPr>
                <w:color w:val="000000"/>
                <w:kern w:val="0"/>
                <w:sz w:val="24"/>
                <w:szCs w:val="24"/>
              </w:rPr>
              <w:t>1.40%</w:t>
            </w:r>
          </w:p>
        </w:tc>
        <w:tc>
          <w:tcPr>
            <w:vAlign w:val="center"/>
          </w:tcPr>
          <w:p>
            <w:pPr>
              <w:jc w:val="center"/>
            </w:pPr>
            <w:r>
              <w:rPr>
                <w:color w:val="000000"/>
                <w:kern w:val="0"/>
                <w:sz w:val="24"/>
                <w:szCs w:val="24"/>
              </w:rPr>
              <w:t>62.03%</w:t>
            </w:r>
          </w:p>
        </w:tc>
        <w:tc>
          <w:tcPr>
            <w:vAlign w:val="center"/>
          </w:tcPr>
          <w:p>
            <w:pPr>
              <w:jc w:val="center"/>
            </w:pPr>
            <w:r>
              <w:rPr>
                <w:color w:val="000000"/>
                <w:kern w:val="0"/>
                <w:sz w:val="24"/>
                <w:szCs w:val="24"/>
              </w:rPr>
              <w:t>0.45%</w:t>
            </w:r>
          </w:p>
        </w:tc>
      </w:tr>
      <w:tr>
        <w:tc>
          <w:tcPr>
            <w:vAlign w:val="center"/>
          </w:tcPr>
          <w:p>
            <w:pPr>
              <w:jc w:val="left"/>
            </w:pPr>
            <w:r>
              <w:rPr>
                <w:color w:val="000000"/>
                <w:kern w:val="0"/>
                <w:sz w:val="24"/>
                <w:szCs w:val="24"/>
              </w:rPr>
              <w:t>过去三年</w:t>
            </w:r>
          </w:p>
        </w:tc>
        <w:tc>
          <w:tcPr>
            <w:vAlign w:val="center"/>
          </w:tcPr>
          <w:p>
            <w:pPr>
              <w:jc w:val="center"/>
            </w:pPr>
            <w:r>
              <w:rPr>
                <w:color w:val="000000"/>
                <w:kern w:val="0"/>
                <w:sz w:val="24"/>
                <w:szCs w:val="24"/>
              </w:rPr>
              <w:t>116.11%</w:t>
            </w:r>
          </w:p>
        </w:tc>
        <w:tc>
          <w:tcPr>
            <w:vAlign w:val="center"/>
          </w:tcPr>
          <w:p>
            <w:pPr>
              <w:jc w:val="center"/>
            </w:pPr>
            <w:r>
              <w:rPr>
                <w:color w:val="000000"/>
                <w:kern w:val="0"/>
                <w:sz w:val="24"/>
                <w:szCs w:val="24"/>
              </w:rPr>
              <w:t>1.78%</w:t>
            </w:r>
          </w:p>
        </w:tc>
        <w:tc>
          <w:tcPr>
            <w:vAlign w:val="center"/>
          </w:tcPr>
          <w:p>
            <w:pPr>
              <w:jc w:val="center"/>
            </w:pPr>
            <w:r>
              <w:rPr>
                <w:color w:val="000000"/>
                <w:kern w:val="0"/>
                <w:sz w:val="24"/>
                <w:szCs w:val="24"/>
              </w:rPr>
              <w:t>15.59%</w:t>
            </w:r>
          </w:p>
        </w:tc>
        <w:tc>
          <w:tcPr>
            <w:vAlign w:val="center"/>
          </w:tcPr>
          <w:p>
            <w:pPr>
              <w:jc w:val="center"/>
            </w:pPr>
            <w:r>
              <w:rPr>
                <w:color w:val="000000"/>
                <w:kern w:val="0"/>
                <w:sz w:val="24"/>
                <w:szCs w:val="24"/>
              </w:rPr>
              <w:t>1.31%</w:t>
            </w:r>
          </w:p>
        </w:tc>
        <w:tc>
          <w:tcPr>
            <w:vAlign w:val="center"/>
          </w:tcPr>
          <w:p>
            <w:pPr>
              <w:jc w:val="center"/>
            </w:pPr>
            <w:r>
              <w:rPr>
                <w:color w:val="000000"/>
                <w:kern w:val="0"/>
                <w:sz w:val="24"/>
                <w:szCs w:val="24"/>
              </w:rPr>
              <w:t>100.52%</w:t>
            </w:r>
          </w:p>
        </w:tc>
        <w:tc>
          <w:tcPr>
            <w:vAlign w:val="center"/>
          </w:tcPr>
          <w:p>
            <w:pPr>
              <w:jc w:val="center"/>
            </w:pPr>
            <w:r>
              <w:rPr>
                <w:color w:val="000000"/>
                <w:kern w:val="0"/>
                <w:sz w:val="24"/>
                <w:szCs w:val="24"/>
              </w:rPr>
              <w:t>0.47%</w:t>
            </w:r>
          </w:p>
        </w:tc>
      </w:tr>
      <w:tr>
        <w:tc>
          <w:tcPr>
            <w:vAlign w:val="center"/>
          </w:tcPr>
          <w:p>
            <w:pPr>
              <w:jc w:val="left"/>
            </w:pPr>
            <w:r>
              <w:rPr>
                <w:color w:val="000000"/>
                <w:kern w:val="0"/>
                <w:sz w:val="24"/>
                <w:szCs w:val="24"/>
              </w:rPr>
              <w:t>过去五年</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r>
      <w:tr>
        <w:tc>
          <w:tcPr>
            <w:vAlign w:val="center"/>
          </w:tcPr>
          <w:p>
            <w:pPr>
              <w:jc w:val="left"/>
            </w:pPr>
            <w:r>
              <w:rPr>
                <w:color w:val="000000"/>
                <w:kern w:val="0"/>
                <w:sz w:val="24"/>
                <w:szCs w:val="24"/>
              </w:rPr>
              <w:t>自基金合同生效起至今</w:t>
            </w:r>
          </w:p>
        </w:tc>
        <w:tc>
          <w:tcPr>
            <w:vAlign w:val="center"/>
          </w:tcPr>
          <w:p>
            <w:pPr>
              <w:jc w:val="center"/>
            </w:pPr>
            <w:r>
              <w:rPr>
                <w:color w:val="000000"/>
                <w:kern w:val="0"/>
                <w:sz w:val="24"/>
                <w:szCs w:val="24"/>
              </w:rPr>
              <w:t>133.40%</w:t>
            </w:r>
          </w:p>
        </w:tc>
        <w:tc>
          <w:tcPr>
            <w:vAlign w:val="center"/>
          </w:tcPr>
          <w:p>
            <w:pPr>
              <w:jc w:val="center"/>
            </w:pPr>
            <w:r>
              <w:rPr>
                <w:color w:val="000000"/>
                <w:kern w:val="0"/>
                <w:sz w:val="24"/>
                <w:szCs w:val="24"/>
              </w:rPr>
              <w:t>1.62%</w:t>
            </w:r>
          </w:p>
        </w:tc>
        <w:tc>
          <w:tcPr>
            <w:vAlign w:val="center"/>
          </w:tcPr>
          <w:p>
            <w:pPr>
              <w:jc w:val="center"/>
            </w:pPr>
            <w:r>
              <w:rPr>
                <w:color w:val="000000"/>
                <w:kern w:val="0"/>
                <w:sz w:val="24"/>
                <w:szCs w:val="24"/>
              </w:rPr>
              <w:t>8.97%</w:t>
            </w:r>
          </w:p>
        </w:tc>
        <w:tc>
          <w:tcPr>
            <w:vAlign w:val="center"/>
          </w:tcPr>
          <w:p>
            <w:pPr>
              <w:jc w:val="center"/>
            </w:pPr>
            <w:r>
              <w:rPr>
                <w:color w:val="000000"/>
                <w:kern w:val="0"/>
                <w:sz w:val="24"/>
                <w:szCs w:val="24"/>
              </w:rPr>
              <w:t>1.21%</w:t>
            </w:r>
          </w:p>
        </w:tc>
        <w:tc>
          <w:tcPr>
            <w:vAlign w:val="center"/>
          </w:tcPr>
          <w:p>
            <w:pPr>
              <w:jc w:val="center"/>
            </w:pPr>
            <w:r>
              <w:rPr>
                <w:color w:val="000000"/>
                <w:kern w:val="0"/>
                <w:sz w:val="24"/>
                <w:szCs w:val="24"/>
              </w:rPr>
              <w:t>124.43%</w:t>
            </w:r>
          </w:p>
        </w:tc>
        <w:tc>
          <w:tcPr>
            <w:vAlign w:val="center"/>
          </w:tcPr>
          <w:p>
            <w:pPr>
              <w:jc w:val="center"/>
            </w:pPr>
            <w:r>
              <w:rPr>
                <w:color w:val="000000"/>
                <w:kern w:val="0"/>
                <w:sz w:val="24"/>
                <w:szCs w:val="24"/>
              </w:rPr>
              <w:t>0.41%</w:t>
            </w:r>
          </w:p>
        </w:tc>
      </w:tr>
    </w:tbl>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3.2.2</w:t>
        </w:r>
        <w:r w:rsidR="00D87469" w:rsidRPr="00370BEA">
          <w:rPr>
            <w:rStyle w:val="afb"/>
            <w:rFonts w:hint="eastAsia"/>
            <w:color w:val="000000"/>
            <w:sz w:val="24"/>
            <w:shd w:color="auto" w:fill="FFFFFF" w:val="clear"/>
          </w:rPr>
          <w:t/>
        </w:r>
        <w:proofErr w:type="spellStart"/>
        <w:r w:rsidR="00D87469" w:rsidRPr="00370BEA">
          <w:rPr>
            <w:rStyle w:val="afb"/>
            <w:rFonts w:hint="eastAsia"/>
            <w:color w:val="000000"/>
            <w:sz w:val="24"/>
            <w:shd w:color="auto" w:fill="FFFFFF" w:val="clear"/>
          </w:rPr>
          <w:t/>
        </w:r>
        <w:proofErr w:type="spellEnd"/>
        <w:r w:rsidR="00D87469" w:rsidRPr="00370BEA">
          <w:rPr>
            <w:rStyle w:val="afb"/>
            <w:rFonts w:hint="eastAsia"/>
            <w:color w:val="000000"/>
            <w:sz w:val="24"/>
            <w:shd w:color="auto" w:fill="FFFFFF" w:val="clear"/>
          </w:rPr>
          <w:t>自基金合同生效以来</w:t>
        </w:r>
      </w:smartTag>
      <w:r w:rsidRPr="00264E55">
        <w:rPr>
          <w:rFonts w:ascii="宋体" w:hAnsi="宋体" w:hint="eastAsia"/>
          <w:b/>
          <w:bCs/>
          <w:color w:val="000000"/>
          <w:kern w:val="0"/>
          <w:sz w:val="24"/>
          <w:szCs w:val="24"/>
        </w:rPr>
        <w:t>基金累计净值增长率变动及其与同期业绩比较基准收益率变动的比较</w:t>
      </w:r>
    </w:p>
    <w:p w:rsidP="009E7C6A" w:rsidR="00750D48" w:rsidRDefault="00750D48" w:rsidRPr="0074694E">
      <w:pPr>
        <w:spacing w:line="360" w:lineRule="auto"/>
        <w:jc w:val="center"/>
        <w:rPr>
          <w:color w:val="000000"/>
          <w:sz w:val="24"/>
          <w:szCs w:val="24"/>
        </w:rPr>
      </w:pPr>
      <w:r w:rsidRPr="0074694E">
        <w:rPr>
          <w:color w:val="000000"/>
          <w:sz w:val="24"/>
          <w:szCs w:val="24"/>
        </w:rPr>
        <w:t/>
      </w:r>
      <w:proofErr w:type="spellStart"/>
      <w:r w:rsidRPr="0074694E">
        <w:rPr>
          <w:color w:val="000000"/>
          <w:sz w:val="24"/>
          <w:szCs w:val="24"/>
        </w:rPr>
        <w:t/>
      </w:r>
      <w:proofErr w:type="spellEnd"/>
      <w:r w:rsidRPr="0074694E">
        <w:rPr>
          <w:color w:val="000000"/>
          <w:sz w:val="24"/>
          <w:szCs w:val="24"/>
        </w:rPr>
        <w:t>易方达信息产业混合型证券投资基金</w:t>
      </w:r>
    </w:p>
    <w:p w:rsidP="009E7C6A" w:rsidR="00750D48" w:rsidRDefault="00750D48" w:rsidRPr="0074694E">
      <w:pPr>
        <w:pStyle w:val="a5"/>
        <w:snapToGrid w:val="0"/>
        <w:spacing w:line="360" w:lineRule="auto"/>
        <w:jc w:val="center"/>
        <w:rPr>
          <w:rFonts w:ascii="Times New Roman" w:hAnsi="Times New Roman"/>
          <w:color w:val="000000"/>
          <w:sz w:val="24"/>
          <w:szCs w:val="24"/>
        </w:rPr>
      </w:pPr>
      <w:r w:rsidRPr="0074694E">
        <w:rPr>
          <w:rFonts w:ascii="Times New Roman" w:hAnsi="Times New Roman"/>
          <w:color w:val="000000"/>
          <w:sz w:val="24"/>
          <w:szCs w:val="24"/>
        </w:rPr>
        <w:t>累计净值增长率与业绩比较基准收益率的历史走势对比图</w:t>
      </w:r>
    </w:p>
    <w:p w:rsidP="009E7C6A" w:rsidR="00750D48" w:rsidRDefault="005F7917" w:rsidRPr="0074694E">
      <w:pPr>
        <w:pStyle w:val="a5"/>
        <w:snapToGrid w:val="0"/>
        <w:spacing w:line="360" w:lineRule="auto"/>
        <w:ind w:firstLine="480"/>
        <w:jc w:val="center"/>
        <w:rPr>
          <w:rFonts w:ascii="Times New Roman" w:hAnsi="Times New Roman"/>
          <w:sz w:val="24"/>
          <w:szCs w:val="24"/>
        </w:rPr>
      </w:pPr>
      <w:r w:rsidRPr="0074694E">
        <w:rPr>
          <w:rFonts w:ascii="Times New Roman" w:hAnsi="Times New Roman"/>
          <w:sz w:val="24"/>
          <w:szCs w:val="24"/>
        </w:rPr>
        <w:t>（</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2016年9月27日</w:t>
      </w:r>
      <w:r w:rsidRPr="0074694E">
        <w:rPr>
          <w:rFonts w:ascii="Times New Roman" w:hAnsi="Times New Roman"/>
          <w:sz w:val="24"/>
          <w:szCs w:val="24"/>
        </w:rPr>
        <w:t>至</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2020年6月30日</w:t>
      </w:r>
      <w:r w:rsidRPr="0074694E">
        <w:rPr>
          <w:rFonts w:ascii="Times New Roman" w:hAnsi="Times New Roman"/>
          <w:sz w:val="24"/>
          <w:szCs w:val="24"/>
        </w:rPr>
        <w:t>）</w:t>
      </w:r>
    </w:p>
    <w:p w:rsidP="004061AC" w:rsidR="00750D48" w:rsidRDefault="00B371D4" w:rsidRPr="00264E55">
      <w:pPr>
        <w:pStyle w:val="a5"/>
        <w:snapToGrid w:val="0"/>
        <w:spacing w:before="120" w:line="360" w:lineRule="auto"/>
        <w:jc w:val="center"/>
        <w:rPr>
          <w:rFonts w:hAnsi="宋体"/>
          <w:color w:val="000000"/>
          <w:sz w:val="24"/>
          <w:szCs w:val="24"/>
        </w:rPr>
      </w:pPr>
      <w:r>
        <w:rPr>
          <w:rFonts w:hAnsi="宋体"/>
          <w:noProof/>
          <w:color w:val="000000"/>
          <w:sz w:val="24"/>
          <w:szCs w:val="24"/>
        </w:rP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1" o:spid="_x0000_i1025" style="width:412.5pt;height:241.5pt;visibility:visible" type="#_x0000_t75">
            <v:imagedata o:title="" r:id="rId11"/>
          </v:shape>
        </w:pic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注：自基金合同生效至报告期末，基金份额净值增长率为133.40%，同期业绩比较基准收益率为8.97%。</w:t>
      </w:r>
    </w:p>
    <w:p w:rsidP="00693843" w:rsidR="00750D48" w:rsidRDefault="00750D48" w:rsidRPr="00232B03">
      <w:pPr>
        <w:tabs>
          <w:tab w:pos="1800" w:val="left"/>
        </w:tabs>
        <w:spacing w:line="288" w:lineRule="auto"/>
        <w:rPr>
          <w:color w:val="000000"/>
          <w:sz w:val="24"/>
          <w:szCs w:val="24"/>
        </w:rPr>
      </w:pP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4  </w:t>
      </w:r>
      <w:r w:rsidRPr="00264E55">
        <w:rPr>
          <w:rFonts w:ascii="宋体" w:hAnsi="宋体" w:hint="eastAsia"/>
          <w:color w:val="000000"/>
          <w:kern w:val="0"/>
          <w:sz w:val="24"/>
          <w:szCs w:val="24"/>
        </w:rPr>
        <w:t>管理人报告</w:t>
      </w:r>
    </w:p>
    <w:p w:rsidP="004D28A3" w:rsidR="004D28A3" w:rsidRDefault="00750D48" w:rsidRPr="0078105B">
      <w:pPr>
        <w:autoSpaceDE w:val="0"/>
        <w:autoSpaceDN w:val="0"/>
        <w:adjustRightInd w:val="0"/>
        <w:spacing w:line="360" w:lineRule="auto"/>
        <w:jc w:val="left"/>
        <w:rPr>
          <w:rFonts w:ascii="宋体" w:cs="Arial"/>
          <w:b/>
          <w:color w:val="000000"/>
          <w:kern w:val="0"/>
          <w:sz w:val="24"/>
        </w:rPr>
      </w:pPr>
      <w:r w:rsidRPr="00264E55">
        <w:rPr>
          <w:rFonts w:ascii="宋体" w:hAnsi="宋体"/>
          <w:b/>
          <w:bCs/>
          <w:color w:val="000000"/>
          <w:kern w:val="0"/>
          <w:sz w:val="24"/>
          <w:szCs w:val="24"/>
        </w:rPr>
        <w:t xml:space="preserve">4.1 </w:t>
      </w:r>
      <w:r w:rsidRPr="00264E55">
        <w:rPr>
          <w:rFonts w:ascii="宋体" w:hAnsi="宋体" w:hint="eastAsia"/>
          <w:b/>
          <w:bCs/>
          <w:color w:val="000000"/>
          <w:kern w:val="0"/>
          <w:sz w:val="24"/>
          <w:szCs w:val="24"/>
        </w:rPr>
        <w:t>基金经理</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或基金经理小组</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4D28A3" w:rsidRPr="0078105B" w:rsidTr="003328D9">
        <w:trPr>
          <w:cantSplit/>
        </w:trPr>
        <w:tc>
          <w:tcPr>
            <w:tcW w:type="dxa" w:w="56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type="dxa" w:w="851"/>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4D28A3" w:rsidRPr="0078105B" w:rsidTr="003328D9">
        <w:trPr>
          <w:cantSplit/>
        </w:trPr>
        <w:tc>
          <w:tcPr>
            <w:tcW w:type="dxa" w:w="56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835"/>
            <w:vMerge/>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郑希</w:t>
            </w:r>
          </w:p>
        </w:tc>
        <w:tc>
          <w:tcPr>
            <w:vAlign w:val="center"/>
          </w:tcPr>
          <w:p>
            <w:pPr>
              <w:jc w:val="left"/>
            </w:pPr>
            <w:r>
              <w:rPr>
                <w:color w:val="000000"/>
                <w:sz w:val="24"/>
              </w:rPr>
              <w:t>本基金的基金经理、权益投资管理部副总经理、研究部副总经理</w:t>
            </w:r>
          </w:p>
        </w:tc>
        <w:tc>
          <w:tcPr>
            <w:vAlign w:val="center"/>
          </w:tcPr>
          <w:p>
            <w:pPr>
              <w:jc w:val="center"/>
            </w:pPr>
            <w:r>
              <w:rPr>
                <w:color w:val="000000"/>
                <w:sz w:val="24"/>
              </w:rPr>
              <w:t>2016-09-27</w:t>
            </w:r>
          </w:p>
        </w:tc>
        <w:tc>
          <w:tcPr>
            <w:vAlign w:val="center"/>
          </w:tcPr>
          <w:p>
            <w:pPr>
              <w:jc w:val="center"/>
            </w:pPr>
            <w:r>
              <w:rPr>
                <w:color w:val="000000"/>
                <w:sz w:val="24"/>
              </w:rPr>
              <w:t>-</w:t>
            </w:r>
          </w:p>
        </w:tc>
        <w:tc>
          <w:tcPr>
            <w:vAlign w:val="center"/>
          </w:tcPr>
          <w:p>
            <w:pPr>
              <w:jc w:val="center"/>
            </w:pPr>
            <w:r>
              <w:rPr>
                <w:color w:val="000000"/>
                <w:sz w:val="24"/>
              </w:rPr>
              <w:t>14年</w:t>
            </w:r>
          </w:p>
        </w:tc>
        <w:tc>
          <w:tcPr>
            <w:vAlign w:val="center"/>
          </w:tcPr>
          <w:p>
            <w:pPr>
              <w:jc w:val="both"/>
            </w:pPr>
            <w:r>
              <w:rPr>
                <w:color w:val="000000"/>
                <w:sz w:val="24"/>
              </w:rPr>
              <w:t>硕士研究生，具有基金从业资格。曾任易方达基金管理有限公司行业研究员、基金经理助理、投资经理、投资一部副总经理、科瑞证券投资基金基金经理、易方达科瑞灵活配置混合型证券投资基金基金经理、易方达价值精选混合型证券投资基金基金经理。</w:t>
            </w:r>
          </w:p>
        </w:tc>
      </w:tr>
    </w:tbl>
    <w:p>
      <w:pPr>
        <w:spacing w:line="360" w:lineRule="auto"/>
        <w:ind w:firstLine="480" w:firstLineChars="200"/>
        <w:rPr>
          <w:color w:val="000000"/>
          <w:sz w:val="24"/>
          <w:szCs w:val="24"/>
        </w:rPr>
      </w:pPr>
      <w:r>
        <w:rPr>
          <w:color w:val="000000"/>
          <w:sz w:val="24"/>
          <w:szCs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4D28A3" w:rsidR="00750D48" w:rsidRDefault="004D28A3" w:rsidRPr="00232B03">
      <w:pPr>
        <w:spacing w:line="360" w:lineRule="auto"/>
        <w:ind w:firstLine="480" w:firstLineChars="200"/>
        <w:rPr>
          <w:color w:val="000000"/>
          <w:sz w:val="24"/>
          <w:szCs w:val="24"/>
        </w:rPr>
      </w:pPr>
      <w:r w:rsidRPr="004D28A3">
        <w:rPr>
          <w:color w:val="000000"/>
          <w:sz w:val="24"/>
          <w:szCs w:val="24"/>
        </w:rPr>
        <w:t>2.证券从业的含义遵从《证券业从业人员资格管理办法》的相关规定。</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4.2 </w:t>
      </w:r>
      <w:r w:rsidRPr="00264E55">
        <w:rPr>
          <w:rFonts w:ascii="宋体" w:hAnsi="宋体" w:hint="eastAsia"/>
          <w:b/>
          <w:bCs/>
          <w:color w:val="000000"/>
          <w:kern w:val="0"/>
          <w:sz w:val="24"/>
          <w:szCs w:val="24"/>
        </w:rPr>
        <w:t>管理人对报告期内本基金运作遵规守信情况的说明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4.3 </w:t>
      </w:r>
      <w:r w:rsidRPr="00264E55">
        <w:rPr>
          <w:rFonts w:ascii="宋体" w:hAnsi="宋体" w:hint="eastAsia"/>
          <w:b/>
          <w:bCs/>
          <w:color w:val="000000"/>
          <w:kern w:val="0"/>
          <w:sz w:val="24"/>
          <w:szCs w:val="24"/>
        </w:rPr>
        <w:t>公平交易专项说明</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4.3.1</w:t>
        </w:r>
      </w:smartTag>
      <w:r w:rsidRPr="00264E55">
        <w:rPr>
          <w:rFonts w:ascii="宋体" w:hAnsi="宋体" w:hint="eastAsia"/>
          <w:color w:val="000000"/>
          <w:sz w:val="24"/>
          <w:szCs w:val="24"/>
        </w:rPr>
        <w:t>公平交易制度的执行情况</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4.3.2</w:t>
        </w:r>
      </w:smartTag>
      <w:r w:rsidRPr="00264E55">
        <w:rPr>
          <w:rFonts w:ascii="宋体" w:hAnsi="宋体" w:hint="eastAsia"/>
          <w:color w:val="000000"/>
          <w:sz w:val="24"/>
          <w:szCs w:val="24"/>
        </w:rPr>
        <w:t>异常交易行为的专项说明</w:t>
      </w:r>
    </w:p>
    <w:p>
      <w:pPr>
        <w:spacing w:line="360" w:lineRule="auto"/>
        <w:ind w:firstLine="480" w:firstLineChars="200"/>
        <w:rPr>
          <w:color w:val="000000"/>
          <w:sz w:val="24"/>
          <w:szCs w:val="24"/>
        </w:rPr>
      </w:pPr>
      <w:r>
        <w:rPr>
          <w:color w:val="000000"/>
          <w:sz w:val="24"/>
          <w:szCs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lastRenderedPageBreak/>
        <w:t/>
      </w:r>
      <w:proofErr w:type="spellStart"/>
      <w:r w:rsidRPr="006C56AA">
        <w:rPr>
          <w:color w:val="000000"/>
          <w:sz w:val="24"/>
          <w:szCs w:val="24"/>
        </w:rPr>
        <w:t/>
      </w:r>
      <w:proofErr w:type="spellEnd"/>
      <w:r w:rsidRPr="006C56AA">
        <w:rPr>
          <w:color w:val="000000"/>
          <w:sz w:val="24"/>
          <w:szCs w:val="24"/>
        </w:rPr>
        <w:t>本报告期内，未发现本基金有可能导致不公平交易和利益输送的异常交易。</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4.4 </w:t>
      </w:r>
      <w:r w:rsidRPr="00264E55">
        <w:rPr>
          <w:rFonts w:ascii="宋体" w:hAnsi="宋体" w:hint="eastAsia"/>
          <w:b/>
          <w:bCs/>
          <w:color w:val="000000"/>
          <w:kern w:val="0"/>
          <w:sz w:val="24"/>
          <w:szCs w:val="24"/>
        </w:rPr>
        <w:t>报告期内基金的投资策略和业绩表现说明</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4.4.1</w:t>
        </w:r>
      </w:smartTag>
      <w:r w:rsidRPr="00264E55">
        <w:rPr>
          <w:rFonts w:ascii="宋体" w:cs="宋体" w:hAnsi="宋体" w:hint="eastAsia"/>
          <w:sz w:val="24"/>
          <w:szCs w:val="24"/>
        </w:rPr>
        <w:t>报告期内基金投资策略和运作分析</w:t>
      </w:r>
    </w:p>
    <w:p>
      <w:pPr>
        <w:spacing w:line="360" w:lineRule="auto"/>
        <w:ind w:firstLine="480" w:firstLineChars="200"/>
        <w:rPr>
          <w:color w:val="000000"/>
          <w:sz w:val="24"/>
          <w:szCs w:val="24"/>
        </w:rPr>
      </w:pPr>
      <w:r>
        <w:rPr>
          <w:color w:val="000000"/>
          <w:sz w:val="24"/>
          <w:szCs w:val="24"/>
        </w:rPr>
        <w:t>2020年二季度A股市场整体呈现整体上涨行情，上证指数上涨8.52%，中小板指数上涨23.24%，创业板指数上涨30.25%，中证TMT指数上涨20.67%。在中美贸易战、新冠病毒全球流行背景下，全球主要经济体利率均有所下降，市场整体风险偏好明显提升；高估值的新兴产业整体受益于利率下行，但是深度参与国际分工的产业在贸易战的复杂背景下，二季度股价波动性大幅提升。</w:t>
      </w:r>
    </w:p>
    <w:p>
      <w:pPr>
        <w:spacing w:line="360" w:lineRule="auto"/>
        <w:ind w:firstLine="480" w:firstLineChars="200"/>
        <w:rPr>
          <w:color w:val="000000"/>
          <w:sz w:val="24"/>
          <w:szCs w:val="24"/>
        </w:rPr>
      </w:pPr>
      <w:r>
        <w:rPr>
          <w:color w:val="000000"/>
          <w:sz w:val="24"/>
          <w:szCs w:val="24"/>
        </w:rPr>
        <w:t>分析原因：</w:t>
      </w:r>
    </w:p>
    <w:p>
      <w:pPr>
        <w:spacing w:line="360" w:lineRule="auto"/>
        <w:ind w:firstLine="480" w:firstLineChars="200"/>
        <w:rPr>
          <w:color w:val="000000"/>
          <w:sz w:val="24"/>
          <w:szCs w:val="24"/>
        </w:rPr>
      </w:pPr>
      <w:r>
        <w:rPr>
          <w:color w:val="000000"/>
          <w:sz w:val="24"/>
          <w:szCs w:val="24"/>
        </w:rPr>
        <w:t>（1）国内宏观经济方面，二季度疫情明显受到控制，国内经济活动基本回升到疫情前水平；</w:t>
      </w:r>
    </w:p>
    <w:p>
      <w:pPr>
        <w:spacing w:line="360" w:lineRule="auto"/>
        <w:ind w:firstLine="480" w:firstLineChars="200"/>
        <w:rPr>
          <w:color w:val="000000"/>
          <w:sz w:val="24"/>
          <w:szCs w:val="24"/>
        </w:rPr>
      </w:pPr>
      <w:r>
        <w:rPr>
          <w:color w:val="000000"/>
          <w:sz w:val="24"/>
          <w:szCs w:val="24"/>
        </w:rPr>
        <w:t>（2）海外方面，3月开始由于欧美等多个主流国家疫情爆发，全球新兴产业供应链体系进入阶段性停滞，目前疫情给全球产业带来景气度不确定性依然较大；</w:t>
      </w:r>
    </w:p>
    <w:p>
      <w:pPr>
        <w:spacing w:line="360" w:lineRule="auto"/>
        <w:ind w:firstLine="480" w:firstLineChars="200"/>
        <w:rPr>
          <w:color w:val="000000"/>
          <w:sz w:val="24"/>
          <w:szCs w:val="24"/>
        </w:rPr>
      </w:pPr>
      <w:r>
        <w:rPr>
          <w:color w:val="000000"/>
          <w:sz w:val="24"/>
          <w:szCs w:val="24"/>
        </w:rPr>
        <w:t>（3）A股资本市场流动性层面，对比国内外经济基本面，国内竞争优势明显，利率相比海外依然有吸引力，海外资金持续流入，整体市场流动性较为宽裕；</w:t>
      </w:r>
    </w:p>
    <w:p>
      <w:pPr>
        <w:spacing w:line="360" w:lineRule="auto"/>
        <w:ind w:firstLine="480" w:firstLineChars="200"/>
        <w:rPr>
          <w:color w:val="000000"/>
          <w:sz w:val="24"/>
          <w:szCs w:val="24"/>
        </w:rPr>
      </w:pPr>
      <w:r>
        <w:rPr>
          <w:color w:val="000000"/>
          <w:sz w:val="24"/>
          <w:szCs w:val="24"/>
        </w:rPr>
        <w:t>（4）TMT产业层面，2020年二季度信息产业内部分化，以内需为代表的软件、传媒等行业景气度稳定提升；而全球化程度较高的半导体、消费电子以及新能源汽车产业链景气度不确定性较大；同时电子、通信等行业受美国制裁华为的影响，股价受市场情绪干扰而波动较大。</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在2020年二季度维持较稳定的仓位,以信息产业内的成长性投资品种为核心仓位，提升了对传媒、软件云计算、新能源汽车等配置比例，保持了对消费电子、半导体等长期核心品种配置比例，同时降低了部分高估值品种的配置比例。</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4.4.2</w:t>
        </w:r>
      </w:smartTag>
      <w:r w:rsidRPr="00264E55">
        <w:rPr>
          <w:rFonts w:ascii="宋体" w:cs="宋体" w:hAnsi="宋体" w:hint="eastAsia"/>
          <w:sz w:val="24"/>
          <w:szCs w:val="24"/>
        </w:rPr>
        <w:t>报告期内基金的业绩表现</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截至报告期末，本基金份额净值为2.334元，本报告期份额净值增长率为32.69%，同期业绩比较基准收益率为14.39%。</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5  </w:t>
      </w:r>
      <w:r w:rsidRPr="00264E55">
        <w:rPr>
          <w:rFonts w:ascii="宋体" w:hAnsi="宋体" w:hint="eastAsia"/>
          <w:color w:val="000000"/>
          <w:kern w:val="0"/>
          <w:sz w:val="24"/>
          <w:szCs w:val="24"/>
        </w:rPr>
        <w:t>投资组合报告</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5.1 </w:t>
      </w:r>
      <w:r w:rsidRPr="00264E55">
        <w:rPr>
          <w:rFonts w:ascii="宋体" w:hAnsi="宋体" w:hint="eastAsia"/>
          <w:b/>
          <w:bCs/>
          <w:color w:val="000000"/>
          <w:kern w:val="0"/>
          <w:sz w:val="24"/>
          <w:szCs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3357"/>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项目</w:t>
            </w:r>
          </w:p>
        </w:tc>
        <w:tc>
          <w:tcPr>
            <w:tcW w:type="dxa" w:w="2977"/>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金额</w:t>
            </w:r>
            <w:r w:rsidR="005F7917" w:rsidRPr="00232B03">
              <w:rPr>
                <w:color w:val="000000"/>
                <w:kern w:val="0"/>
                <w:sz w:val="24"/>
                <w:szCs w:val="24"/>
              </w:rPr>
              <w:t>（元）</w:t>
            </w:r>
          </w:p>
        </w:tc>
        <w:tc>
          <w:tcPr>
            <w:tcW w:type="dxa" w:w="1843"/>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占基金总资产的比例</w:t>
            </w:r>
            <w:r w:rsidR="005F7917" w:rsidRPr="00232B03">
              <w:rPr>
                <w:color w:val="000000"/>
                <w:kern w:val="0"/>
                <w:sz w:val="24"/>
                <w:szCs w:val="24"/>
              </w:rPr>
              <w:t>（</w:t>
            </w:r>
            <w:r w:rsidR="005F7917" w:rsidRPr="00232B03">
              <w:rPr>
                <w:color w:val="000000"/>
                <w:kern w:val="0"/>
                <w:sz w:val="24"/>
                <w:szCs w:val="24"/>
              </w:rPr>
              <w:t>%</w:t>
            </w:r>
            <w:r w:rsidR="005F7917"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1</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权益投资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7,750,741,032.74</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87.01</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其中：股票</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7,750,741,032.74</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87.01</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2</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固定收益投资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4,993,293.05</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0.06</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其中：债券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4,993,293.05</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0.06</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autoSpaceDE w:val="0"/>
              <w:autoSpaceDN w:val="0"/>
              <w:adjustRightInd w:val="0"/>
              <w:spacing w:before="29" w:line="360" w:lineRule="auto"/>
              <w:ind w:left="17"/>
              <w:jc w:val="left"/>
              <w:rPr>
                <w:color w:val="000000"/>
                <w:kern w:val="0"/>
                <w:sz w:val="24"/>
                <w:szCs w:val="24"/>
              </w:rPr>
            </w:pPr>
            <w:r w:rsidRPr="00232B03">
              <w:rPr>
                <w:color w:val="000000"/>
                <w:kern w:val="0"/>
                <w:sz w:val="24"/>
                <w:szCs w:val="24"/>
              </w:rPr>
              <w:t>资产支持证券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3</w:t>
            </w:r>
          </w:p>
        </w:tc>
        <w:tc>
          <w:tcPr>
            <w:tcW w:type="dxa" w:w="3357"/>
          </w:tcPr>
          <w:p w:rsidP="00EB572F" w:rsidR="00750D48" w:rsidRDefault="00750D48" w:rsidRPr="00232B03">
            <w:pPr>
              <w:spacing w:before="29" w:line="360" w:lineRule="auto"/>
              <w:ind w:left="105" w:leftChars="50"/>
              <w:rPr>
                <w:color w:val="000000"/>
                <w:kern w:val="0"/>
                <w:sz w:val="24"/>
                <w:szCs w:val="24"/>
              </w:rPr>
            </w:pPr>
            <w:r w:rsidRPr="00232B03">
              <w:rPr>
                <w:color w:val="000000"/>
                <w:kern w:val="0"/>
                <w:sz w:val="24"/>
                <w:szCs w:val="24"/>
              </w:rPr>
              <w:t>贵金属投资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4</w:t>
            </w:r>
          </w:p>
        </w:tc>
        <w:tc>
          <w:tcPr>
            <w:tcW w:type="dxa" w:w="3357"/>
            <w:vAlign w:val="center"/>
          </w:tcPr>
          <w:p w:rsidP="00B05049" w:rsidR="00750D48" w:rsidRDefault="00750D48" w:rsidRPr="00232B03">
            <w:pPr>
              <w:spacing w:before="29" w:line="360" w:lineRule="auto"/>
              <w:ind w:left="17"/>
              <w:jc w:val="left"/>
              <w:rPr>
                <w:color w:val="000000"/>
                <w:kern w:val="0"/>
                <w:sz w:val="24"/>
                <w:szCs w:val="24"/>
              </w:rPr>
            </w:pPr>
            <w:r w:rsidRPr="00232B03">
              <w:rPr>
                <w:color w:val="000000"/>
                <w:kern w:val="0"/>
                <w:sz w:val="24"/>
                <w:szCs w:val="24"/>
              </w:rPr>
              <w:t>金融衍生品投资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5</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其中：买断式回购的买入返售金融资产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6</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银行存款和结算备付金合计</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1,054,546,010.61</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11.84</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7</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其他资产</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97,635,931.19</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1.10</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8</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合计</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8,907,916,267.59</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100.00</w:t>
            </w:r>
          </w:p>
        </w:tc>
      </w:tr>
    </w:tbl>
    <w:p w:rsidP="008C2A4F" w:rsidR="008C2A4F" w:rsidRDefault="008C2A4F" w:rsidRPr="00220C32">
      <w:pPr>
        <w:autoSpaceDE w:val="0"/>
        <w:autoSpaceDN w:val="0"/>
        <w:adjustRightInd w:val="0"/>
        <w:spacing w:line="360" w:lineRule="auto"/>
        <w:jc w:val="left"/>
        <w:rPr>
          <w:rFonts w:asciiTheme="minorEastAsia" w:eastAsiaTheme="minorEastAsia" w:hAnsiTheme="minorEastAsia"/>
          <w:b/>
          <w:bCs/>
          <w:color w:themeColor="text1" w:val="000000"/>
          <w:kern w:val="0"/>
          <w:sz w:val="24"/>
          <w:szCs w:val="24"/>
        </w:rPr>
      </w:pPr>
      <w:r w:rsidRPr="00220C32">
        <w:rPr>
          <w:rFonts w:asciiTheme="minorEastAsia" w:eastAsiaTheme="minorEastAsia" w:hAnsiTheme="minorEastAsia"/>
          <w:b/>
          <w:bCs/>
          <w:color w:themeColor="text1" w:val="000000"/>
          <w:kern w:val="0"/>
          <w:sz w:val="24"/>
          <w:szCs w:val="24"/>
        </w:rPr>
        <w:lastRenderedPageBreak/>
        <w:t xml:space="preserve">5.2 </w:t>
      </w:r>
      <w:r w:rsidRPr="00220C32">
        <w:rPr>
          <w:rFonts w:asciiTheme="minorEastAsia" w:eastAsiaTheme="minorEastAsia" w:hAnsiTheme="minorEastAsia" w:hint="eastAsia"/>
          <w:b/>
          <w:bCs/>
          <w:color w:themeColor="text1" w:val="000000"/>
          <w:kern w:val="0"/>
          <w:sz w:val="24"/>
          <w:szCs w:val="24"/>
        </w:rPr>
        <w:t>报告期末按行业分类的股票投资组合</w:t>
      </w:r>
    </w:p>
    <w:p w:rsidP="008C2A4F" w:rsidR="008C2A4F" w:rsidRDefault="008C2A4F" w:rsidRPr="000D7474">
      <w:pPr>
        <w:rPr>
          <w:rFonts w:asciiTheme="minorEastAsia" w:eastAsiaTheme="minorEastAsia" w:hAnsiTheme="minorEastAsia"/>
          <w:b/>
          <w:bCs/>
          <w:color w:themeColor="text1" w:val="000000"/>
          <w:kern w:val="0"/>
          <w:sz w:val="24"/>
          <w:szCs w:val="24"/>
        </w:rPr>
      </w:pPr>
      <w:r w:rsidRPr="000D7474">
        <w:rPr>
          <w:rFonts w:asciiTheme="minorEastAsia" w:eastAsiaTheme="minorEastAsia" w:hAnsiTheme="minorEastAsia"/>
          <w:b/>
          <w:bCs/>
          <w:color w:themeColor="text1" w:val="000000"/>
          <w:kern w:val="0"/>
          <w:sz w:val="24"/>
          <w:szCs w:val="24"/>
        </w:rPr>
        <w:t/>
      </w:r>
      <w:proofErr w:type="spellStart"/>
      <w:r w:rsidRPr="000D7474">
        <w:rPr>
          <w:rFonts w:asciiTheme="minorEastAsia" w:eastAsiaTheme="minorEastAsia" w:hAnsiTheme="minorEastAsia"/>
          <w:b/>
          <w:bCs/>
          <w:color w:themeColor="text1" w:val="000000"/>
          <w:kern w:val="0"/>
          <w:sz w:val="24"/>
          <w:szCs w:val="24"/>
        </w:rPr>
        <w:t/>
      </w:r>
      <w:proofErr w:type="spellEnd"/>
      <w:r w:rsidRPr="000D7474">
        <w:rPr>
          <w:rFonts w:asciiTheme="minorEastAsia" w:eastAsiaTheme="minorEastAsia" w:hAnsiTheme="minorEastAsia"/>
          <w:b/>
          <w:bCs/>
          <w:color w:themeColor="text1" w:val="000000"/>
          <w:kern w:val="0"/>
          <w:sz w:val="24"/>
          <w:szCs w:val="24"/>
        </w:rPr>
        <w:t/>
      </w:r>
      <w:r w:rsidRPr="000D7474">
        <w:rPr>
          <w:rFonts w:asciiTheme="minorEastAsia" w:eastAsiaTheme="minorEastAsia" w:hAnsiTheme="minorEastAsia" w:hint="eastAsia"/>
          <w:b/>
          <w:bCs/>
          <w:color w:themeColor="text1" w:val="000000"/>
          <w:kern w:val="0"/>
          <w:sz w:val="24"/>
          <w:szCs w:val="24"/>
        </w:rPr>
        <w:t>5.2.1报告期末按行业分类的境内股票投资组合</w:t>
      </w:r>
    </w:p>
    <w:tbl>
      <w:tblPr>
        <w:tblW w:type="dxa" w:w="8789"/>
        <w:tblInd w:type="dxa" w:w="-137"/>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CellMar>
          <w:left w:type="dxa" w:w="0"/>
          <w:right w:type="dxa" w:w="0"/>
        </w:tblCellMar>
        <w:tblLook w:firstColumn="0" w:firstRow="0" w:lastColumn="0" w:lastRow="0" w:noHBand="0" w:noVBand="0" w:val="0000"/>
      </w:tblPr>
      <w:tblGrid>
        <w:gridCol w:w="709"/>
        <w:gridCol w:w="3544"/>
        <w:gridCol w:w="2977"/>
        <w:gridCol w:w="1559"/>
      </w:tblGrid>
      <w:tr w:rsidR="008C2A4F" w:rsidRPr="008C2A4F" w:rsidTr="003B5535">
        <w:trPr>
          <w:trHeight w:val="390"/>
        </w:trPr>
        <w:tc>
          <w:tcPr>
            <w:tcW w:type="dxa" w:w="709"/>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代码</w:t>
            </w: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行业类别</w:t>
            </w:r>
          </w:p>
        </w:tc>
        <w:tc>
          <w:tcPr>
            <w:tcW w:type="dxa" w:w="2977"/>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公允价值（元）</w:t>
            </w:r>
          </w:p>
        </w:tc>
        <w:tc>
          <w:tcPr>
            <w:tcW w:type="dxa" w:w="155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占基金资产净值比例（％）</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A</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农、林、牧、渔业</w:t>
            </w:r>
          </w:p>
        </w:tc>
        <w:tc>
          <w:tcPr>
            <w:tcW w:type="dxa" w:w="2977"/>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B</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采矿业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p w:rsidP="003328D9" w:rsidR="008C2A4F" w:rsidRDefault="008C2A4F" w:rsidRPr="008C2A4F">
            <w:pPr>
              <w:jc w:val="right"/>
              <w:rPr>
                <w:rFonts w:eastAsiaTheme="minorEastAsia"/>
                <w:color w:themeColor="text1" w:val="000000"/>
                <w:kern w:val="0"/>
                <w:sz w:val="24"/>
                <w:szCs w:val="24"/>
              </w:rPr>
            </w:pP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p w:rsidP="003328D9" w:rsidR="008C2A4F" w:rsidRDefault="008C2A4F" w:rsidRPr="008C2A4F">
            <w:pPr>
              <w:jc w:val="right"/>
              <w:rPr>
                <w:rFonts w:eastAsiaTheme="minorEastAsia"/>
                <w:color w:themeColor="text1" w:val="000000"/>
                <w:kern w:val="0"/>
                <w:sz w:val="24"/>
                <w:szCs w:val="24"/>
              </w:rPr>
            </w:pP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C</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制造业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4,579,768,906.16</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53.88</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D</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电力、热力、燃气及水生产和供应业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12,766.32</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0.00</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E</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建筑业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8,137,400.00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0.10</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F</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批发和零售业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G</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交通运输、仓储和邮政业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11,596,061.50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0.14</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H</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住宿和餐饮业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I</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信息传输、软件和信息技术服务业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2,566,484,164.61</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30.19</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J</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金融业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169,867,536.80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2.00</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K</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房地产业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L</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租赁和商务服务业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20,136,664.00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0.24</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M</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科学研究和技术服务业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15,018,060.00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0.18</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N</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水利、环境和公共设施管理业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O</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居民服务、修理和其他服务业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P</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教育</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101,499,732.00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lastRenderedPageBreak/>
              <w:t>1.19</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Q</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卫生和社会工作</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26,364,911.00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0.31</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R</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文化、体育和娱乐业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251,854,830.35</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2.96</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S</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综合</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合计</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7,750,741,032.74</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91.18</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5.3 </w:t>
      </w:r>
      <w:r w:rsidRPr="00264E55">
        <w:rPr>
          <w:rFonts w:ascii="宋体" w:hAnsi="宋体" w:hint="eastAsia"/>
          <w:b/>
          <w:bCs/>
          <w:color w:val="000000"/>
          <w:kern w:val="0"/>
          <w:sz w:val="24"/>
          <w:szCs w:val="24"/>
        </w:rPr>
        <w:t>报告期末按公允价值占基金资产净值比例大小排序的前十名股票投资明细</w:t>
      </w:r>
    </w:p>
    <w:tbl>
      <w:tblPr>
        <w:tblW w:type="dxa" w:w="8789"/>
        <w:tblInd w:type="dxa" w:w="-176"/>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51"/>
        <w:gridCol w:w="1276"/>
        <w:gridCol w:w="1418"/>
        <w:gridCol w:w="1701"/>
        <w:gridCol w:w="1984"/>
        <w:gridCol w:w="1559"/>
      </w:tblGrid>
      <w:tr w:rsidR="00750D48" w:rsidRPr="00264E55" w:rsidTr="00191BDE">
        <w:tc>
          <w:tcPr>
            <w:tcW w:type="dxa" w:w="851"/>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股票代码</w:t>
            </w:r>
          </w:p>
        </w:tc>
        <w:tc>
          <w:tcPr>
            <w:tcW w:type="dxa" w:w="1418"/>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股票名称</w:t>
            </w:r>
          </w:p>
        </w:tc>
        <w:tc>
          <w:tcPr>
            <w:tcW w:type="dxa" w:w="1701"/>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（股）</w:t>
            </w:r>
          </w:p>
        </w:tc>
        <w:tc>
          <w:tcPr>
            <w:tcW w:type="dxa" w:w="1984"/>
            <w:vAlign w:val="center"/>
          </w:tcPr>
          <w:p w:rsidP="005F7917"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559"/>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002475</w:t>
            </w:r>
          </w:p>
        </w:tc>
        <w:tc>
          <w:tcPr>
            <w:vAlign w:val="center"/>
          </w:tcPr>
          <w:p>
            <w:pPr>
              <w:jc w:val="center"/>
            </w:pPr>
            <w:r>
              <w:rPr>
                <w:color w:val="000000"/>
                <w:kern w:val="0"/>
                <w:sz w:val="24"/>
                <w:szCs w:val="24"/>
              </w:rPr>
              <w:t>立讯精密</w:t>
            </w:r>
          </w:p>
        </w:tc>
        <w:tc>
          <w:tcPr>
            <w:vAlign w:val="center"/>
          </w:tcPr>
          <w:p>
            <w:pPr>
              <w:jc w:val="right"/>
            </w:pPr>
            <w:r>
              <w:rPr>
                <w:color w:val="000000"/>
                <w:kern w:val="0"/>
                <w:sz w:val="24"/>
                <w:szCs w:val="24"/>
              </w:rPr>
              <w:t>8,047,944</w:t>
            </w:r>
          </w:p>
        </w:tc>
        <w:tc>
          <w:tcPr>
            <w:vAlign w:val="center"/>
          </w:tcPr>
          <w:p>
            <w:pPr>
              <w:jc w:val="right"/>
            </w:pPr>
            <w:r>
              <w:rPr>
                <w:color w:val="000000"/>
                <w:kern w:val="0"/>
                <w:sz w:val="24"/>
                <w:szCs w:val="24"/>
              </w:rPr>
              <w:t>413,261,924.40</w:t>
            </w:r>
          </w:p>
        </w:tc>
        <w:tc>
          <w:tcPr>
            <w:vAlign w:val="center"/>
          </w:tcPr>
          <w:p>
            <w:pPr>
              <w:jc w:val="right"/>
            </w:pPr>
            <w:r>
              <w:rPr>
                <w:color w:val="000000"/>
                <w:kern w:val="0"/>
                <w:sz w:val="24"/>
                <w:szCs w:val="24"/>
              </w:rPr>
              <w:t>4.86</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600570</w:t>
            </w:r>
          </w:p>
        </w:tc>
        <w:tc>
          <w:tcPr>
            <w:vAlign w:val="center"/>
          </w:tcPr>
          <w:p>
            <w:pPr>
              <w:jc w:val="center"/>
            </w:pPr>
            <w:r>
              <w:rPr>
                <w:color w:val="000000"/>
                <w:kern w:val="0"/>
                <w:sz w:val="24"/>
                <w:szCs w:val="24"/>
              </w:rPr>
              <w:t>恒生电子</w:t>
            </w:r>
          </w:p>
        </w:tc>
        <w:tc>
          <w:tcPr>
            <w:vAlign w:val="center"/>
          </w:tcPr>
          <w:p>
            <w:pPr>
              <w:jc w:val="right"/>
            </w:pPr>
            <w:r>
              <w:rPr>
                <w:color w:val="000000"/>
                <w:kern w:val="0"/>
                <w:sz w:val="24"/>
                <w:szCs w:val="24"/>
              </w:rPr>
              <w:t>3,678,192</w:t>
            </w:r>
          </w:p>
        </w:tc>
        <w:tc>
          <w:tcPr>
            <w:vAlign w:val="center"/>
          </w:tcPr>
          <w:p>
            <w:pPr>
              <w:jc w:val="right"/>
            </w:pPr>
            <w:r>
              <w:rPr>
                <w:color w:val="000000"/>
                <w:kern w:val="0"/>
                <w:sz w:val="24"/>
                <w:szCs w:val="24"/>
              </w:rPr>
              <w:t>396,141,278.40</w:t>
            </w:r>
          </w:p>
        </w:tc>
        <w:tc>
          <w:tcPr>
            <w:vAlign w:val="center"/>
          </w:tcPr>
          <w:p>
            <w:pPr>
              <w:jc w:val="right"/>
            </w:pPr>
            <w:r>
              <w:rPr>
                <w:color w:val="000000"/>
                <w:kern w:val="0"/>
                <w:sz w:val="24"/>
                <w:szCs w:val="24"/>
              </w:rPr>
              <w:t>4.66</w:t>
            </w:r>
          </w:p>
        </w:tc>
      </w:tr>
      <w:tr>
        <w:tc>
          <w:tcPr>
            <w:vAlign w:val="center"/>
          </w:tcPr>
          <w:p>
            <w:pPr>
              <w:jc w:val="center"/>
            </w:pPr>
            <w:r>
              <w:rPr>
                <w:color w:val="000000"/>
                <w:kern w:val="0"/>
                <w:sz w:val="24"/>
                <w:szCs w:val="24"/>
              </w:rPr>
              <w:t>3</w:t>
            </w:r>
          </w:p>
        </w:tc>
        <w:tc>
          <w:tcPr>
            <w:vAlign w:val="center"/>
          </w:tcPr>
          <w:p>
            <w:pPr>
              <w:jc w:val="center"/>
            </w:pPr>
            <w:r>
              <w:rPr>
                <w:color w:val="000000"/>
                <w:kern w:val="0"/>
                <w:sz w:val="24"/>
                <w:szCs w:val="24"/>
              </w:rPr>
              <w:t>300502</w:t>
            </w:r>
          </w:p>
        </w:tc>
        <w:tc>
          <w:tcPr>
            <w:vAlign w:val="center"/>
          </w:tcPr>
          <w:p>
            <w:pPr>
              <w:jc w:val="center"/>
            </w:pPr>
            <w:r>
              <w:rPr>
                <w:color w:val="000000"/>
                <w:kern w:val="0"/>
                <w:sz w:val="24"/>
                <w:szCs w:val="24"/>
              </w:rPr>
              <w:t>新易盛</w:t>
            </w:r>
          </w:p>
        </w:tc>
        <w:tc>
          <w:tcPr>
            <w:vAlign w:val="center"/>
          </w:tcPr>
          <w:p>
            <w:pPr>
              <w:jc w:val="right"/>
            </w:pPr>
            <w:r>
              <w:rPr>
                <w:color w:val="000000"/>
                <w:kern w:val="0"/>
                <w:sz w:val="24"/>
                <w:szCs w:val="24"/>
              </w:rPr>
              <w:t>5,831,160</w:t>
            </w:r>
          </w:p>
        </w:tc>
        <w:tc>
          <w:tcPr>
            <w:vAlign w:val="center"/>
          </w:tcPr>
          <w:p>
            <w:pPr>
              <w:jc w:val="right"/>
            </w:pPr>
            <w:r>
              <w:rPr>
                <w:color w:val="000000"/>
                <w:kern w:val="0"/>
                <w:sz w:val="24"/>
                <w:szCs w:val="24"/>
              </w:rPr>
              <w:t>368,062,819.20</w:t>
            </w:r>
          </w:p>
        </w:tc>
        <w:tc>
          <w:tcPr>
            <w:vAlign w:val="center"/>
          </w:tcPr>
          <w:p>
            <w:pPr>
              <w:jc w:val="right"/>
            </w:pPr>
            <w:r>
              <w:rPr>
                <w:color w:val="000000"/>
                <w:kern w:val="0"/>
                <w:sz w:val="24"/>
                <w:szCs w:val="24"/>
              </w:rPr>
              <w:t>4.33</w:t>
            </w:r>
          </w:p>
        </w:tc>
      </w:tr>
      <w:tr>
        <w:tc>
          <w:tcPr>
            <w:vAlign w:val="center"/>
          </w:tcPr>
          <w:p>
            <w:pPr>
              <w:jc w:val="center"/>
            </w:pPr>
            <w:r>
              <w:rPr>
                <w:color w:val="000000"/>
                <w:kern w:val="0"/>
                <w:sz w:val="24"/>
                <w:szCs w:val="24"/>
              </w:rPr>
              <w:t>4</w:t>
            </w:r>
          </w:p>
        </w:tc>
        <w:tc>
          <w:tcPr>
            <w:vAlign w:val="center"/>
          </w:tcPr>
          <w:p>
            <w:pPr>
              <w:jc w:val="center"/>
            </w:pPr>
            <w:r>
              <w:rPr>
                <w:color w:val="000000"/>
                <w:kern w:val="0"/>
                <w:sz w:val="24"/>
                <w:szCs w:val="24"/>
              </w:rPr>
              <w:t>002050</w:t>
            </w:r>
          </w:p>
        </w:tc>
        <w:tc>
          <w:tcPr>
            <w:vAlign w:val="center"/>
          </w:tcPr>
          <w:p>
            <w:pPr>
              <w:jc w:val="center"/>
            </w:pPr>
            <w:r>
              <w:rPr>
                <w:color w:val="000000"/>
                <w:kern w:val="0"/>
                <w:sz w:val="24"/>
                <w:szCs w:val="24"/>
              </w:rPr>
              <w:t>三花智控</w:t>
            </w:r>
          </w:p>
        </w:tc>
        <w:tc>
          <w:tcPr>
            <w:vAlign w:val="center"/>
          </w:tcPr>
          <w:p>
            <w:pPr>
              <w:jc w:val="right"/>
            </w:pPr>
            <w:r>
              <w:rPr>
                <w:color w:val="000000"/>
                <w:kern w:val="0"/>
                <w:sz w:val="24"/>
                <w:szCs w:val="24"/>
              </w:rPr>
              <w:t>15,934,108</w:t>
            </w:r>
          </w:p>
        </w:tc>
        <w:tc>
          <w:tcPr>
            <w:vAlign w:val="center"/>
          </w:tcPr>
          <w:p>
            <w:pPr>
              <w:jc w:val="right"/>
            </w:pPr>
            <w:r>
              <w:rPr>
                <w:color w:val="000000"/>
                <w:kern w:val="0"/>
                <w:sz w:val="24"/>
                <w:szCs w:val="24"/>
              </w:rPr>
              <w:t>348,956,965.20</w:t>
            </w:r>
          </w:p>
        </w:tc>
        <w:tc>
          <w:tcPr>
            <w:vAlign w:val="center"/>
          </w:tcPr>
          <w:p>
            <w:pPr>
              <w:jc w:val="right"/>
            </w:pPr>
            <w:r>
              <w:rPr>
                <w:color w:val="000000"/>
                <w:kern w:val="0"/>
                <w:sz w:val="24"/>
                <w:szCs w:val="24"/>
              </w:rPr>
              <w:t>4.11</w:t>
            </w:r>
          </w:p>
        </w:tc>
      </w:tr>
      <w:tr>
        <w:tc>
          <w:tcPr>
            <w:vAlign w:val="center"/>
          </w:tcPr>
          <w:p>
            <w:pPr>
              <w:jc w:val="center"/>
            </w:pPr>
            <w:r>
              <w:rPr>
                <w:color w:val="000000"/>
                <w:kern w:val="0"/>
                <w:sz w:val="24"/>
                <w:szCs w:val="24"/>
              </w:rPr>
              <w:t>5</w:t>
            </w:r>
          </w:p>
        </w:tc>
        <w:tc>
          <w:tcPr>
            <w:vAlign w:val="center"/>
          </w:tcPr>
          <w:p>
            <w:pPr>
              <w:jc w:val="center"/>
            </w:pPr>
            <w:r>
              <w:rPr>
                <w:color w:val="000000"/>
                <w:kern w:val="0"/>
                <w:sz w:val="24"/>
                <w:szCs w:val="24"/>
              </w:rPr>
              <w:t>300394</w:t>
            </w:r>
          </w:p>
        </w:tc>
        <w:tc>
          <w:tcPr>
            <w:vAlign w:val="center"/>
          </w:tcPr>
          <w:p>
            <w:pPr>
              <w:jc w:val="center"/>
            </w:pPr>
            <w:r>
              <w:rPr>
                <w:color w:val="000000"/>
                <w:kern w:val="0"/>
                <w:sz w:val="24"/>
                <w:szCs w:val="24"/>
              </w:rPr>
              <w:t>天孚通信</w:t>
            </w:r>
          </w:p>
        </w:tc>
        <w:tc>
          <w:tcPr>
            <w:vAlign w:val="center"/>
          </w:tcPr>
          <w:p>
            <w:pPr>
              <w:jc w:val="right"/>
            </w:pPr>
            <w:r>
              <w:rPr>
                <w:color w:val="000000"/>
                <w:kern w:val="0"/>
                <w:sz w:val="24"/>
                <w:szCs w:val="24"/>
              </w:rPr>
              <w:t>5,558,193</w:t>
            </w:r>
          </w:p>
        </w:tc>
        <w:tc>
          <w:tcPr>
            <w:vAlign w:val="center"/>
          </w:tcPr>
          <w:p>
            <w:pPr>
              <w:jc w:val="right"/>
            </w:pPr>
            <w:r>
              <w:rPr>
                <w:color w:val="000000"/>
                <w:kern w:val="0"/>
                <w:sz w:val="24"/>
                <w:szCs w:val="24"/>
              </w:rPr>
              <w:t>330,990,393.15</w:t>
            </w:r>
          </w:p>
        </w:tc>
        <w:tc>
          <w:tcPr>
            <w:vAlign w:val="center"/>
          </w:tcPr>
          <w:p>
            <w:pPr>
              <w:jc w:val="right"/>
            </w:pPr>
            <w:r>
              <w:rPr>
                <w:color w:val="000000"/>
                <w:kern w:val="0"/>
                <w:sz w:val="24"/>
                <w:szCs w:val="24"/>
              </w:rPr>
              <w:t>3.89</w:t>
            </w:r>
          </w:p>
        </w:tc>
      </w:tr>
      <w:tr>
        <w:tc>
          <w:tcPr>
            <w:vAlign w:val="center"/>
          </w:tcPr>
          <w:p>
            <w:pPr>
              <w:jc w:val="center"/>
            </w:pPr>
            <w:r>
              <w:rPr>
                <w:color w:val="000000"/>
                <w:kern w:val="0"/>
                <w:sz w:val="24"/>
                <w:szCs w:val="24"/>
              </w:rPr>
              <w:t>6</w:t>
            </w:r>
          </w:p>
        </w:tc>
        <w:tc>
          <w:tcPr>
            <w:vAlign w:val="center"/>
          </w:tcPr>
          <w:p>
            <w:pPr>
              <w:jc w:val="center"/>
            </w:pPr>
            <w:r>
              <w:rPr>
                <w:color w:val="000000"/>
                <w:kern w:val="0"/>
                <w:sz w:val="24"/>
                <w:szCs w:val="24"/>
              </w:rPr>
              <w:t>300770</w:t>
            </w:r>
          </w:p>
        </w:tc>
        <w:tc>
          <w:tcPr>
            <w:vAlign w:val="center"/>
          </w:tcPr>
          <w:p>
            <w:pPr>
              <w:jc w:val="center"/>
            </w:pPr>
            <w:r>
              <w:rPr>
                <w:color w:val="000000"/>
                <w:kern w:val="0"/>
                <w:sz w:val="24"/>
                <w:szCs w:val="24"/>
              </w:rPr>
              <w:t>新媒股份</w:t>
            </w:r>
          </w:p>
        </w:tc>
        <w:tc>
          <w:tcPr>
            <w:vAlign w:val="center"/>
          </w:tcPr>
          <w:p>
            <w:pPr>
              <w:jc w:val="right"/>
            </w:pPr>
            <w:r>
              <w:rPr>
                <w:color w:val="000000"/>
                <w:kern w:val="0"/>
                <w:sz w:val="24"/>
                <w:szCs w:val="24"/>
              </w:rPr>
              <w:t>1,170,000</w:t>
            </w:r>
          </w:p>
        </w:tc>
        <w:tc>
          <w:tcPr>
            <w:vAlign w:val="center"/>
          </w:tcPr>
          <w:p>
            <w:pPr>
              <w:jc w:val="right"/>
            </w:pPr>
            <w:r>
              <w:rPr>
                <w:color w:val="000000"/>
                <w:kern w:val="0"/>
                <w:sz w:val="24"/>
                <w:szCs w:val="24"/>
              </w:rPr>
              <w:t>261,682,200.00</w:t>
            </w:r>
          </w:p>
        </w:tc>
        <w:tc>
          <w:tcPr>
            <w:vAlign w:val="center"/>
          </w:tcPr>
          <w:p>
            <w:pPr>
              <w:jc w:val="right"/>
            </w:pPr>
            <w:r>
              <w:rPr>
                <w:color w:val="000000"/>
                <w:kern w:val="0"/>
                <w:sz w:val="24"/>
                <w:szCs w:val="24"/>
              </w:rPr>
              <w:t>3.08</w:t>
            </w:r>
          </w:p>
        </w:tc>
      </w:tr>
      <w:tr>
        <w:tc>
          <w:tcPr>
            <w:vAlign w:val="center"/>
          </w:tcPr>
          <w:p>
            <w:pPr>
              <w:jc w:val="center"/>
            </w:pPr>
            <w:r>
              <w:rPr>
                <w:color w:val="000000"/>
                <w:kern w:val="0"/>
                <w:sz w:val="24"/>
                <w:szCs w:val="24"/>
              </w:rPr>
              <w:t>7</w:t>
            </w:r>
          </w:p>
        </w:tc>
        <w:tc>
          <w:tcPr>
            <w:vAlign w:val="center"/>
          </w:tcPr>
          <w:p>
            <w:pPr>
              <w:jc w:val="center"/>
            </w:pPr>
            <w:r>
              <w:rPr>
                <w:color w:val="000000"/>
                <w:kern w:val="0"/>
                <w:sz w:val="24"/>
                <w:szCs w:val="24"/>
              </w:rPr>
              <w:t>002384</w:t>
            </w:r>
          </w:p>
        </w:tc>
        <w:tc>
          <w:tcPr>
            <w:vAlign w:val="center"/>
          </w:tcPr>
          <w:p>
            <w:pPr>
              <w:jc w:val="center"/>
            </w:pPr>
            <w:r>
              <w:rPr>
                <w:color w:val="000000"/>
                <w:kern w:val="0"/>
                <w:sz w:val="24"/>
                <w:szCs w:val="24"/>
              </w:rPr>
              <w:t>东山精密</w:t>
            </w:r>
          </w:p>
        </w:tc>
        <w:tc>
          <w:tcPr>
            <w:vAlign w:val="center"/>
          </w:tcPr>
          <w:p>
            <w:pPr>
              <w:jc w:val="right"/>
            </w:pPr>
            <w:r>
              <w:rPr>
                <w:color w:val="000000"/>
                <w:kern w:val="0"/>
                <w:sz w:val="24"/>
                <w:szCs w:val="24"/>
              </w:rPr>
              <w:t>8,655,509</w:t>
            </w:r>
          </w:p>
        </w:tc>
        <w:tc>
          <w:tcPr>
            <w:vAlign w:val="center"/>
          </w:tcPr>
          <w:p>
            <w:pPr>
              <w:jc w:val="right"/>
            </w:pPr>
            <w:r>
              <w:rPr>
                <w:color w:val="000000"/>
                <w:kern w:val="0"/>
                <w:sz w:val="24"/>
                <w:szCs w:val="24"/>
              </w:rPr>
              <w:t>259,232,494.55</w:t>
            </w:r>
          </w:p>
        </w:tc>
        <w:tc>
          <w:tcPr>
            <w:vAlign w:val="center"/>
          </w:tcPr>
          <w:p>
            <w:pPr>
              <w:jc w:val="right"/>
            </w:pPr>
            <w:r>
              <w:rPr>
                <w:color w:val="000000"/>
                <w:kern w:val="0"/>
                <w:sz w:val="24"/>
                <w:szCs w:val="24"/>
              </w:rPr>
              <w:t>3.05</w:t>
            </w:r>
          </w:p>
        </w:tc>
      </w:tr>
      <w:tr>
        <w:tc>
          <w:tcPr>
            <w:vAlign w:val="center"/>
          </w:tcPr>
          <w:p>
            <w:pPr>
              <w:jc w:val="center"/>
            </w:pPr>
            <w:r>
              <w:rPr>
                <w:color w:val="000000"/>
                <w:kern w:val="0"/>
                <w:sz w:val="24"/>
                <w:szCs w:val="24"/>
              </w:rPr>
              <w:t>8</w:t>
            </w:r>
          </w:p>
        </w:tc>
        <w:tc>
          <w:tcPr>
            <w:vAlign w:val="center"/>
          </w:tcPr>
          <w:p>
            <w:pPr>
              <w:jc w:val="center"/>
            </w:pPr>
            <w:r>
              <w:rPr>
                <w:color w:val="000000"/>
                <w:kern w:val="0"/>
                <w:sz w:val="24"/>
                <w:szCs w:val="24"/>
              </w:rPr>
              <w:t>300253</w:t>
            </w:r>
          </w:p>
        </w:tc>
        <w:tc>
          <w:tcPr>
            <w:vAlign w:val="center"/>
          </w:tcPr>
          <w:p>
            <w:pPr>
              <w:jc w:val="center"/>
            </w:pPr>
            <w:r>
              <w:rPr>
                <w:color w:val="000000"/>
                <w:kern w:val="0"/>
                <w:sz w:val="24"/>
                <w:szCs w:val="24"/>
              </w:rPr>
              <w:t>卫宁健康</w:t>
            </w:r>
          </w:p>
        </w:tc>
        <w:tc>
          <w:tcPr>
            <w:vAlign w:val="center"/>
          </w:tcPr>
          <w:p>
            <w:pPr>
              <w:jc w:val="right"/>
            </w:pPr>
            <w:r>
              <w:rPr>
                <w:color w:val="000000"/>
                <w:kern w:val="0"/>
                <w:sz w:val="24"/>
                <w:szCs w:val="24"/>
              </w:rPr>
              <w:t>10,535,261</w:t>
            </w:r>
          </w:p>
        </w:tc>
        <w:tc>
          <w:tcPr>
            <w:vAlign w:val="center"/>
          </w:tcPr>
          <w:p>
            <w:pPr>
              <w:jc w:val="right"/>
            </w:pPr>
            <w:r>
              <w:rPr>
                <w:color w:val="000000"/>
                <w:kern w:val="0"/>
                <w:sz w:val="24"/>
                <w:szCs w:val="24"/>
              </w:rPr>
              <w:t>241,678,887.34</w:t>
            </w:r>
          </w:p>
        </w:tc>
        <w:tc>
          <w:tcPr>
            <w:vAlign w:val="center"/>
          </w:tcPr>
          <w:p>
            <w:pPr>
              <w:jc w:val="right"/>
            </w:pPr>
            <w:r>
              <w:rPr>
                <w:color w:val="000000"/>
                <w:kern w:val="0"/>
                <w:sz w:val="24"/>
                <w:szCs w:val="24"/>
              </w:rPr>
              <w:t>2.84</w:t>
            </w:r>
          </w:p>
        </w:tc>
      </w:tr>
      <w:tr>
        <w:tc>
          <w:tcPr>
            <w:vAlign w:val="center"/>
          </w:tcPr>
          <w:p>
            <w:pPr>
              <w:jc w:val="center"/>
            </w:pPr>
            <w:r>
              <w:rPr>
                <w:color w:val="000000"/>
                <w:kern w:val="0"/>
                <w:sz w:val="24"/>
                <w:szCs w:val="24"/>
              </w:rPr>
              <w:t>9</w:t>
            </w:r>
          </w:p>
        </w:tc>
        <w:tc>
          <w:tcPr>
            <w:vAlign w:val="center"/>
          </w:tcPr>
          <w:p>
            <w:pPr>
              <w:jc w:val="center"/>
            </w:pPr>
            <w:r>
              <w:rPr>
                <w:color w:val="000000"/>
                <w:kern w:val="0"/>
                <w:sz w:val="24"/>
                <w:szCs w:val="24"/>
              </w:rPr>
              <w:t>002410</w:t>
            </w:r>
          </w:p>
        </w:tc>
        <w:tc>
          <w:tcPr>
            <w:vAlign w:val="center"/>
          </w:tcPr>
          <w:p>
            <w:pPr>
              <w:jc w:val="center"/>
            </w:pPr>
            <w:r>
              <w:rPr>
                <w:color w:val="000000"/>
                <w:kern w:val="0"/>
                <w:sz w:val="24"/>
                <w:szCs w:val="24"/>
              </w:rPr>
              <w:t>广联达</w:t>
            </w:r>
          </w:p>
        </w:tc>
        <w:tc>
          <w:tcPr>
            <w:vAlign w:val="center"/>
          </w:tcPr>
          <w:p>
            <w:pPr>
              <w:jc w:val="right"/>
            </w:pPr>
            <w:r>
              <w:rPr>
                <w:color w:val="000000"/>
                <w:kern w:val="0"/>
                <w:sz w:val="24"/>
                <w:szCs w:val="24"/>
              </w:rPr>
              <w:t>3,108,811</w:t>
            </w:r>
          </w:p>
        </w:tc>
        <w:tc>
          <w:tcPr>
            <w:vAlign w:val="center"/>
          </w:tcPr>
          <w:p>
            <w:pPr>
              <w:jc w:val="right"/>
            </w:pPr>
            <w:r>
              <w:rPr>
                <w:color w:val="000000"/>
                <w:kern w:val="0"/>
                <w:sz w:val="24"/>
                <w:szCs w:val="24"/>
              </w:rPr>
              <w:t>216,684,126.70</w:t>
            </w:r>
          </w:p>
        </w:tc>
        <w:tc>
          <w:tcPr>
            <w:vAlign w:val="center"/>
          </w:tcPr>
          <w:p>
            <w:pPr>
              <w:jc w:val="right"/>
            </w:pPr>
            <w:r>
              <w:rPr>
                <w:color w:val="000000"/>
                <w:kern w:val="0"/>
                <w:sz w:val="24"/>
                <w:szCs w:val="24"/>
              </w:rPr>
              <w:t>2.55</w:t>
            </w:r>
          </w:p>
        </w:tc>
      </w:tr>
      <w:tr>
        <w:tc>
          <w:tcPr>
            <w:vAlign w:val="center"/>
          </w:tcPr>
          <w:p>
            <w:pPr>
              <w:jc w:val="center"/>
            </w:pPr>
            <w:r>
              <w:rPr>
                <w:color w:val="000000"/>
                <w:kern w:val="0"/>
                <w:sz w:val="24"/>
                <w:szCs w:val="24"/>
              </w:rPr>
              <w:t>10</w:t>
            </w:r>
          </w:p>
        </w:tc>
        <w:tc>
          <w:tcPr>
            <w:vAlign w:val="center"/>
          </w:tcPr>
          <w:p>
            <w:pPr>
              <w:jc w:val="center"/>
            </w:pPr>
            <w:r>
              <w:rPr>
                <w:color w:val="000000"/>
                <w:kern w:val="0"/>
                <w:sz w:val="24"/>
                <w:szCs w:val="24"/>
              </w:rPr>
              <w:t>002938</w:t>
            </w:r>
          </w:p>
        </w:tc>
        <w:tc>
          <w:tcPr>
            <w:vAlign w:val="center"/>
          </w:tcPr>
          <w:p>
            <w:pPr>
              <w:jc w:val="center"/>
            </w:pPr>
            <w:r>
              <w:rPr>
                <w:color w:val="000000"/>
                <w:kern w:val="0"/>
                <w:sz w:val="24"/>
                <w:szCs w:val="24"/>
              </w:rPr>
              <w:t>鹏鼎控股</w:t>
            </w:r>
          </w:p>
        </w:tc>
        <w:tc>
          <w:tcPr>
            <w:vAlign w:val="center"/>
          </w:tcPr>
          <w:p>
            <w:pPr>
              <w:jc w:val="right"/>
            </w:pPr>
            <w:r>
              <w:rPr>
                <w:color w:val="000000"/>
                <w:kern w:val="0"/>
                <w:sz w:val="24"/>
                <w:szCs w:val="24"/>
              </w:rPr>
              <w:t>4,320,545</w:t>
            </w:r>
          </w:p>
        </w:tc>
        <w:tc>
          <w:tcPr>
            <w:vAlign w:val="center"/>
          </w:tcPr>
          <w:p>
            <w:pPr>
              <w:jc w:val="right"/>
            </w:pPr>
            <w:r>
              <w:rPr>
                <w:color w:val="000000"/>
                <w:kern w:val="0"/>
                <w:sz w:val="24"/>
                <w:szCs w:val="24"/>
              </w:rPr>
              <w:t>216,286,482.70</w:t>
            </w:r>
          </w:p>
        </w:tc>
        <w:tc>
          <w:tcPr>
            <w:vAlign w:val="center"/>
          </w:tcPr>
          <w:p>
            <w:pPr>
              <w:jc w:val="right"/>
            </w:pPr>
            <w:r>
              <w:rPr>
                <w:color w:val="000000"/>
                <w:kern w:val="0"/>
                <w:sz w:val="24"/>
                <w:szCs w:val="24"/>
              </w:rPr>
              <w:t>2.54</w:t>
            </w:r>
          </w:p>
        </w:tc>
      </w:tr>
    </w:tbl>
    <w:p w:rsidP="00CA4677" w:rsidR="00CA4677" w:rsidRDefault="00750D48" w:rsidRPr="00283CAD">
      <w:pPr>
        <w:autoSpaceDE w:val="0"/>
        <w:autoSpaceDN w:val="0"/>
        <w:adjustRightInd w:val="0"/>
        <w:spacing w:line="360" w:lineRule="auto"/>
        <w:jc w:val="left"/>
        <w:rPr>
          <w:rFonts w:eastAsiaTheme="minorEastAsia"/>
          <w:b/>
          <w:bCs/>
          <w:color w:themeColor="text1" w:val="000000"/>
          <w:kern w:val="0"/>
          <w:sz w:val="24"/>
          <w:szCs w:val="24"/>
        </w:rPr>
      </w:pPr>
      <w:r w:rsidRPr="00264E55">
        <w:rPr>
          <w:rFonts w:ascii="宋体" w:hAnsi="宋体"/>
          <w:b/>
          <w:bCs/>
          <w:color w:val="000000"/>
          <w:kern w:val="0"/>
          <w:sz w:val="24"/>
          <w:szCs w:val="24"/>
        </w:rPr>
        <w:t xml:space="preserve">5.4 </w:t>
      </w:r>
      <w:r w:rsidRPr="00264E55">
        <w:rPr>
          <w:rFonts w:ascii="宋体" w:hAnsi="宋体" w:hint="eastAsia"/>
          <w:b/>
          <w:bCs/>
          <w:color w:val="000000"/>
          <w:kern w:val="0"/>
          <w:sz w:val="24"/>
          <w:szCs w:val="24"/>
        </w:rPr>
        <w:t>报告期末按债券品种分类的债券投资组合</w:t>
      </w:r>
    </w:p>
    <w:tbl>
      <w:tblPr>
        <w:tblStyle w:val="af7"/>
        <w:tblW w:type="dxa" w:w="8755"/>
        <w:jc w:val="center"/>
        <w:tblLayout w:type="fixed"/>
        <w:tblLook w:firstColumn="1" w:firstRow="1" w:lastColumn="0" w:lastRow="0" w:noHBand="0" w:noVBand="1" w:val="04A0"/>
      </w:tblPr>
      <w:tblGrid>
        <w:gridCol w:w="817"/>
        <w:gridCol w:w="3260"/>
        <w:gridCol w:w="2949"/>
        <w:gridCol w:w="1729"/>
      </w:tblGrid>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序号</w:t>
            </w:r>
          </w:p>
        </w:tc>
        <w:tc>
          <w:tcPr>
            <w:tcW w:type="dxa" w:w="3260"/>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债券品种</w:t>
            </w: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
            </w:r>
          </w:p>
        </w:tc>
        <w:tc>
          <w:tcPr>
            <w:tcW w:type="dxa" w:w="2949"/>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公允价值</w:t>
            </w:r>
            <w:r w:rsidRPr="00283CAD">
              <w:rPr>
                <w:rFonts w:eastAsiaTheme="minorEastAsia"/>
                <w:color w:themeColor="text1" w:val="000000"/>
                <w:sz w:val="24"/>
                <w:szCs w:val="24"/>
              </w:rPr>
              <w:t>(</w:t>
            </w:r>
            <w:r w:rsidRPr="00283CAD">
              <w:rPr>
                <w:rFonts w:eastAsiaTheme="minorEastAsia"/>
                <w:color w:themeColor="text1" w:val="000000"/>
                <w:sz w:val="24"/>
                <w:szCs w:val="24"/>
              </w:rPr>
              <w:t>元</w:t>
            </w:r>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占基金资产净值比例</w:t>
            </w:r>
            <w:r w:rsidRPr="00283CAD">
              <w:rPr>
                <w:rFonts w:eastAsiaTheme="minorEastAsia"/>
                <w:color w:themeColor="text1" w:val="000000"/>
                <w:sz w:val="24"/>
                <w:szCs w:val="24"/>
              </w:rPr>
              <w:t>(</w:t>
            </w:r>
            <w:r w:rsidRPr="00283CAD">
              <w:rPr>
                <w:rFonts w:eastAsiaTheme="minorEastAsia"/>
                <w:color w:themeColor="text1" w:val="000000"/>
                <w:sz w:val="24"/>
                <w:szCs w:val="24"/>
              </w:rPr>
              <w:t>％</w:t>
            </w: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1</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国家债券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2</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央行票据</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3</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金融债券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其中：政策性金融债</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4</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企业债券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5</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企业短期融资券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6</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中期票据</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7</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可转债</w:t>
            </w:r>
            <w:r w:rsidR="004B5343" w:rsidRPr="004B5343">
              <w:rPr>
                <w:rFonts w:eastAsiaTheme="minorEastAsia" w:hint="eastAsia"/>
                <w:color w:themeColor="text1" w:val="000000"/>
                <w:sz w:val="24"/>
                <w:szCs w:val="24"/>
              </w:rPr>
              <w:t>（可交换债）</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
            </w:r>
            <w:proofErr w:type="spellEnd"/>
            <w:r w:rsidRPr="00283CAD">
              <w:rPr>
                <w:rFonts w:eastAsiaTheme="minorEastAsia"/>
                <w:color w:themeColor="text1" w:val="000000"/>
                <w:sz w:val="24"/>
                <w:szCs w:val="24"/>
              </w:rPr>
              <w:t>4,993,293.05</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lastRenderedPageBreak/>
              <w:t/>
            </w:r>
            <w:proofErr w:type="spellStart"/>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
            </w:r>
            <w:proofErr w:type="spellEnd"/>
            <w:r w:rsidRPr="00283CAD">
              <w:rPr>
                <w:rFonts w:eastAsiaTheme="minorEastAsia"/>
                <w:color w:themeColor="text1" w:val="000000"/>
                <w:sz w:val="24"/>
                <w:szCs w:val="24"/>
              </w:rPr>
              <w:t>0.06</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lastRenderedPageBreak/>
              <w:t>8</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同业存单</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9</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其他</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10</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合计</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4,993,293.05</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0.06</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5.5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的前五名债券投资明细</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959"/>
        <w:gridCol w:w="1276"/>
        <w:gridCol w:w="1275"/>
        <w:gridCol w:w="1560"/>
        <w:gridCol w:w="1984"/>
        <w:gridCol w:w="1474"/>
      </w:tblGrid>
      <w:tr w:rsidR="00750D48" w:rsidRPr="00264E55" w:rsidTr="005602F3">
        <w:tc>
          <w:tcPr>
            <w:tcW w:type="dxa" w:w="959"/>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债券代码</w:t>
            </w:r>
          </w:p>
        </w:tc>
        <w:tc>
          <w:tcPr>
            <w:tcW w:type="dxa" w:w="1275"/>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债券名称</w:t>
            </w:r>
          </w:p>
        </w:tc>
        <w:tc>
          <w:tcPr>
            <w:tcW w:type="dxa" w:w="1560"/>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（张）</w:t>
            </w:r>
          </w:p>
        </w:tc>
        <w:tc>
          <w:tcPr>
            <w:tcW w:type="dxa" w:w="198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47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123041</w:t>
            </w:r>
          </w:p>
        </w:tc>
        <w:tc>
          <w:tcPr>
            <w:vAlign w:val="center"/>
          </w:tcPr>
          <w:p>
            <w:pPr>
              <w:jc w:val="center"/>
            </w:pPr>
            <w:r>
              <w:rPr>
                <w:color w:val="000000"/>
                <w:kern w:val="0"/>
                <w:sz w:val="24"/>
                <w:szCs w:val="24"/>
              </w:rPr>
              <w:t>东财转2</w:t>
            </w:r>
          </w:p>
        </w:tc>
        <w:tc>
          <w:tcPr>
            <w:vAlign w:val="center"/>
          </w:tcPr>
          <w:p>
            <w:pPr>
              <w:jc w:val="right"/>
            </w:pPr>
            <w:r>
              <w:rPr>
                <w:color w:val="000000"/>
                <w:kern w:val="0"/>
                <w:sz w:val="24"/>
                <w:szCs w:val="24"/>
              </w:rPr>
              <w:t>21,849</w:t>
            </w:r>
          </w:p>
        </w:tc>
        <w:tc>
          <w:tcPr>
            <w:vAlign w:val="center"/>
          </w:tcPr>
          <w:p>
            <w:pPr>
              <w:jc w:val="right"/>
            </w:pPr>
            <w:r>
              <w:rPr>
                <w:color w:val="000000"/>
                <w:kern w:val="0"/>
                <w:sz w:val="24"/>
                <w:szCs w:val="24"/>
              </w:rPr>
              <w:t>3,295,484.67</w:t>
            </w:r>
          </w:p>
        </w:tc>
        <w:tc>
          <w:tcPr>
            <w:vAlign w:val="center"/>
          </w:tcPr>
          <w:p>
            <w:pPr>
              <w:jc w:val="right"/>
            </w:pPr>
            <w:r>
              <w:rPr>
                <w:color w:val="000000"/>
                <w:kern w:val="0"/>
                <w:sz w:val="24"/>
                <w:szCs w:val="24"/>
              </w:rPr>
              <w:t>0.04</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128095</w:t>
            </w:r>
          </w:p>
        </w:tc>
        <w:tc>
          <w:tcPr>
            <w:vAlign w:val="center"/>
          </w:tcPr>
          <w:p>
            <w:pPr>
              <w:jc w:val="center"/>
            </w:pPr>
            <w:r>
              <w:rPr>
                <w:color w:val="000000"/>
                <w:kern w:val="0"/>
                <w:sz w:val="24"/>
                <w:szCs w:val="24"/>
              </w:rPr>
              <w:t>恩捷转债</w:t>
            </w:r>
          </w:p>
        </w:tc>
        <w:tc>
          <w:tcPr>
            <w:vAlign w:val="center"/>
          </w:tcPr>
          <w:p>
            <w:pPr>
              <w:jc w:val="right"/>
            </w:pPr>
            <w:r>
              <w:rPr>
                <w:color w:val="000000"/>
                <w:kern w:val="0"/>
                <w:sz w:val="24"/>
                <w:szCs w:val="24"/>
              </w:rPr>
              <w:t>4,172</w:t>
            </w:r>
          </w:p>
        </w:tc>
        <w:tc>
          <w:tcPr>
            <w:vAlign w:val="center"/>
          </w:tcPr>
          <w:p>
            <w:pPr>
              <w:jc w:val="right"/>
            </w:pPr>
            <w:r>
              <w:rPr>
                <w:color w:val="000000"/>
                <w:kern w:val="0"/>
                <w:sz w:val="24"/>
                <w:szCs w:val="24"/>
              </w:rPr>
              <w:t>513,573.20</w:t>
            </w:r>
          </w:p>
        </w:tc>
        <w:tc>
          <w:tcPr>
            <w:vAlign w:val="center"/>
          </w:tcPr>
          <w:p>
            <w:pPr>
              <w:jc w:val="right"/>
            </w:pPr>
            <w:r>
              <w:rPr>
                <w:color w:val="000000"/>
                <w:kern w:val="0"/>
                <w:sz w:val="24"/>
                <w:szCs w:val="24"/>
              </w:rPr>
              <w:t>0.01</w:t>
            </w:r>
          </w:p>
        </w:tc>
      </w:tr>
      <w:tr>
        <w:tc>
          <w:tcPr>
            <w:vAlign w:val="center"/>
          </w:tcPr>
          <w:p>
            <w:pPr>
              <w:jc w:val="center"/>
            </w:pPr>
            <w:r>
              <w:rPr>
                <w:color w:val="000000"/>
                <w:kern w:val="0"/>
                <w:sz w:val="24"/>
                <w:szCs w:val="24"/>
              </w:rPr>
              <w:t>3</w:t>
            </w:r>
          </w:p>
        </w:tc>
        <w:tc>
          <w:tcPr>
            <w:vAlign w:val="center"/>
          </w:tcPr>
          <w:p>
            <w:pPr>
              <w:jc w:val="center"/>
            </w:pPr>
            <w:r>
              <w:rPr>
                <w:color w:val="000000"/>
                <w:kern w:val="0"/>
                <w:sz w:val="24"/>
                <w:szCs w:val="24"/>
              </w:rPr>
              <w:t>128035</w:t>
            </w:r>
          </w:p>
        </w:tc>
        <w:tc>
          <w:tcPr>
            <w:vAlign w:val="center"/>
          </w:tcPr>
          <w:p>
            <w:pPr>
              <w:jc w:val="center"/>
            </w:pPr>
            <w:r>
              <w:rPr>
                <w:color w:val="000000"/>
                <w:kern w:val="0"/>
                <w:sz w:val="24"/>
                <w:szCs w:val="24"/>
              </w:rPr>
              <w:t>大族转债</w:t>
            </w:r>
          </w:p>
        </w:tc>
        <w:tc>
          <w:tcPr>
            <w:vAlign w:val="center"/>
          </w:tcPr>
          <w:p>
            <w:pPr>
              <w:jc w:val="right"/>
            </w:pPr>
            <w:r>
              <w:rPr>
                <w:color w:val="000000"/>
                <w:kern w:val="0"/>
                <w:sz w:val="24"/>
                <w:szCs w:val="24"/>
              </w:rPr>
              <w:t>4,774</w:t>
            </w:r>
          </w:p>
        </w:tc>
        <w:tc>
          <w:tcPr>
            <w:vAlign w:val="center"/>
          </w:tcPr>
          <w:p>
            <w:pPr>
              <w:jc w:val="right"/>
            </w:pPr>
            <w:r>
              <w:rPr>
                <w:color w:val="000000"/>
                <w:kern w:val="0"/>
                <w:sz w:val="24"/>
                <w:szCs w:val="24"/>
              </w:rPr>
              <w:t>511,104.44</w:t>
            </w:r>
          </w:p>
        </w:tc>
        <w:tc>
          <w:tcPr>
            <w:vAlign w:val="center"/>
          </w:tcPr>
          <w:p>
            <w:pPr>
              <w:jc w:val="right"/>
            </w:pPr>
            <w:r>
              <w:rPr>
                <w:color w:val="000000"/>
                <w:kern w:val="0"/>
                <w:sz w:val="24"/>
                <w:szCs w:val="24"/>
              </w:rPr>
              <w:t>0.01</w:t>
            </w:r>
          </w:p>
        </w:tc>
      </w:tr>
      <w:tr>
        <w:tc>
          <w:tcPr>
            <w:vAlign w:val="center"/>
          </w:tcPr>
          <w:p>
            <w:pPr>
              <w:jc w:val="center"/>
            </w:pPr>
            <w:r>
              <w:rPr>
                <w:color w:val="000000"/>
                <w:kern w:val="0"/>
                <w:sz w:val="24"/>
                <w:szCs w:val="24"/>
              </w:rPr>
              <w:t>4</w:t>
            </w:r>
          </w:p>
        </w:tc>
        <w:tc>
          <w:tcPr>
            <w:vAlign w:val="center"/>
          </w:tcPr>
          <w:p>
            <w:pPr>
              <w:jc w:val="center"/>
            </w:pPr>
            <w:r>
              <w:rPr>
                <w:color w:val="000000"/>
                <w:kern w:val="0"/>
                <w:sz w:val="24"/>
                <w:szCs w:val="24"/>
              </w:rPr>
              <w:t>128045</w:t>
            </w:r>
          </w:p>
        </w:tc>
        <w:tc>
          <w:tcPr>
            <w:vAlign w:val="center"/>
          </w:tcPr>
          <w:p>
            <w:pPr>
              <w:jc w:val="center"/>
            </w:pPr>
            <w:r>
              <w:rPr>
                <w:color w:val="000000"/>
                <w:kern w:val="0"/>
                <w:sz w:val="24"/>
                <w:szCs w:val="24"/>
              </w:rPr>
              <w:t>机电转债</w:t>
            </w:r>
          </w:p>
        </w:tc>
        <w:tc>
          <w:tcPr>
            <w:vAlign w:val="center"/>
          </w:tcPr>
          <w:p>
            <w:pPr>
              <w:jc w:val="right"/>
            </w:pPr>
            <w:r>
              <w:rPr>
                <w:color w:val="000000"/>
                <w:kern w:val="0"/>
                <w:sz w:val="24"/>
                <w:szCs w:val="24"/>
              </w:rPr>
              <w:t>2,909</w:t>
            </w:r>
          </w:p>
        </w:tc>
        <w:tc>
          <w:tcPr>
            <w:vAlign w:val="center"/>
          </w:tcPr>
          <w:p>
            <w:pPr>
              <w:jc w:val="right"/>
            </w:pPr>
            <w:r>
              <w:rPr>
                <w:color w:val="000000"/>
                <w:kern w:val="0"/>
                <w:sz w:val="24"/>
                <w:szCs w:val="24"/>
              </w:rPr>
              <w:t>346,054.64</w:t>
            </w:r>
          </w:p>
        </w:tc>
        <w:tc>
          <w:tcPr>
            <w:vAlign w:val="center"/>
          </w:tcPr>
          <w:p>
            <w:pPr>
              <w:jc w:val="right"/>
            </w:pPr>
            <w:r>
              <w:rPr>
                <w:color w:val="000000"/>
                <w:kern w:val="0"/>
                <w:sz w:val="24"/>
                <w:szCs w:val="24"/>
              </w:rPr>
              <w:t>0.00</w:t>
            </w:r>
          </w:p>
        </w:tc>
      </w:tr>
      <w:tr>
        <w:tc>
          <w:tcPr>
            <w:vAlign w:val="center"/>
          </w:tcPr>
          <w:p>
            <w:pPr>
              <w:jc w:val="center"/>
            </w:pPr>
            <w:r>
              <w:rPr>
                <w:color w:val="000000"/>
                <w:kern w:val="0"/>
                <w:sz w:val="24"/>
                <w:szCs w:val="24"/>
              </w:rPr>
              <w:t>5</w:t>
            </w:r>
          </w:p>
        </w:tc>
        <w:tc>
          <w:tcPr>
            <w:vAlign w:val="center"/>
          </w:tcPr>
          <w:p>
            <w:pPr>
              <w:jc w:val="center"/>
            </w:pPr>
            <w:r>
              <w:rPr>
                <w:color w:val="000000"/>
                <w:kern w:val="0"/>
                <w:sz w:val="24"/>
                <w:szCs w:val="24"/>
              </w:rPr>
              <w:t>113025</w:t>
            </w:r>
          </w:p>
        </w:tc>
        <w:tc>
          <w:tcPr>
            <w:vAlign w:val="center"/>
          </w:tcPr>
          <w:p>
            <w:pPr>
              <w:jc w:val="center"/>
            </w:pPr>
            <w:r>
              <w:rPr>
                <w:color w:val="000000"/>
                <w:kern w:val="0"/>
                <w:sz w:val="24"/>
                <w:szCs w:val="24"/>
              </w:rPr>
              <w:t>明泰转债</w:t>
            </w:r>
          </w:p>
        </w:tc>
        <w:tc>
          <w:tcPr>
            <w:vAlign w:val="center"/>
          </w:tcPr>
          <w:p>
            <w:pPr>
              <w:jc w:val="right"/>
            </w:pPr>
            <w:r>
              <w:rPr>
                <w:color w:val="000000"/>
                <w:kern w:val="0"/>
                <w:sz w:val="24"/>
                <w:szCs w:val="24"/>
              </w:rPr>
              <w:t>2,260</w:t>
            </w:r>
          </w:p>
        </w:tc>
        <w:tc>
          <w:tcPr>
            <w:vAlign w:val="center"/>
          </w:tcPr>
          <w:p>
            <w:pPr>
              <w:jc w:val="right"/>
            </w:pPr>
            <w:r>
              <w:rPr>
                <w:color w:val="000000"/>
                <w:kern w:val="0"/>
                <w:sz w:val="24"/>
                <w:szCs w:val="24"/>
              </w:rPr>
              <w:t>231,808.20</w:t>
            </w:r>
          </w:p>
        </w:tc>
        <w:tc>
          <w:tcPr>
            <w:vAlign w:val="center"/>
          </w:tcPr>
          <w:p>
            <w:pPr>
              <w:jc w:val="right"/>
            </w:pPr>
            <w:r>
              <w:rPr>
                <w:color w:val="000000"/>
                <w:kern w:val="0"/>
                <w:sz w:val="24"/>
                <w:szCs w:val="24"/>
              </w:rPr>
              <w:t>0.00</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5.6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的前十名资产支持证券投资明细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本基金本报告期末未持有资产支持证券。</w:t>
      </w:r>
    </w:p>
    <w:p w:rsidP="001D63BB" w:rsidR="00750D48" w:rsidRDefault="00750D48" w:rsidRPr="001D63BB">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r w:rsidRPr="001B0A62">
        <w:rPr>
          <w:rFonts w:ascii="宋体" w:hAnsi="宋体"/>
          <w:b/>
          <w:bCs/>
          <w:color w:val="000000"/>
          <w:kern w:val="0"/>
          <w:sz w:val="24"/>
          <w:szCs w:val="24"/>
        </w:rPr>
        <w:t>5.</w:t>
      </w:r>
      <w:r>
        <w:rPr>
          <w:rFonts w:ascii="宋体" w:hAnsi="宋体"/>
          <w:b/>
          <w:bCs/>
          <w:color w:val="000000"/>
          <w:kern w:val="0"/>
          <w:sz w:val="24"/>
          <w:szCs w:val="24"/>
        </w:rPr>
        <w:t/>
      </w:r>
      <w:r w:rsidRPr="001B0A62">
        <w:rPr>
          <w:rFonts w:ascii="宋体"/>
          <w:b/>
          <w:bCs/>
          <w:color w:val="000000"/>
          <w:kern w:val="0"/>
          <w:sz w:val="24"/>
          <w:szCs w:val="24"/>
        </w:rPr>
        <w:t>7</w:t>
      </w:r>
      <w:r w:rsidRPr="001D63BB">
        <w:rPr>
          <w:rFonts w:ascii="宋体" w:hAnsi="宋体" w:hint="eastAsia"/>
          <w:b/>
          <w:bCs/>
          <w:color w:val="000000"/>
          <w:kern w:val="0"/>
          <w:sz w:val="24"/>
          <w:szCs w:val="24"/>
        </w:rPr>
        <w:t>报告期末按公允价值占基金资产净值比例大小排序的前五名贵金属投资明细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本基金本报告期末未持有贵金属。</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Pr>
          <w:rFonts w:asci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5.</w:t>
      </w:r>
      <w:r w:rsidRPr="001B0A62">
        <w:rPr>
          <w:rFonts w:ascii="宋体" w:hAns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8</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的前五名权证投资明细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本基金本报告期末未持有权证。</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w:t>
      </w:r>
      <w:r>
        <w:rPr>
          <w:rFonts w:ascii="宋体"/>
          <w:b/>
          <w:bCs/>
          <w:color w:val="000000"/>
          <w:kern w:val="0"/>
          <w:sz w:val="24"/>
          <w:szCs w:val="24"/>
        </w:rPr>
        <w:t>.</w:t>
      </w:r>
      <w:r>
        <w:rPr>
          <w:rFonts w:ascii="宋体" w:hAnsi="宋体"/>
          <w:b/>
          <w:bCs/>
          <w:color w:val="000000"/>
          <w:kern w:val="0"/>
          <w:sz w:val="24"/>
          <w:szCs w:val="24"/>
        </w:rPr>
        <w:t/>
      </w:r>
      <w:r w:rsidRPr="001B0A62">
        <w:rPr>
          <w:rFonts w:ascii="宋体"/>
          <w:b/>
          <w:bCs/>
          <w:color w:val="000000"/>
          <w:kern w:val="0"/>
          <w:sz w:val="24"/>
          <w:szCs w:val="24"/>
        </w:rPr>
        <w:t>9</w:t>
      </w:r>
      <w:r w:rsidRPr="001B0A62">
        <w:rPr>
          <w:rFonts w:ascii="宋体" w:hAnsi="宋体" w:hint="eastAsia"/>
          <w:b/>
          <w:bCs/>
          <w:color w:val="000000"/>
          <w:kern w:val="0"/>
          <w:sz w:val="24"/>
          <w:szCs w:val="24"/>
        </w:rPr>
        <w:t>报告期末本基金投资的股指期货交易情况说明</w:t>
      </w:r>
    </w:p>
    <w:p w:rsidP="00277FAE" w:rsidR="00277FAE" w:rsidRDefault="00277FAE">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r>
        <w:rPr>
          <w:color w:val="000000"/>
          <w:sz w:val="24"/>
        </w:rPr>
        <w:t/>
      </w:r>
      <w:r>
        <w:rPr>
          <w:rFonts w:eastAsiaTheme="minorEastAsia"/>
          <w:color w:themeColor="text1" w:val="000000"/>
          <w:sz w:val="24"/>
        </w:rPr>
        <w:t/>
      </w:r>
      <w:proofErr w:type="spellEnd"/>
      <w:r>
        <w:rPr>
          <w:rFonts w:eastAsiaTheme="minorEastAsia"/>
          <w:color w:themeColor="text1" w:val="000000"/>
          <w:sz w:val="24"/>
        </w:rPr>
        <w:t>本基金本报告期末未投资股指期货。</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5.10</w:t>
      </w:r>
      <w:r w:rsidRPr="001B0A62">
        <w:rPr>
          <w:rFonts w:ascii="宋体" w:hAnsi="宋体" w:hint="eastAsia"/>
          <w:b/>
          <w:bCs/>
          <w:color w:val="000000"/>
          <w:kern w:val="0"/>
          <w:sz w:val="24"/>
          <w:szCs w:val="24"/>
        </w:rPr>
        <w:t>报告期末本基金投资的国债期货交易情况说明</w:t>
      </w:r>
    </w:p>
    <w:p w:rsidP="00277FAE" w:rsidR="00277FAE" w:rsidRDefault="00277FAE">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r>
        <w:rPr>
          <w:color w:val="000000"/>
          <w:sz w:val="24"/>
        </w:rPr>
        <w:t/>
      </w:r>
      <w:proofErr w:type="spellEnd"/>
      <w:r>
        <w:rPr>
          <w:color w:val="000000"/>
          <w:sz w:val="24"/>
        </w:rPr>
        <w:t>本基金本报告期末未投资国债期货。</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5.11 </w:t>
      </w:r>
      <w:r w:rsidRPr="00264E55">
        <w:rPr>
          <w:rFonts w:ascii="宋体" w:hAnsi="宋体" w:hint="eastAsia"/>
          <w:b/>
          <w:bCs/>
          <w:color w:val="000000"/>
          <w:kern w:val="0"/>
          <w:sz w:val="24"/>
          <w:szCs w:val="24"/>
        </w:rPr>
        <w:t>投资组合报告附注</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r w:rsidR="00750D48" w:rsidRPr="00264E55">
        <w:rPr>
          <w:rFonts w:ascii="宋体"/>
          <w:color w:val="000000"/>
          <w:sz w:val="24"/>
          <w:szCs w:val="24"/>
        </w:rPr>
        <w:t/>
      </w:r>
      <w:r w:rsidR="00750D48" w:rsidRPr="00264E55">
        <w:rPr>
          <w:rFonts w:ascii="宋体" w:hAnsi="宋体"/>
          <w:color w:val="000000"/>
          <w:sz w:val="24"/>
          <w:szCs w:val="24"/>
        </w:rPr>
        <w:t>5.11.1</w:t>
      </w:r>
      <w:r w:rsidR="00065E3C">
        <w:rPr>
          <w:rFonts w:ascii="宋体" w:hAnsi="宋体" w:hint="eastAsia"/>
          <w:color w:val="000000"/>
          <w:sz w:val="24"/>
          <w:szCs w:val="24"/>
        </w:rPr>
        <w:t xml:space="preserve"> </w:t>
      </w:r>
      <w:r w:rsidR="00750D48" w:rsidRPr="00264E55">
        <w:rPr>
          <w:rFonts w:ascii="宋体" w:hAnsi="宋体"/>
          <w:color w:val="000000"/>
          <w:sz w:val="24"/>
          <w:szCs w:val="24"/>
        </w:rPr>
        <w:t>本基金投资的前十名证券的发行主体本期没有出现被监管部门立案调查，或在报告编制日前一年内受到公开谴责、处罚的情形。</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750D48" w:rsidRPr="00264E55">
        <w:rPr>
          <w:rFonts w:ascii="宋体" w:hAnsi="宋体"/>
          <w:color w:val="000000"/>
          <w:sz w:val="24"/>
          <w:szCs w:val="24"/>
        </w:rPr>
        <w:t/>
      </w:r>
      <w:proofErr w:type="gramStart"/>
      <w:r w:rsidR="00750D48" w:rsidRPr="00264E55">
        <w:rPr>
          <w:rFonts w:ascii="宋体" w:hAnsi="宋体"/>
          <w:color w:val="000000"/>
          <w:sz w:val="24"/>
          <w:szCs w:val="24"/>
        </w:rPr>
        <w:t/>
      </w:r>
      <w:proofErr w:type="gramEnd"/>
      <w:r w:rsidR="00750D48" w:rsidRPr="00264E55">
        <w:rPr>
          <w:rFonts w:ascii="宋体" w:hAnsi="宋体"/>
          <w:color w:val="000000"/>
          <w:sz w:val="24"/>
          <w:szCs w:val="24"/>
        </w:rPr>
        <w:t>5.11.2</w:t>
      </w:r>
      <w:r w:rsidR="00065E3C">
        <w:rPr>
          <w:rFonts w:ascii="宋体" w:hAnsi="宋体" w:hint="eastAsia"/>
          <w:color w:val="000000"/>
          <w:sz w:val="24"/>
          <w:szCs w:val="24"/>
        </w:rPr>
        <w:t xml:space="preserve"> </w:t>
      </w:r>
      <w:r w:rsidR="00750D48" w:rsidRPr="00264E55">
        <w:rPr>
          <w:rFonts w:ascii="宋体" w:hAnsi="宋体"/>
          <w:color w:val="000000"/>
          <w:sz w:val="24"/>
          <w:szCs w:val="24"/>
        </w:rPr>
        <w:t>本基金投资的前十名股票没有超出基金合同规定的备选股票库。</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 xml:space="preserve">5.11.3 </w:t>
      </w:r>
      <w:r w:rsidR="00B371D4">
        <w:rPr>
          <w:rFonts w:ascii="宋体" w:hAnsi="宋体" w:hint="eastAsia"/>
          <w:bCs/>
          <w:color w:val="000000"/>
          <w:kern w:val="0"/>
          <w:sz w:val="24"/>
          <w:szCs w:val="24"/>
        </w:rPr>
        <w:t>其他</w:t>
      </w:r>
      <w:bookmarkStart w:id="2" w:name="_GoBack"/>
      <w:bookmarkEnd w:id="2"/>
      <w:r w:rsidRPr="001C7E00">
        <w:rPr>
          <w:rFonts w:ascii="宋体" w:hAnsi="宋体" w:hint="eastAsia"/>
          <w:bCs/>
          <w:color w:val="000000"/>
          <w:kern w:val="0"/>
          <w:sz w:val="24"/>
          <w:szCs w:val="24"/>
        </w:rPr>
        <w:t>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470"/>
        <w:gridCol w:w="4808"/>
      </w:tblGrid>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序号</w:t>
            </w:r>
          </w:p>
        </w:tc>
        <w:tc>
          <w:tcPr>
            <w:tcW w:type="dxa" w:w="2470"/>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名称</w:t>
            </w:r>
          </w:p>
        </w:tc>
        <w:tc>
          <w:tcPr>
            <w:tcW w:type="dxa" w:w="4808"/>
            <w:vAlign w:val="center"/>
          </w:tcPr>
          <w:p w:rsidP="005F7917"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金额</w:t>
            </w:r>
            <w:r w:rsidR="005F7917" w:rsidRPr="00B227EA">
              <w:rPr>
                <w:color w:val="000000"/>
                <w:kern w:val="0"/>
                <w:sz w:val="24"/>
                <w:szCs w:val="24"/>
              </w:rPr>
              <w:t>（元）</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lastRenderedPageBreak/>
              <w:t>1</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存出保证金</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2,417,874.65</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2</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应收证券清算款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3</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应收股利</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4</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应收利息</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176,420.00</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5</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应收申购款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95,041,636.54</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6</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其他应收款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7</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待摊费用</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8</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9</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合计</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97,635,931.19</w:t>
            </w:r>
          </w:p>
        </w:tc>
      </w:tr>
    </w:tbl>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5.11.4</w:t>
      </w:r>
      <w:r w:rsidRPr="001C7E00">
        <w:rPr>
          <w:rFonts w:ascii="宋体" w:hAnsi="宋体" w:hint="eastAsia"/>
          <w:bCs/>
          <w:color w:val="000000"/>
          <w:kern w:val="0"/>
          <w:sz w:val="24"/>
          <w:szCs w:val="24"/>
        </w:rPr>
        <w:t>报告期末持有的处于转股期的可转换债券明细</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808"/>
        <w:gridCol w:w="1729"/>
        <w:gridCol w:w="1658"/>
        <w:gridCol w:w="1697"/>
        <w:gridCol w:w="1621"/>
      </w:tblGrid>
      <w:tr w:rsidR="00750D48" w:rsidRPr="00264E55" w:rsidTr="00B05049">
        <w:tc>
          <w:tcPr>
            <w:tcW w:type="dxa" w:w="1808"/>
            <w:vAlign w:val="center"/>
          </w:tcPr>
          <w:p w:rsidP="00B05049"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序号</w:t>
            </w:r>
          </w:p>
        </w:tc>
        <w:tc>
          <w:tcPr>
            <w:tcW w:type="dxa" w:w="1729"/>
            <w:vAlign w:val="center"/>
          </w:tcPr>
          <w:p w:rsidP="00B05049"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债券代码</w:t>
            </w:r>
          </w:p>
        </w:tc>
        <w:tc>
          <w:tcPr>
            <w:tcW w:type="dxa" w:w="1658"/>
            <w:vAlign w:val="center"/>
          </w:tcPr>
          <w:p w:rsidP="00B05049"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债券名称</w:t>
            </w:r>
          </w:p>
        </w:tc>
        <w:tc>
          <w:tcPr>
            <w:tcW w:type="dxa" w:w="1697"/>
            <w:vAlign w:val="center"/>
          </w:tcPr>
          <w:p w:rsidP="005F7917"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公允价值</w:t>
            </w:r>
            <w:r w:rsidR="005F7917" w:rsidRPr="00B227EA">
              <w:rPr>
                <w:color w:val="000000"/>
                <w:kern w:val="0"/>
                <w:sz w:val="24"/>
                <w:szCs w:val="24"/>
              </w:rPr>
              <w:t>（元）</w:t>
            </w:r>
          </w:p>
        </w:tc>
        <w:tc>
          <w:tcPr>
            <w:tcW w:type="dxa" w:w="1621"/>
            <w:vAlign w:val="center"/>
          </w:tcPr>
          <w:p w:rsidP="005F7917"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占基金资产净值比例</w:t>
            </w:r>
            <w:r w:rsidR="005F7917" w:rsidRPr="00B227EA">
              <w:rPr>
                <w:color w:val="000000"/>
                <w:kern w:val="0"/>
                <w:sz w:val="24"/>
                <w:szCs w:val="24"/>
              </w:rPr>
              <w:t>（</w:t>
            </w:r>
            <w:r w:rsidR="005F7917" w:rsidRPr="00B227EA">
              <w:rPr>
                <w:color w:val="000000"/>
                <w:kern w:val="0"/>
                <w:sz w:val="24"/>
                <w:szCs w:val="24"/>
              </w:rPr>
              <w:t>%</w:t>
            </w:r>
            <w:r w:rsidR="005F7917" w:rsidRPr="00B227EA">
              <w:rPr>
                <w:color w:val="000000"/>
                <w:kern w:val="0"/>
                <w:sz w:val="24"/>
                <w:szCs w:val="24"/>
              </w:rPr>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128035</w:t>
            </w:r>
          </w:p>
        </w:tc>
        <w:tc>
          <w:tcPr>
            <w:vAlign w:val="center"/>
          </w:tcPr>
          <w:p>
            <w:pPr>
              <w:jc w:val="center"/>
            </w:pPr>
            <w:r>
              <w:rPr>
                <w:color w:val="000000"/>
                <w:kern w:val="0"/>
                <w:sz w:val="24"/>
                <w:szCs w:val="24"/>
              </w:rPr>
              <w:t>大族转债</w:t>
            </w:r>
          </w:p>
        </w:tc>
        <w:tc>
          <w:tcPr>
            <w:vAlign w:val="center"/>
          </w:tcPr>
          <w:p>
            <w:pPr>
              <w:jc w:val="right"/>
            </w:pPr>
            <w:r>
              <w:rPr>
                <w:color w:val="000000"/>
                <w:kern w:val="0"/>
                <w:sz w:val="24"/>
                <w:szCs w:val="24"/>
              </w:rPr>
              <w:t>511,104.44</w:t>
            </w:r>
          </w:p>
        </w:tc>
        <w:tc>
          <w:tcPr>
            <w:vAlign w:val="center"/>
          </w:tcPr>
          <w:p>
            <w:pPr>
              <w:jc w:val="right"/>
            </w:pPr>
            <w:r>
              <w:rPr>
                <w:color w:val="000000"/>
                <w:kern w:val="0"/>
                <w:sz w:val="24"/>
                <w:szCs w:val="24"/>
              </w:rPr>
              <w:t>0.01</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128045</w:t>
            </w:r>
          </w:p>
        </w:tc>
        <w:tc>
          <w:tcPr>
            <w:vAlign w:val="center"/>
          </w:tcPr>
          <w:p>
            <w:pPr>
              <w:jc w:val="center"/>
            </w:pPr>
            <w:r>
              <w:rPr>
                <w:color w:val="000000"/>
                <w:kern w:val="0"/>
                <w:sz w:val="24"/>
                <w:szCs w:val="24"/>
              </w:rPr>
              <w:t>机电转债</w:t>
            </w:r>
          </w:p>
        </w:tc>
        <w:tc>
          <w:tcPr>
            <w:vAlign w:val="center"/>
          </w:tcPr>
          <w:p>
            <w:pPr>
              <w:jc w:val="right"/>
            </w:pPr>
            <w:r>
              <w:rPr>
                <w:color w:val="000000"/>
                <w:kern w:val="0"/>
                <w:sz w:val="24"/>
                <w:szCs w:val="24"/>
              </w:rPr>
              <w:t>346,054.64</w:t>
            </w:r>
          </w:p>
        </w:tc>
        <w:tc>
          <w:tcPr>
            <w:vAlign w:val="center"/>
          </w:tcPr>
          <w:p>
            <w:pPr>
              <w:jc w:val="right"/>
            </w:pPr>
            <w:r>
              <w:rPr>
                <w:color w:val="000000"/>
                <w:kern w:val="0"/>
                <w:sz w:val="24"/>
                <w:szCs w:val="24"/>
              </w:rPr>
              <w:t>0.00</w:t>
            </w:r>
          </w:p>
        </w:tc>
      </w:tr>
      <w:tr>
        <w:tc>
          <w:tcPr>
            <w:vAlign w:val="center"/>
          </w:tcPr>
          <w:p>
            <w:pPr>
              <w:jc w:val="center"/>
            </w:pPr>
            <w:r>
              <w:rPr>
                <w:color w:val="000000"/>
                <w:kern w:val="0"/>
                <w:sz w:val="24"/>
                <w:szCs w:val="24"/>
              </w:rPr>
              <w:t>3</w:t>
            </w:r>
          </w:p>
        </w:tc>
        <w:tc>
          <w:tcPr>
            <w:vAlign w:val="center"/>
          </w:tcPr>
          <w:p>
            <w:pPr>
              <w:jc w:val="center"/>
            </w:pPr>
            <w:r>
              <w:rPr>
                <w:color w:val="000000"/>
                <w:kern w:val="0"/>
                <w:sz w:val="24"/>
                <w:szCs w:val="24"/>
              </w:rPr>
              <w:t>113025</w:t>
            </w:r>
          </w:p>
        </w:tc>
        <w:tc>
          <w:tcPr>
            <w:vAlign w:val="center"/>
          </w:tcPr>
          <w:p>
            <w:pPr>
              <w:jc w:val="center"/>
            </w:pPr>
            <w:r>
              <w:rPr>
                <w:color w:val="000000"/>
                <w:kern w:val="0"/>
                <w:sz w:val="24"/>
                <w:szCs w:val="24"/>
              </w:rPr>
              <w:t>明泰转债</w:t>
            </w:r>
          </w:p>
        </w:tc>
        <w:tc>
          <w:tcPr>
            <w:vAlign w:val="center"/>
          </w:tcPr>
          <w:p>
            <w:pPr>
              <w:jc w:val="right"/>
            </w:pPr>
            <w:r>
              <w:rPr>
                <w:color w:val="000000"/>
                <w:kern w:val="0"/>
                <w:sz w:val="24"/>
                <w:szCs w:val="24"/>
              </w:rPr>
              <w:t>231,808.20</w:t>
            </w:r>
          </w:p>
        </w:tc>
        <w:tc>
          <w:tcPr>
            <w:vAlign w:val="center"/>
          </w:tcPr>
          <w:p>
            <w:pPr>
              <w:jc w:val="right"/>
            </w:pPr>
            <w:r>
              <w:rPr>
                <w:color w:val="000000"/>
                <w:kern w:val="0"/>
                <w:sz w:val="24"/>
                <w:szCs w:val="24"/>
              </w:rPr>
              <w:t>0.00</w:t>
            </w:r>
          </w:p>
        </w:tc>
      </w:tr>
      <w:tr>
        <w:tc>
          <w:tcPr>
            <w:vAlign w:val="center"/>
          </w:tcPr>
          <w:p>
            <w:pPr>
              <w:jc w:val="center"/>
            </w:pPr>
            <w:r>
              <w:rPr>
                <w:color w:val="000000"/>
                <w:kern w:val="0"/>
                <w:sz w:val="24"/>
                <w:szCs w:val="24"/>
              </w:rPr>
              <w:t>4</w:t>
            </w:r>
          </w:p>
        </w:tc>
        <w:tc>
          <w:tcPr>
            <w:vAlign w:val="center"/>
          </w:tcPr>
          <w:p>
            <w:pPr>
              <w:jc w:val="center"/>
            </w:pPr>
            <w:r>
              <w:rPr>
                <w:color w:val="000000"/>
                <w:kern w:val="0"/>
                <w:sz w:val="24"/>
                <w:szCs w:val="24"/>
              </w:rPr>
              <w:t>113021</w:t>
            </w:r>
          </w:p>
        </w:tc>
        <w:tc>
          <w:tcPr>
            <w:vAlign w:val="center"/>
          </w:tcPr>
          <w:p>
            <w:pPr>
              <w:jc w:val="center"/>
            </w:pPr>
            <w:r>
              <w:rPr>
                <w:color w:val="000000"/>
                <w:kern w:val="0"/>
                <w:sz w:val="24"/>
                <w:szCs w:val="24"/>
              </w:rPr>
              <w:t>中信转债</w:t>
            </w:r>
          </w:p>
        </w:tc>
        <w:tc>
          <w:tcPr>
            <w:vAlign w:val="center"/>
          </w:tcPr>
          <w:p>
            <w:pPr>
              <w:jc w:val="right"/>
            </w:pPr>
            <w:r>
              <w:rPr>
                <w:color w:val="000000"/>
                <w:kern w:val="0"/>
                <w:sz w:val="24"/>
                <w:szCs w:val="24"/>
              </w:rPr>
              <w:t>95,267.90</w:t>
            </w:r>
          </w:p>
        </w:tc>
        <w:tc>
          <w:tcPr>
            <w:vAlign w:val="center"/>
          </w:tcPr>
          <w:p>
            <w:pPr>
              <w:jc w:val="right"/>
            </w:pPr>
            <w:r>
              <w:rPr>
                <w:color w:val="000000"/>
                <w:kern w:val="0"/>
                <w:sz w:val="24"/>
                <w:szCs w:val="24"/>
              </w:rPr>
              <w:t>0.00</w:t>
            </w:r>
          </w:p>
        </w:tc>
      </w:tr>
    </w:tbl>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5.11.5</w:t>
      </w:r>
      <w:r w:rsidRPr="001C7E00">
        <w:rPr>
          <w:rFonts w:ascii="宋体" w:hAnsi="宋体" w:hint="eastAsia"/>
          <w:bCs/>
          <w:color w:val="000000"/>
          <w:kern w:val="0"/>
          <w:sz w:val="24"/>
          <w:szCs w:val="24"/>
        </w:rPr>
        <w:t>报告期末前十名股票中存在流通受限情况的说明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本基金本报告期末前十名股票中不存在流通受限情况。</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6  </w:t>
      </w:r>
      <w:r w:rsidRPr="00264E55">
        <w:rPr>
          <w:rFonts w:ascii="宋体" w:hAnsi="宋体" w:hint="eastAsia"/>
          <w:color w:val="000000"/>
          <w:kern w:val="0"/>
          <w:sz w:val="24"/>
          <w:szCs w:val="24"/>
        </w:rPr>
        <w:t>开放式基金份额变动</w:t>
      </w:r>
    </w:p>
    <w:p w:rsidP="004061AC" w:rsidR="00750D48" w:rsidRDefault="00750D48" w:rsidRPr="00264E55">
      <w:pPr>
        <w:autoSpaceDE w:val="0"/>
        <w:autoSpaceDN w:val="0"/>
        <w:adjustRightInd w:val="0"/>
        <w:spacing w:before="29" w:line="360" w:lineRule="auto"/>
        <w:ind w:left="15"/>
        <w:jc w:val="right"/>
        <w:rPr>
          <w:rFonts w:ascii="宋体"/>
          <w:color w:val="000000"/>
          <w:kern w:val="0"/>
          <w:sz w:val="24"/>
          <w:szCs w:val="24"/>
        </w:rPr>
      </w:pPr>
      <w:r w:rsidRPr="00264E55">
        <w:rPr>
          <w:rFonts w:ascii="宋体" w:cs="宋体" w:hAnsi="宋体" w:hint="eastAsia"/>
          <w:color w:val="000000"/>
          <w:kern w:val="0"/>
          <w:sz w:val="24"/>
          <w:szCs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4609"/>
        <w:gridCol w:w="4025"/>
      </w:tblGrid>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报告期期初基金份额总额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3,713,312,633.84</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基金总申购份额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1,477,170,274.87</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减：</w:t>
            </w: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基金总赎回份额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1,547,859,274.67</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基金拆分变动份额</w:t>
            </w:r>
            <w:r w:rsidR="00921BFA" w:rsidRPr="00921BFA">
              <w:rPr>
                <w:rFonts w:hint="eastAsia"/>
                <w:color w:val="000000"/>
                <w:kern w:val="0"/>
                <w:sz w:val="24"/>
                <w:szCs w:val="24"/>
              </w:rPr>
              <w:t>（份额减少以“</w:t>
            </w:r>
            <w:r w:rsidR="00921BFA" w:rsidRPr="00921BFA">
              <w:rPr>
                <w:rFonts w:hint="eastAsia"/>
                <w:color w:val="000000"/>
                <w:kern w:val="0"/>
                <w:sz w:val="24"/>
                <w:szCs w:val="24"/>
              </w:rPr>
              <w:t>-</w:t>
            </w:r>
            <w:r w:rsidR="00921BFA" w:rsidRPr="00921BFA">
              <w:rPr>
                <w:rFonts w:hint="eastAsia"/>
                <w:color w:val="000000"/>
                <w:kern w:val="0"/>
                <w:sz w:val="24"/>
                <w:szCs w:val="24"/>
              </w:rPr>
              <w:t>”填列）</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报告期期末基金份额总额</w:t>
            </w:r>
          </w:p>
        </w:tc>
        <w:tc>
          <w:tcPr>
            <w:tcW w:type="dxa" w:w="4025"/>
            <w:vAlign w:val="center"/>
          </w:tcPr>
          <w:p w:rsidP="000A2B53"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3,642,623,634.04</w:t>
            </w:r>
          </w:p>
        </w:tc>
      </w:tr>
    </w:tbl>
    <w:p w:rsidP="004D28A3" w:rsidR="00750D48" w:rsidRDefault="00750D48">
      <w:pPr>
        <w:pStyle w:val="1"/>
        <w:tabs>
          <w:tab w:pos="4156" w:val="center"/>
          <w:tab w:pos="8312" w:val="right"/>
        </w:tabs>
        <w:spacing w:after="312" w:afterLines="100" w:before="312" w:beforeLines="100" w:line="360" w:lineRule="auto"/>
        <w:jc w:val="center"/>
        <w:rPr>
          <w:rFonts w:ascii="方正仿宋简体"/>
          <w:sz w:val="24"/>
          <w:szCs w:val="24"/>
        </w:rPr>
      </w:pPr>
      <w:r>
        <w:rPr>
          <w:rFonts w:ascii="宋体" w:cs="Arial" w:hAnsi="宋体" w:hint="eastAsia"/>
          <w:color w:val="000000"/>
          <w:kern w:val="0"/>
          <w:sz w:val="24"/>
          <w:szCs w:val="24"/>
        </w:rPr>
        <w:lastRenderedPageBreak/>
        <w:t>§</w:t>
      </w:r>
      <w:r>
        <w:rPr>
          <w:rFonts w:ascii="宋体" w:cs="Arial"/>
          <w:color w:val="000000"/>
          <w:kern w:val="0"/>
          <w:sz w:val="24"/>
          <w:szCs w:val="24"/>
        </w:rPr>
        <w:t/>
      </w:r>
      <w:r>
        <w:rPr>
          <w:rFonts w:ascii="宋体" w:cs="Arial" w:hAnsi="宋体"/>
          <w:color w:val="000000"/>
          <w:kern w:val="0"/>
          <w:sz w:val="24"/>
          <w:szCs w:val="24"/>
        </w:rPr>
        <w:t xml:space="preserve">7  </w:t>
      </w:r>
      <w:r>
        <w:rPr>
          <w:rFonts w:ascii="方正仿宋简体" w:hint="eastAsia"/>
          <w:sz w:val="24"/>
          <w:szCs w:val="24"/>
        </w:rPr>
        <w:t>基金管理人运用固有资金投资本基金情况</w:t>
      </w:r>
    </w:p>
    <w:p w:rsidP="00EB374A" w:rsidR="00750D48" w:rsidRDefault="00750D48">
      <w:pPr>
        <w:spacing w:line="360" w:lineRule="auto"/>
        <w:jc w:val="left"/>
        <w:rPr>
          <w:sz w:val="24"/>
          <w:szCs w:val="24"/>
        </w:rPr>
      </w:pPr>
      <w:r>
        <w:rPr>
          <w:b/>
          <w:sz w:val="24"/>
        </w:rPr>
        <w:t/>
      </w:r>
      <w:proofErr w:type="spellStart"/>
      <w:r>
        <w:rPr>
          <w:b/>
          <w:sz w:val="24"/>
        </w:rPr>
        <w:t/>
      </w:r>
      <w:proofErr w:type="spellEnd"/>
      <w:r>
        <w:rPr>
          <w:b/>
          <w:sz w:val="24"/>
        </w:rPr>
        <w:t xml:space="preserve">7.1 </w:t>
      </w:r>
      <w:r>
        <w:rPr>
          <w:rFonts w:hint="eastAsia"/>
          <w:b/>
          <w:sz w:val="24"/>
        </w:rPr>
        <w:t>基金管理人持有本基金份额变动情况</w:t>
      </w:r>
    </w:p>
    <w:p w:rsidP="00232B03" w:rsidR="00750D48" w:rsidRDefault="00AC11B0" w:rsidRPr="00232B03">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 xml:space="preserve">本报告期内基金管理人未持有本基金份额。 </w:t>
      </w:r>
    </w:p>
    <w:p w:rsidP="00EB374A" w:rsidR="00750D48" w:rsidRDefault="00750D48">
      <w:pPr>
        <w:spacing w:line="360" w:lineRule="auto"/>
        <w:jc w:val="left"/>
        <w:rPr>
          <w:sz w:val="24"/>
        </w:rPr>
      </w:pPr>
      <w:r>
        <w:rPr>
          <w:b/>
          <w:sz w:val="24"/>
        </w:rPr>
        <w:t/>
      </w:r>
      <w:proofErr w:type="spellStart"/>
      <w:r>
        <w:rPr>
          <w:b/>
          <w:sz w:val="24"/>
        </w:rPr>
        <w:t/>
      </w:r>
      <w:proofErr w:type="spellEnd"/>
      <w:r>
        <w:rPr>
          <w:b/>
          <w:sz w:val="24"/>
        </w:rPr>
        <w:t xml:space="preserve">7.2 </w:t>
      </w:r>
      <w:r>
        <w:rPr>
          <w:rFonts w:hint="eastAsia"/>
          <w:b/>
          <w:sz w:val="24"/>
        </w:rPr>
        <w:t>基金管理人运用固有资金投资本基金交易明细</w:t>
      </w:r>
    </w:p>
    <w:p w:rsidP="006C56AA"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xml:space="preserve">本报告期内基金管理人未运用固有资金申购、赎回、买卖本基金份额。 </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color w:val="000000"/>
          <w:kern w:val="0"/>
          <w:sz w:val="24"/>
          <w:szCs w:val="24"/>
        </w:rPr>
        <w:t/>
      </w:r>
      <w:r w:rsidRPr="00264E55">
        <w:rPr>
          <w:rFonts w:ascii="宋体" w:hAnsi="宋体"/>
          <w:color w:val="000000"/>
          <w:kern w:val="0"/>
          <w:sz w:val="24"/>
          <w:szCs w:val="24"/>
        </w:rPr>
        <w:t xml:space="preserve">8  </w:t>
      </w:r>
      <w:r w:rsidRPr="00264E55">
        <w:rPr>
          <w:rFonts w:ascii="宋体" w:hAnsi="宋体" w:hint="eastAsia"/>
          <w:color w:val="000000"/>
          <w:kern w:val="0"/>
          <w:sz w:val="24"/>
          <w:szCs w:val="24"/>
        </w:rPr>
        <w:t>备查文件目录</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8.1 </w:t>
      </w:r>
      <w:r w:rsidRPr="00264E55">
        <w:rPr>
          <w:rFonts w:ascii="宋体" w:hAnsi="宋体" w:hint="eastAsia"/>
          <w:b/>
          <w:bCs/>
          <w:color w:val="000000"/>
          <w:kern w:val="0"/>
          <w:sz w:val="24"/>
          <w:szCs w:val="24"/>
        </w:rPr>
        <w:t>备查文件目录</w:t>
      </w:r>
    </w:p>
    <w:p>
      <w:pPr>
        <w:spacing w:line="360" w:lineRule="auto"/>
        <w:ind w:firstLine="480" w:firstLineChars="200"/>
        <w:rPr>
          <w:color w:val="000000"/>
          <w:sz w:val="24"/>
          <w:szCs w:val="24"/>
        </w:rPr>
      </w:pPr>
      <w:r>
        <w:rPr>
          <w:color w:val="000000"/>
          <w:sz w:val="24"/>
          <w:szCs w:val="24"/>
        </w:rPr>
        <w:t>1.中国证监会准予易方达信息产业混合型证券投资基金注册的文件；</w:t>
      </w:r>
    </w:p>
    <w:p>
      <w:pPr>
        <w:spacing w:line="360" w:lineRule="auto"/>
        <w:ind w:firstLine="480" w:firstLineChars="200"/>
        <w:rPr>
          <w:color w:val="000000"/>
          <w:sz w:val="24"/>
          <w:szCs w:val="24"/>
        </w:rPr>
      </w:pPr>
      <w:r>
        <w:rPr>
          <w:color w:val="000000"/>
          <w:sz w:val="24"/>
          <w:szCs w:val="24"/>
        </w:rPr>
        <w:t>2.《易方达信息产业混合型证券投资基金基金合同》；</w:t>
      </w:r>
    </w:p>
    <w:p>
      <w:pPr>
        <w:spacing w:line="360" w:lineRule="auto"/>
        <w:ind w:firstLine="480" w:firstLineChars="200"/>
        <w:rPr>
          <w:color w:val="000000"/>
          <w:sz w:val="24"/>
          <w:szCs w:val="24"/>
        </w:rPr>
      </w:pPr>
      <w:r>
        <w:rPr>
          <w:color w:val="000000"/>
          <w:sz w:val="24"/>
          <w:szCs w:val="24"/>
        </w:rPr>
        <w:t>3.《易方达信息产业混合型证券投资基金托管协议》；</w:t>
      </w:r>
    </w:p>
    <w:p>
      <w:pPr>
        <w:spacing w:line="360" w:lineRule="auto"/>
        <w:ind w:firstLine="480" w:firstLineChars="200"/>
        <w:rPr>
          <w:color w:val="000000"/>
          <w:sz w:val="24"/>
          <w:szCs w:val="24"/>
        </w:rPr>
      </w:pPr>
      <w:r>
        <w:rPr>
          <w:color w:val="000000"/>
          <w:sz w:val="24"/>
          <w:szCs w:val="24"/>
        </w:rPr>
        <w:t>4.《易方达基金管理有限公司开放式基金业务规则》；</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5.基金管理人业务资格批件、营业执照。</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8.2 </w:t>
      </w:r>
      <w:r w:rsidRPr="00264E55">
        <w:rPr>
          <w:rFonts w:ascii="宋体" w:hAnsi="宋体" w:hint="eastAsia"/>
          <w:b/>
          <w:bCs/>
          <w:color w:val="000000"/>
          <w:kern w:val="0"/>
          <w:sz w:val="24"/>
          <w:szCs w:val="24"/>
        </w:rPr>
        <w:t>存放地点</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广州市天河区珠江新城珠江东路30号广州银行大厦40-43楼。</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8.3 </w:t>
      </w:r>
      <w:r w:rsidRPr="00264E55">
        <w:rPr>
          <w:rFonts w:ascii="宋体" w:hAnsi="宋体" w:hint="eastAsia"/>
          <w:b/>
          <w:bCs/>
          <w:color w:val="000000"/>
          <w:kern w:val="0"/>
          <w:sz w:val="24"/>
          <w:szCs w:val="24"/>
        </w:rPr>
        <w:t>查阅方式</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投资者可在营业时间免费查阅，也可按工本费购买复印件。</w:t>
      </w: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C71497" w:rsidR="00750D48" w:rsidRDefault="00750D48" w:rsidRPr="00264E55">
      <w:pPr>
        <w:spacing w:line="360" w:lineRule="auto"/>
        <w:jc w:val="right"/>
        <w:rPr>
          <w:rFonts w:ascii="宋体" w:hAnsi="宋体"/>
          <w:b/>
          <w:bCs/>
          <w:sz w:val="24"/>
          <w:szCs w:val="24"/>
        </w:rPr>
      </w:pPr>
      <w:r w:rsidRPr="00264E55">
        <w:rPr>
          <w:rFonts w:asci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易方达基金管理有限公司</w:t>
      </w:r>
    </w:p>
    <w:p w:rsidP="00191817" w:rsidR="00750D48" w:rsidRDefault="00750D48" w:rsidRPr="00191817">
      <w:pPr>
        <w:spacing w:line="360" w:lineRule="auto"/>
        <w:jc w:val="right"/>
        <w:rPr>
          <w:rFonts w:ascii="宋体" w:hAnsi="宋体"/>
          <w:b/>
          <w:bCs/>
          <w:sz w:val="24"/>
          <w:szCs w:val="24"/>
        </w:rPr>
      </w:pPr>
      <w:r w:rsidRPr="00264E55">
        <w:rPr>
          <w:rFonts w:ascii="宋体" w:hAns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二〇二〇年七月二十一日</w:t>
      </w:r>
    </w:p>
    <w:sectPr w:rsidR="00750D48" w:rsidRPr="00191817" w:rsidSect="00304A12">
      <w:footerReference r:id="rId12" w:type="default"/>
      <w:pgSz w:code="9" w:h="16838" w:w="11906"/>
      <w:pgMar w:bottom="1440" w:footer="992" w:gutter="0" w:header="851" w:left="1797" w:right="1797"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A26" w:rsidRDefault="00BE5A26" w:rsidP="00876D65">
      <w:r>
        <w:separator/>
      </w:r>
    </w:p>
  </w:endnote>
  <w:endnote w:type="continuationSeparator" w:id="0">
    <w:p w:rsidR="00BE5A26" w:rsidRDefault="00BE5A26" w:rsidP="00876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FangSong">
    <w:altName w:val="Arial"/>
    <w:charset w:val="00"/>
    <w:family w:val="auto"/>
    <w:pitch w:val="default"/>
    <w:sig w:usb0="00000003" w:usb1="00000000" w:usb2="00000000" w:usb3="00000000" w:csb0="00000001" w:csb1="00000000"/>
  </w:font>
  <w:font w:name="方正仿宋简体">
    <w:altName w:val="宋体"/>
    <w:charset w:val="86"/>
    <w:family w:val="auto"/>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EF56B5"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w:t>
    </w:r>
    <w:r>
      <w:rPr>
        <w:rStyle w:val="a7"/>
      </w:rPr>
      <w:fldChar w:fldCharType="end"/>
    </w:r>
    <w:proofErr w:type="gramStart"/>
    <w:r>
      <w:rPr>
        <w:rStyle w:val="a7"/>
        <w:rFonts w:hint="eastAsia"/>
      </w:rPr>
      <w:t>页共</w:t>
    </w:r>
    <w:proofErr w:type="gramEnd"/>
    <w:r w:rsidR="00764C38">
      <w:fldChar w:fldCharType="begin"/>
    </w:r>
    <w:r w:rsidR="00764C38">
      <w:instrText xml:space="preserve"> NUMPAGES  \* Arabic  \* MERGEFORMAT </w:instrText>
    </w:r>
    <w:r w:rsidR="00764C38">
      <w:fldChar w:fldCharType="separate"/>
    </w:r>
    <w:r w:rsidR="00B371D4" w:rsidRPr="00B371D4">
      <w:rPr>
        <w:rStyle w:val="a7"/>
        <w:noProof/>
      </w:rPr>
      <w:t>27</w:t>
    </w:r>
    <w:r w:rsidR="00764C38">
      <w:rPr>
        <w:rStyle w:val="a7"/>
        <w:noProof/>
      </w:rPr>
      <w:fldChar w:fldCharType="end"/>
    </w:r>
    <w:r>
      <w:rPr>
        <w:rStyle w:val="a7"/>
        <w:rFonts w:hint="eastAsia"/>
      </w:rPr>
      <w:t>页</w:t>
    </w:r>
  </w:p>
  <w:p w:rsidP="00EF56B5" w:rsidR="003328D9" w:rsidRDefault="003328D9" w:rsidRPr="00EF56B5">
    <w:pPr>
      <w:pStyle w:val="a6"/>
    </w:pP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18</w:t>
    </w:r>
    <w:r>
      <w:rPr>
        <w:rStyle w:val="a7"/>
      </w:rPr>
      <w:fldChar w:fldCharType="end"/>
    </w:r>
    <w:proofErr w:type="gramStart"/>
    <w:r>
      <w:rPr>
        <w:rStyle w:val="a7"/>
        <w:rFonts w:hint="eastAsia"/>
      </w:rPr>
      <w:t>页共</w:t>
    </w:r>
    <w:proofErr w:type="gramEnd"/>
    <w:fldSimple w:instr=" NUMPAGES  \* Arabic  \* MERGEFORMAT ">
      <w:r w:rsidR="00B371D4" w:rsidRPr="00B371D4">
        <w:rPr>
          <w:rStyle w:val="a7"/>
          <w:noProof/>
        </w:rPr>
        <w:t>27</w:t>
      </w:r>
    </w:fldSimple>
    <w:r>
      <w:rPr>
        <w:rStyle w:val="a7"/>
        <w:rFonts w:hint="eastAsia"/>
      </w:rPr>
      <w:t>页</w:t>
    </w:r>
  </w:p>
  <w:p w:rsidR="003328D9" w:rsidRDefault="003328D9">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P="00876D65" w:rsidR="00BE5A26" w:rsidRDefault="00BE5A26">
      <w:r>
        <w:separator/>
      </w:r>
    </w:p>
  </w:footnote>
  <w:footnote w:id="0" w:type="continuationSeparator">
    <w:p w:rsidP="00876D65" w:rsidR="00BE5A26" w:rsidRDefault="00BE5A26">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090A26" w:rsidR="003328D9" w:rsidRDefault="003328D9" w:rsidRPr="00093704">
    <w:pPr>
      <w:pStyle w:val="a9"/>
      <w:pBdr>
        <w:bottom w:color="auto" w:space="0" w:sz="6" w:val="single"/>
      </w:pBdr>
      <w:jc w:val="right"/>
    </w:pPr>
    <w:r w:rsidRPr="00093704">
      <w:t/>
    </w:r>
    <w:proofErr w:type="spellStart"/>
    <w:proofErr w:type="gramStart"/>
    <w:r w:rsidRPr="00093704">
      <w:t/>
    </w:r>
    <w:proofErr w:type="spellEnd"/>
    <w:proofErr w:type="gramEnd"/>
    <w:r w:rsidRPr="00093704">
      <w:t>易方达信息产业混合型证券投资基金</w:t>
    </w:r>
    <w:proofErr w:type="spellStart"/>
    <w:r w:rsidRPr="00093704">
      <w:t/>
    </w:r>
    <w:proofErr w:type="spellEnd"/>
    <w:r w:rsidRPr="00093704">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plc="04090003">
      <w:start w:val="1"/>
      <w:numFmt w:val="bullet"/>
      <w:lvlText w:val=""/>
      <w:lvlJc w:val="left"/>
      <w:pPr>
        <w:tabs>
          <w:tab w:pos="1260" w:val="num"/>
        </w:tabs>
        <w:ind w:hanging="420" w:left="1260"/>
      </w:pPr>
      <w:rPr>
        <w:rFonts w:ascii="Wingdings" w:hAnsi="Wingdings" w:hint="default"/>
      </w:rPr>
    </w:lvl>
    <w:lvl w:ilvl="2" w:tplc="04090005">
      <w:start w:val="1"/>
      <w:numFmt w:val="bullet"/>
      <w:lvlText w:val=""/>
      <w:lvlJc w:val="left"/>
      <w:pPr>
        <w:tabs>
          <w:tab w:pos="1680" w:val="num"/>
        </w:tabs>
        <w:ind w:hanging="420" w:left="1680"/>
      </w:pPr>
      <w:rPr>
        <w:rFonts w:ascii="Wingdings" w:hAnsi="Wingdings" w:hint="default"/>
      </w:rPr>
    </w:lvl>
    <w:lvl w:ilvl="3" w:tplc="04090001">
      <w:start w:val="1"/>
      <w:numFmt w:val="bullet"/>
      <w:lvlText w:val=""/>
      <w:lvlJc w:val="left"/>
      <w:pPr>
        <w:tabs>
          <w:tab w:pos="2100" w:val="num"/>
        </w:tabs>
        <w:ind w:hanging="420" w:left="2100"/>
      </w:pPr>
      <w:rPr>
        <w:rFonts w:ascii="Wingdings" w:hAnsi="Wingdings" w:hint="default"/>
      </w:rPr>
    </w:lvl>
    <w:lvl w:ilvl="4" w:tplc="04090003">
      <w:start w:val="1"/>
      <w:numFmt w:val="bullet"/>
      <w:lvlText w:val=""/>
      <w:lvlJc w:val="left"/>
      <w:pPr>
        <w:tabs>
          <w:tab w:pos="2520" w:val="num"/>
        </w:tabs>
        <w:ind w:hanging="420" w:left="2520"/>
      </w:pPr>
      <w:rPr>
        <w:rFonts w:ascii="Wingdings" w:hAnsi="Wingdings" w:hint="default"/>
      </w:rPr>
    </w:lvl>
    <w:lvl w:ilvl="5" w:tplc="04090005">
      <w:start w:val="1"/>
      <w:numFmt w:val="bullet"/>
      <w:lvlText w:val=""/>
      <w:lvlJc w:val="left"/>
      <w:pPr>
        <w:tabs>
          <w:tab w:pos="2940" w:val="num"/>
        </w:tabs>
        <w:ind w:hanging="420" w:left="2940"/>
      </w:pPr>
      <w:rPr>
        <w:rFonts w:ascii="Wingdings" w:hAnsi="Wingdings" w:hint="default"/>
      </w:rPr>
    </w:lvl>
    <w:lvl w:ilvl="6" w:tplc="04090001">
      <w:start w:val="1"/>
      <w:numFmt w:val="bullet"/>
      <w:lvlText w:val=""/>
      <w:lvlJc w:val="left"/>
      <w:pPr>
        <w:tabs>
          <w:tab w:pos="3360" w:val="num"/>
        </w:tabs>
        <w:ind w:hanging="420" w:left="3360"/>
      </w:pPr>
      <w:rPr>
        <w:rFonts w:ascii="Wingdings" w:hAnsi="Wingdings" w:hint="default"/>
      </w:rPr>
    </w:lvl>
    <w:lvl w:ilvl="7" w:tplc="04090003">
      <w:start w:val="1"/>
      <w:numFmt w:val="bullet"/>
      <w:lvlText w:val=""/>
      <w:lvlJc w:val="left"/>
      <w:pPr>
        <w:tabs>
          <w:tab w:pos="3780" w:val="num"/>
        </w:tabs>
        <w:ind w:hanging="420" w:left="3780"/>
      </w:pPr>
      <w:rPr>
        <w:rFonts w:ascii="Wingdings" w:hAnsi="Wingdings" w:hint="default"/>
      </w:rPr>
    </w:lvl>
    <w:lvl w:ilvl="8" w:tplc="04090005">
      <w:start w:val="1"/>
      <w:numFmt w:val="bullet"/>
      <w:lvlText w:val=""/>
      <w:lvlJc w:val="left"/>
      <w:pPr>
        <w:tabs>
          <w:tab w:pos="4200" w:val="num"/>
        </w:tabs>
        <w:ind w:hanging="420" w:left="4200"/>
      </w:pPr>
      <w:rPr>
        <w:rFonts w:ascii="Wingdings" w:hAnsi="Wingdings" w:hint="default"/>
      </w:rPr>
    </w:lvl>
  </w:abstractNum>
  <w:abstractNum w:abstractNumId="1">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szCs w:val="24"/>
      </w:rPr>
    </w:lvl>
    <w:lvl w:ilvl="1" w:tplc="04090019">
      <w:start w:val="1"/>
      <w:numFmt w:val="lowerLetter"/>
      <w:lvlText w:val="%2)"/>
      <w:lvlJc w:val="left"/>
      <w:pPr>
        <w:tabs>
          <w:tab w:pos="1320" w:val="num"/>
        </w:tabs>
        <w:ind w:hanging="420" w:left="1320"/>
      </w:pPr>
      <w:rPr>
        <w:rFonts w:cs="Times New Roman"/>
      </w:rPr>
    </w:lvl>
    <w:lvl w:ilvl="2" w:tplc="0409001B">
      <w:start w:val="1"/>
      <w:numFmt w:val="lowerRoman"/>
      <w:lvlText w:val="%3."/>
      <w:lvlJc w:val="right"/>
      <w:pPr>
        <w:tabs>
          <w:tab w:pos="1740" w:val="num"/>
        </w:tabs>
        <w:ind w:hanging="420" w:left="1740"/>
      </w:pPr>
      <w:rPr>
        <w:rFonts w:cs="Times New Roman"/>
      </w:rPr>
    </w:lvl>
    <w:lvl w:ilvl="3" w:tplc="0409000F">
      <w:start w:val="1"/>
      <w:numFmt w:val="decimal"/>
      <w:lvlText w:val="%4."/>
      <w:lvlJc w:val="left"/>
      <w:pPr>
        <w:tabs>
          <w:tab w:pos="2160" w:val="num"/>
        </w:tabs>
        <w:ind w:hanging="420" w:left="2160"/>
      </w:pPr>
      <w:rPr>
        <w:rFonts w:cs="Times New Roman"/>
      </w:rPr>
    </w:lvl>
    <w:lvl w:ilvl="4" w:tplc="04090019">
      <w:start w:val="1"/>
      <w:numFmt w:val="lowerLetter"/>
      <w:lvlText w:val="%5)"/>
      <w:lvlJc w:val="left"/>
      <w:pPr>
        <w:tabs>
          <w:tab w:pos="2580" w:val="num"/>
        </w:tabs>
        <w:ind w:hanging="420" w:left="2580"/>
      </w:pPr>
      <w:rPr>
        <w:rFonts w:cs="Times New Roman"/>
      </w:rPr>
    </w:lvl>
    <w:lvl w:ilvl="5" w:tplc="0409001B">
      <w:start w:val="1"/>
      <w:numFmt w:val="lowerRoman"/>
      <w:lvlText w:val="%6."/>
      <w:lvlJc w:val="right"/>
      <w:pPr>
        <w:tabs>
          <w:tab w:pos="3000" w:val="num"/>
        </w:tabs>
        <w:ind w:hanging="420" w:left="3000"/>
      </w:pPr>
      <w:rPr>
        <w:rFonts w:cs="Times New Roman"/>
      </w:rPr>
    </w:lvl>
    <w:lvl w:ilvl="6" w:tplc="0409000F">
      <w:start w:val="1"/>
      <w:numFmt w:val="decimal"/>
      <w:lvlText w:val="%7."/>
      <w:lvlJc w:val="left"/>
      <w:pPr>
        <w:tabs>
          <w:tab w:pos="3420" w:val="num"/>
        </w:tabs>
        <w:ind w:hanging="420" w:left="3420"/>
      </w:pPr>
      <w:rPr>
        <w:rFonts w:cs="Times New Roman"/>
      </w:rPr>
    </w:lvl>
    <w:lvl w:ilvl="7" w:tplc="04090019">
      <w:start w:val="1"/>
      <w:numFmt w:val="lowerLetter"/>
      <w:lvlText w:val="%8)"/>
      <w:lvlJc w:val="left"/>
      <w:pPr>
        <w:tabs>
          <w:tab w:pos="3840" w:val="num"/>
        </w:tabs>
        <w:ind w:hanging="420" w:left="3840"/>
      </w:pPr>
      <w:rPr>
        <w:rFonts w:cs="Times New Roman"/>
      </w:rPr>
    </w:lvl>
    <w:lvl w:ilvl="8" w:tplc="0409001B">
      <w:start w:val="1"/>
      <w:numFmt w:val="lowerRoman"/>
      <w:lvlText w:val="%9."/>
      <w:lvlJc w:val="right"/>
      <w:pPr>
        <w:tabs>
          <w:tab w:pos="4260" w:val="num"/>
        </w:tabs>
        <w:ind w:hanging="420" w:left="4260"/>
      </w:pPr>
      <w:rPr>
        <w:rFonts w:cs="Times New Roman"/>
      </w:rPr>
    </w:lvl>
  </w:abstractNum>
  <w:abstractNum w:abstractNumId="2">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plc="0409000F">
      <w:start w:val="1"/>
      <w:numFmt w:val="decimal"/>
      <w:lvlText w:val="%4."/>
      <w:lvlJc w:val="left"/>
      <w:pPr>
        <w:tabs>
          <w:tab w:pos="1680" w:val="num"/>
        </w:tabs>
        <w:ind w:hanging="420" w:left="1680"/>
      </w:pPr>
      <w:rPr>
        <w:rFonts w:cs="Times New Roman"/>
      </w:rPr>
    </w:lvl>
    <w:lvl w:ilvl="4" w:tplc="04090019">
      <w:start w:val="1"/>
      <w:numFmt w:val="lowerLetter"/>
      <w:lvlText w:val="%5)"/>
      <w:lvlJc w:val="left"/>
      <w:pPr>
        <w:tabs>
          <w:tab w:pos="2100" w:val="num"/>
        </w:tabs>
        <w:ind w:hanging="420" w:left="2100"/>
      </w:pPr>
      <w:rPr>
        <w:rFonts w:cs="Times New Roman"/>
      </w:rPr>
    </w:lvl>
    <w:lvl w:ilvl="5" w:tplc="0409001B">
      <w:start w:val="1"/>
      <w:numFmt w:val="lowerRoman"/>
      <w:lvlText w:val="%6."/>
      <w:lvlJc w:val="right"/>
      <w:pPr>
        <w:tabs>
          <w:tab w:pos="2520" w:val="num"/>
        </w:tabs>
        <w:ind w:hanging="420" w:left="2520"/>
      </w:pPr>
      <w:rPr>
        <w:rFonts w:cs="Times New Roman"/>
      </w:rPr>
    </w:lvl>
    <w:lvl w:ilvl="6" w:tplc="0409000F">
      <w:start w:val="1"/>
      <w:numFmt w:val="decimal"/>
      <w:lvlText w:val="%7."/>
      <w:lvlJc w:val="left"/>
      <w:pPr>
        <w:tabs>
          <w:tab w:pos="2940" w:val="num"/>
        </w:tabs>
        <w:ind w:hanging="420" w:left="2940"/>
      </w:pPr>
      <w:rPr>
        <w:rFonts w:cs="Times New Roman"/>
      </w:rPr>
    </w:lvl>
    <w:lvl w:ilvl="7" w:tplc="04090019">
      <w:start w:val="1"/>
      <w:numFmt w:val="lowerLetter"/>
      <w:lvlText w:val="%8)"/>
      <w:lvlJc w:val="left"/>
      <w:pPr>
        <w:tabs>
          <w:tab w:pos="3360" w:val="num"/>
        </w:tabs>
        <w:ind w:hanging="420" w:left="3360"/>
      </w:pPr>
      <w:rPr>
        <w:rFonts w:cs="Times New Roman"/>
      </w:rPr>
    </w:lvl>
    <w:lvl w:ilvl="8" w:tplc="0409001B">
      <w:start w:val="1"/>
      <w:numFmt w:val="lowerRoman"/>
      <w:lvlText w:val="%9."/>
      <w:lvlJc w:val="right"/>
      <w:pPr>
        <w:tabs>
          <w:tab w:pos="3780" w:val="num"/>
        </w:tabs>
        <w:ind w:hanging="420" w:left="3780"/>
      </w:pPr>
      <w:rPr>
        <w:rFonts w:cs="Times New Roman"/>
      </w:r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bordersDoNotSurroundHeader/>
  <w:bordersDoNotSurroundFooter/>
  <w:proofState w:grammar="clean"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061AC"/>
    <w:rsid w:val="00013E6E"/>
    <w:rsid w:val="00014099"/>
    <w:rsid w:val="000160C5"/>
    <w:rsid w:val="000210E7"/>
    <w:rsid w:val="000212F7"/>
    <w:rsid w:val="00031EBB"/>
    <w:rsid w:val="00033B8D"/>
    <w:rsid w:val="00043852"/>
    <w:rsid w:val="000450DD"/>
    <w:rsid w:val="000463DE"/>
    <w:rsid w:val="000553BD"/>
    <w:rsid w:val="00065E3C"/>
    <w:rsid w:val="0008313A"/>
    <w:rsid w:val="000875EA"/>
    <w:rsid w:val="000907D2"/>
    <w:rsid w:val="00090A26"/>
    <w:rsid w:val="00093704"/>
    <w:rsid w:val="00095F2A"/>
    <w:rsid w:val="000A2B53"/>
    <w:rsid w:val="000A438A"/>
    <w:rsid w:val="000B5257"/>
    <w:rsid w:val="000B624F"/>
    <w:rsid w:val="000B73C6"/>
    <w:rsid w:val="000C190B"/>
    <w:rsid w:val="000C1E17"/>
    <w:rsid w:val="000C493C"/>
    <w:rsid w:val="000C5216"/>
    <w:rsid w:val="000D0E6C"/>
    <w:rsid w:val="000D3ED4"/>
    <w:rsid w:val="000F2DE1"/>
    <w:rsid w:val="000F6CC8"/>
    <w:rsid w:val="00111261"/>
    <w:rsid w:val="00133843"/>
    <w:rsid w:val="00137452"/>
    <w:rsid w:val="00142CAF"/>
    <w:rsid w:val="00144F93"/>
    <w:rsid w:val="00147376"/>
    <w:rsid w:val="00150E7E"/>
    <w:rsid w:val="00154BE1"/>
    <w:rsid w:val="00154C17"/>
    <w:rsid w:val="00160EDC"/>
    <w:rsid w:val="0016180A"/>
    <w:rsid w:val="001675CD"/>
    <w:rsid w:val="00170435"/>
    <w:rsid w:val="00171EF0"/>
    <w:rsid w:val="001761D2"/>
    <w:rsid w:val="001830D7"/>
    <w:rsid w:val="00185A34"/>
    <w:rsid w:val="001878B0"/>
    <w:rsid w:val="0019049E"/>
    <w:rsid w:val="00191817"/>
    <w:rsid w:val="00191BDE"/>
    <w:rsid w:val="00196E6C"/>
    <w:rsid w:val="001A73E8"/>
    <w:rsid w:val="001B0A62"/>
    <w:rsid w:val="001B2F35"/>
    <w:rsid w:val="001B3C1C"/>
    <w:rsid w:val="001B6E7E"/>
    <w:rsid w:val="001C0993"/>
    <w:rsid w:val="001C79F2"/>
    <w:rsid w:val="001C7E00"/>
    <w:rsid w:val="001D0DB0"/>
    <w:rsid w:val="001D5B8F"/>
    <w:rsid w:val="001D63BB"/>
    <w:rsid w:val="001D6A4B"/>
    <w:rsid w:val="001D74DB"/>
    <w:rsid w:val="001E4630"/>
    <w:rsid w:val="001F0964"/>
    <w:rsid w:val="001F0EB2"/>
    <w:rsid w:val="001F30DA"/>
    <w:rsid w:val="001F5DC5"/>
    <w:rsid w:val="001F5F5D"/>
    <w:rsid w:val="00200FAB"/>
    <w:rsid w:val="00213821"/>
    <w:rsid w:val="00217B92"/>
    <w:rsid w:val="002279D3"/>
    <w:rsid w:val="00232B03"/>
    <w:rsid w:val="00240248"/>
    <w:rsid w:val="0024363B"/>
    <w:rsid w:val="00261111"/>
    <w:rsid w:val="00264E55"/>
    <w:rsid w:val="002661ED"/>
    <w:rsid w:val="00266337"/>
    <w:rsid w:val="00275745"/>
    <w:rsid w:val="0027688F"/>
    <w:rsid w:val="00276E44"/>
    <w:rsid w:val="00277FAE"/>
    <w:rsid w:val="00280C9F"/>
    <w:rsid w:val="00286BEF"/>
    <w:rsid w:val="00286FA2"/>
    <w:rsid w:val="002918E3"/>
    <w:rsid w:val="002973A9"/>
    <w:rsid w:val="002B1D1A"/>
    <w:rsid w:val="002C28F2"/>
    <w:rsid w:val="002C5960"/>
    <w:rsid w:val="002D6FB6"/>
    <w:rsid w:val="002E2255"/>
    <w:rsid w:val="002E3B09"/>
    <w:rsid w:val="002E4594"/>
    <w:rsid w:val="002E52B3"/>
    <w:rsid w:val="00303679"/>
    <w:rsid w:val="00304A12"/>
    <w:rsid w:val="00305636"/>
    <w:rsid w:val="00311662"/>
    <w:rsid w:val="00312A9F"/>
    <w:rsid w:val="00312F1C"/>
    <w:rsid w:val="00312F30"/>
    <w:rsid w:val="00315D5D"/>
    <w:rsid w:val="00316484"/>
    <w:rsid w:val="00316E01"/>
    <w:rsid w:val="00317067"/>
    <w:rsid w:val="00320300"/>
    <w:rsid w:val="00324508"/>
    <w:rsid w:val="003259C8"/>
    <w:rsid w:val="0032741D"/>
    <w:rsid w:val="003307FE"/>
    <w:rsid w:val="003328D9"/>
    <w:rsid w:val="003350A8"/>
    <w:rsid w:val="003376B7"/>
    <w:rsid w:val="00342369"/>
    <w:rsid w:val="003470E2"/>
    <w:rsid w:val="00352719"/>
    <w:rsid w:val="00354432"/>
    <w:rsid w:val="00355364"/>
    <w:rsid w:val="00364A60"/>
    <w:rsid w:val="00364CCB"/>
    <w:rsid w:val="0039085F"/>
    <w:rsid w:val="00392044"/>
    <w:rsid w:val="00394069"/>
    <w:rsid w:val="003A6061"/>
    <w:rsid w:val="003B5535"/>
    <w:rsid w:val="003B6FBC"/>
    <w:rsid w:val="003D7406"/>
    <w:rsid w:val="003D7FAF"/>
    <w:rsid w:val="003E62FB"/>
    <w:rsid w:val="003F39DF"/>
    <w:rsid w:val="003F63BE"/>
    <w:rsid w:val="00403A06"/>
    <w:rsid w:val="004061AC"/>
    <w:rsid w:val="00407DBB"/>
    <w:rsid w:val="004149AC"/>
    <w:rsid w:val="00415AEF"/>
    <w:rsid w:val="0042009D"/>
    <w:rsid w:val="00427F58"/>
    <w:rsid w:val="0043199A"/>
    <w:rsid w:val="00433805"/>
    <w:rsid w:val="0046668C"/>
    <w:rsid w:val="00466850"/>
    <w:rsid w:val="00467048"/>
    <w:rsid w:val="00471408"/>
    <w:rsid w:val="004858E0"/>
    <w:rsid w:val="004934E9"/>
    <w:rsid w:val="004943C2"/>
    <w:rsid w:val="004A11A7"/>
    <w:rsid w:val="004A4D5B"/>
    <w:rsid w:val="004B5343"/>
    <w:rsid w:val="004B7A92"/>
    <w:rsid w:val="004C0259"/>
    <w:rsid w:val="004C702F"/>
    <w:rsid w:val="004D28A3"/>
    <w:rsid w:val="004D495A"/>
    <w:rsid w:val="004D75CD"/>
    <w:rsid w:val="004E5975"/>
    <w:rsid w:val="004E790A"/>
    <w:rsid w:val="004F04C1"/>
    <w:rsid w:val="004F50FD"/>
    <w:rsid w:val="004F6891"/>
    <w:rsid w:val="00500A03"/>
    <w:rsid w:val="00501495"/>
    <w:rsid w:val="00507F99"/>
    <w:rsid w:val="00512200"/>
    <w:rsid w:val="005143CD"/>
    <w:rsid w:val="005144F2"/>
    <w:rsid w:val="005242A5"/>
    <w:rsid w:val="005249DD"/>
    <w:rsid w:val="00531BA5"/>
    <w:rsid w:val="00531F10"/>
    <w:rsid w:val="00532E86"/>
    <w:rsid w:val="00540B13"/>
    <w:rsid w:val="00542434"/>
    <w:rsid w:val="00542470"/>
    <w:rsid w:val="00542546"/>
    <w:rsid w:val="005425BA"/>
    <w:rsid w:val="005454FB"/>
    <w:rsid w:val="005602F3"/>
    <w:rsid w:val="005659E4"/>
    <w:rsid w:val="005761EE"/>
    <w:rsid w:val="00582D99"/>
    <w:rsid w:val="0058551C"/>
    <w:rsid w:val="00590656"/>
    <w:rsid w:val="0059076B"/>
    <w:rsid w:val="005973CB"/>
    <w:rsid w:val="00597E49"/>
    <w:rsid w:val="005A0F1F"/>
    <w:rsid w:val="005A2B83"/>
    <w:rsid w:val="005A478E"/>
    <w:rsid w:val="005A6675"/>
    <w:rsid w:val="005B2E9C"/>
    <w:rsid w:val="005B4F93"/>
    <w:rsid w:val="005B73D2"/>
    <w:rsid w:val="005C5E5B"/>
    <w:rsid w:val="005D2B36"/>
    <w:rsid w:val="005E1093"/>
    <w:rsid w:val="005E475E"/>
    <w:rsid w:val="005E78C0"/>
    <w:rsid w:val="005F3996"/>
    <w:rsid w:val="005F6AF6"/>
    <w:rsid w:val="005F7730"/>
    <w:rsid w:val="005F7917"/>
    <w:rsid w:val="005F7E00"/>
    <w:rsid w:val="00604C26"/>
    <w:rsid w:val="006066D2"/>
    <w:rsid w:val="0061286A"/>
    <w:rsid w:val="00613D7A"/>
    <w:rsid w:val="00614CC4"/>
    <w:rsid w:val="0062025E"/>
    <w:rsid w:val="00626998"/>
    <w:rsid w:val="006269FB"/>
    <w:rsid w:val="00631ED8"/>
    <w:rsid w:val="00635B05"/>
    <w:rsid w:val="00636DB7"/>
    <w:rsid w:val="0063783A"/>
    <w:rsid w:val="006423B9"/>
    <w:rsid w:val="00654B0D"/>
    <w:rsid w:val="00655CD8"/>
    <w:rsid w:val="006571DC"/>
    <w:rsid w:val="00660D4B"/>
    <w:rsid w:val="00664ECC"/>
    <w:rsid w:val="00670989"/>
    <w:rsid w:val="006757DC"/>
    <w:rsid w:val="00676095"/>
    <w:rsid w:val="006926A7"/>
    <w:rsid w:val="00693843"/>
    <w:rsid w:val="0069426C"/>
    <w:rsid w:val="00694DFB"/>
    <w:rsid w:val="006A1C62"/>
    <w:rsid w:val="006A48FD"/>
    <w:rsid w:val="006A67F8"/>
    <w:rsid w:val="006A7AF1"/>
    <w:rsid w:val="006B11BB"/>
    <w:rsid w:val="006B4C11"/>
    <w:rsid w:val="006C12B8"/>
    <w:rsid w:val="006C37FC"/>
    <w:rsid w:val="006C56AA"/>
    <w:rsid w:val="006C7EA3"/>
    <w:rsid w:val="006D07F3"/>
    <w:rsid w:val="006D39E9"/>
    <w:rsid w:val="006D3BE3"/>
    <w:rsid w:val="006D7004"/>
    <w:rsid w:val="006D789D"/>
    <w:rsid w:val="006D7FF8"/>
    <w:rsid w:val="006E042A"/>
    <w:rsid w:val="006E322B"/>
    <w:rsid w:val="006F49EE"/>
    <w:rsid w:val="006F5E68"/>
    <w:rsid w:val="00706D60"/>
    <w:rsid w:val="007075E3"/>
    <w:rsid w:val="00707F66"/>
    <w:rsid w:val="007125DB"/>
    <w:rsid w:val="00720D28"/>
    <w:rsid w:val="00722333"/>
    <w:rsid w:val="00722509"/>
    <w:rsid w:val="00727FCD"/>
    <w:rsid w:val="00733DDD"/>
    <w:rsid w:val="00744628"/>
    <w:rsid w:val="0074694E"/>
    <w:rsid w:val="00750CDF"/>
    <w:rsid w:val="00750D48"/>
    <w:rsid w:val="00752BA5"/>
    <w:rsid w:val="00755D86"/>
    <w:rsid w:val="00764C38"/>
    <w:rsid w:val="00767C98"/>
    <w:rsid w:val="00770971"/>
    <w:rsid w:val="00780186"/>
    <w:rsid w:val="0078089C"/>
    <w:rsid w:val="00787D16"/>
    <w:rsid w:val="00796CA8"/>
    <w:rsid w:val="00797305"/>
    <w:rsid w:val="007B035B"/>
    <w:rsid w:val="007B4C04"/>
    <w:rsid w:val="007B5AFB"/>
    <w:rsid w:val="007C1B9B"/>
    <w:rsid w:val="007C54B1"/>
    <w:rsid w:val="007C5862"/>
    <w:rsid w:val="007F31E6"/>
    <w:rsid w:val="008014F9"/>
    <w:rsid w:val="0080358B"/>
    <w:rsid w:val="008059BD"/>
    <w:rsid w:val="00812D46"/>
    <w:rsid w:val="00815999"/>
    <w:rsid w:val="00815A38"/>
    <w:rsid w:val="0082103F"/>
    <w:rsid w:val="008279FE"/>
    <w:rsid w:val="00831259"/>
    <w:rsid w:val="0083208A"/>
    <w:rsid w:val="0083218A"/>
    <w:rsid w:val="00832A00"/>
    <w:rsid w:val="00837845"/>
    <w:rsid w:val="008442C4"/>
    <w:rsid w:val="00846739"/>
    <w:rsid w:val="00853140"/>
    <w:rsid w:val="00854537"/>
    <w:rsid w:val="008606B6"/>
    <w:rsid w:val="008635E6"/>
    <w:rsid w:val="00866CF2"/>
    <w:rsid w:val="008700EC"/>
    <w:rsid w:val="00876D65"/>
    <w:rsid w:val="00891261"/>
    <w:rsid w:val="00895A8A"/>
    <w:rsid w:val="008A09E5"/>
    <w:rsid w:val="008A21B2"/>
    <w:rsid w:val="008B2FDD"/>
    <w:rsid w:val="008C2A4F"/>
    <w:rsid w:val="008C75E7"/>
    <w:rsid w:val="008C7CA8"/>
    <w:rsid w:val="008D09EC"/>
    <w:rsid w:val="008D799F"/>
    <w:rsid w:val="008E07EB"/>
    <w:rsid w:val="008E2DCB"/>
    <w:rsid w:val="008E326D"/>
    <w:rsid w:val="008F5A8D"/>
    <w:rsid w:val="008F5F67"/>
    <w:rsid w:val="008F60F2"/>
    <w:rsid w:val="0090217D"/>
    <w:rsid w:val="00904749"/>
    <w:rsid w:val="00905C5E"/>
    <w:rsid w:val="009078DC"/>
    <w:rsid w:val="00907B61"/>
    <w:rsid w:val="00910586"/>
    <w:rsid w:val="009161AF"/>
    <w:rsid w:val="00921AC7"/>
    <w:rsid w:val="00921BFA"/>
    <w:rsid w:val="00922880"/>
    <w:rsid w:val="00924582"/>
    <w:rsid w:val="00931291"/>
    <w:rsid w:val="00932DC0"/>
    <w:rsid w:val="0093367D"/>
    <w:rsid w:val="00933B24"/>
    <w:rsid w:val="009431FA"/>
    <w:rsid w:val="00943BB5"/>
    <w:rsid w:val="00945AF6"/>
    <w:rsid w:val="009510DE"/>
    <w:rsid w:val="00951C43"/>
    <w:rsid w:val="0095204B"/>
    <w:rsid w:val="0095280A"/>
    <w:rsid w:val="00954A4B"/>
    <w:rsid w:val="009550BE"/>
    <w:rsid w:val="00955531"/>
    <w:rsid w:val="00955BE8"/>
    <w:rsid w:val="00957594"/>
    <w:rsid w:val="00963F40"/>
    <w:rsid w:val="00965CFB"/>
    <w:rsid w:val="0098122D"/>
    <w:rsid w:val="00986596"/>
    <w:rsid w:val="00990685"/>
    <w:rsid w:val="00991411"/>
    <w:rsid w:val="00992238"/>
    <w:rsid w:val="009A0ABE"/>
    <w:rsid w:val="009B2D4B"/>
    <w:rsid w:val="009B3243"/>
    <w:rsid w:val="009C4E99"/>
    <w:rsid w:val="009C5186"/>
    <w:rsid w:val="009C60F7"/>
    <w:rsid w:val="009D0952"/>
    <w:rsid w:val="009D54EA"/>
    <w:rsid w:val="009E285B"/>
    <w:rsid w:val="009E31DA"/>
    <w:rsid w:val="009E402C"/>
    <w:rsid w:val="009E7C6A"/>
    <w:rsid w:val="009F7ED4"/>
    <w:rsid w:val="00A03AAC"/>
    <w:rsid w:val="00A047D1"/>
    <w:rsid w:val="00A22AD0"/>
    <w:rsid w:val="00A22DA8"/>
    <w:rsid w:val="00A234BE"/>
    <w:rsid w:val="00A31671"/>
    <w:rsid w:val="00A45320"/>
    <w:rsid w:val="00A52C6D"/>
    <w:rsid w:val="00A5612C"/>
    <w:rsid w:val="00A5689C"/>
    <w:rsid w:val="00A57AE4"/>
    <w:rsid w:val="00A63F19"/>
    <w:rsid w:val="00A66F3F"/>
    <w:rsid w:val="00A66F42"/>
    <w:rsid w:val="00A727C1"/>
    <w:rsid w:val="00A746EB"/>
    <w:rsid w:val="00A76625"/>
    <w:rsid w:val="00A82CBA"/>
    <w:rsid w:val="00A83500"/>
    <w:rsid w:val="00A90049"/>
    <w:rsid w:val="00A917BF"/>
    <w:rsid w:val="00A96A94"/>
    <w:rsid w:val="00AA257D"/>
    <w:rsid w:val="00AA3A38"/>
    <w:rsid w:val="00AA4F94"/>
    <w:rsid w:val="00AB047E"/>
    <w:rsid w:val="00AC11B0"/>
    <w:rsid w:val="00AC592E"/>
    <w:rsid w:val="00AC6C10"/>
    <w:rsid w:val="00AC7BC6"/>
    <w:rsid w:val="00AD24AA"/>
    <w:rsid w:val="00AE7962"/>
    <w:rsid w:val="00AF5BA0"/>
    <w:rsid w:val="00B014D7"/>
    <w:rsid w:val="00B05049"/>
    <w:rsid w:val="00B12B7D"/>
    <w:rsid w:val="00B16985"/>
    <w:rsid w:val="00B221B8"/>
    <w:rsid w:val="00B227EA"/>
    <w:rsid w:val="00B27206"/>
    <w:rsid w:val="00B32AA7"/>
    <w:rsid w:val="00B3392B"/>
    <w:rsid w:val="00B371D4"/>
    <w:rsid w:val="00B4012D"/>
    <w:rsid w:val="00B40F64"/>
    <w:rsid w:val="00B42A76"/>
    <w:rsid w:val="00B53067"/>
    <w:rsid w:val="00B66B7D"/>
    <w:rsid w:val="00B7378D"/>
    <w:rsid w:val="00B82413"/>
    <w:rsid w:val="00B85352"/>
    <w:rsid w:val="00B87214"/>
    <w:rsid w:val="00B912D0"/>
    <w:rsid w:val="00B92FF5"/>
    <w:rsid w:val="00B959E6"/>
    <w:rsid w:val="00BA0A6A"/>
    <w:rsid w:val="00BA40BB"/>
    <w:rsid w:val="00BA4338"/>
    <w:rsid w:val="00BA604D"/>
    <w:rsid w:val="00BB6813"/>
    <w:rsid w:val="00BC4585"/>
    <w:rsid w:val="00BC50F1"/>
    <w:rsid w:val="00BC73E5"/>
    <w:rsid w:val="00BD7473"/>
    <w:rsid w:val="00BD7703"/>
    <w:rsid w:val="00BE12B4"/>
    <w:rsid w:val="00BE3D2D"/>
    <w:rsid w:val="00BE420D"/>
    <w:rsid w:val="00BE5A26"/>
    <w:rsid w:val="00C11A5E"/>
    <w:rsid w:val="00C21520"/>
    <w:rsid w:val="00C222B2"/>
    <w:rsid w:val="00C225FB"/>
    <w:rsid w:val="00C41870"/>
    <w:rsid w:val="00C46B88"/>
    <w:rsid w:val="00C5218C"/>
    <w:rsid w:val="00C52191"/>
    <w:rsid w:val="00C5642F"/>
    <w:rsid w:val="00C57A3E"/>
    <w:rsid w:val="00C63554"/>
    <w:rsid w:val="00C71497"/>
    <w:rsid w:val="00C72F5B"/>
    <w:rsid w:val="00C73619"/>
    <w:rsid w:val="00C73BCD"/>
    <w:rsid w:val="00C77AEF"/>
    <w:rsid w:val="00C77E37"/>
    <w:rsid w:val="00C86EB7"/>
    <w:rsid w:val="00C87129"/>
    <w:rsid w:val="00C91E1B"/>
    <w:rsid w:val="00CA2BD3"/>
    <w:rsid w:val="00CA4677"/>
    <w:rsid w:val="00CA5FD5"/>
    <w:rsid w:val="00CA7703"/>
    <w:rsid w:val="00CB0F92"/>
    <w:rsid w:val="00CD4E6D"/>
    <w:rsid w:val="00CD5707"/>
    <w:rsid w:val="00CD7702"/>
    <w:rsid w:val="00CD7FC9"/>
    <w:rsid w:val="00CE0716"/>
    <w:rsid w:val="00CE075A"/>
    <w:rsid w:val="00CE29EA"/>
    <w:rsid w:val="00CF47EB"/>
    <w:rsid w:val="00CF6572"/>
    <w:rsid w:val="00CF7885"/>
    <w:rsid w:val="00D02347"/>
    <w:rsid w:val="00D04755"/>
    <w:rsid w:val="00D13737"/>
    <w:rsid w:val="00D15D27"/>
    <w:rsid w:val="00D1638E"/>
    <w:rsid w:val="00D21D10"/>
    <w:rsid w:val="00D21FFF"/>
    <w:rsid w:val="00D272A5"/>
    <w:rsid w:val="00D43AFB"/>
    <w:rsid w:val="00D5071D"/>
    <w:rsid w:val="00D564C7"/>
    <w:rsid w:val="00D57B7C"/>
    <w:rsid w:val="00D62BEE"/>
    <w:rsid w:val="00D65B44"/>
    <w:rsid w:val="00D8099B"/>
    <w:rsid w:val="00D866A8"/>
    <w:rsid w:val="00D87469"/>
    <w:rsid w:val="00D90B03"/>
    <w:rsid w:val="00D92F47"/>
    <w:rsid w:val="00D94B8D"/>
    <w:rsid w:val="00D96C8D"/>
    <w:rsid w:val="00DA2876"/>
    <w:rsid w:val="00DA718D"/>
    <w:rsid w:val="00DB0A8D"/>
    <w:rsid w:val="00DB348F"/>
    <w:rsid w:val="00DC0B51"/>
    <w:rsid w:val="00DD03DC"/>
    <w:rsid w:val="00DD5919"/>
    <w:rsid w:val="00DE27F7"/>
    <w:rsid w:val="00DE38CC"/>
    <w:rsid w:val="00E06069"/>
    <w:rsid w:val="00E115C0"/>
    <w:rsid w:val="00E44E18"/>
    <w:rsid w:val="00E54301"/>
    <w:rsid w:val="00E5483F"/>
    <w:rsid w:val="00E55ABD"/>
    <w:rsid w:val="00E60817"/>
    <w:rsid w:val="00E6412C"/>
    <w:rsid w:val="00E645C0"/>
    <w:rsid w:val="00E8246B"/>
    <w:rsid w:val="00E90C35"/>
    <w:rsid w:val="00EA70F1"/>
    <w:rsid w:val="00EB2516"/>
    <w:rsid w:val="00EB2C07"/>
    <w:rsid w:val="00EB374A"/>
    <w:rsid w:val="00EB3CE7"/>
    <w:rsid w:val="00EB572F"/>
    <w:rsid w:val="00EC1B4D"/>
    <w:rsid w:val="00ED040B"/>
    <w:rsid w:val="00ED62BE"/>
    <w:rsid w:val="00EF17AB"/>
    <w:rsid w:val="00EF56B5"/>
    <w:rsid w:val="00EF6FA5"/>
    <w:rsid w:val="00F078B5"/>
    <w:rsid w:val="00F11104"/>
    <w:rsid w:val="00F126C4"/>
    <w:rsid w:val="00F13122"/>
    <w:rsid w:val="00F16E3F"/>
    <w:rsid w:val="00F171C5"/>
    <w:rsid w:val="00F22499"/>
    <w:rsid w:val="00F22B0F"/>
    <w:rsid w:val="00F234A0"/>
    <w:rsid w:val="00F24B42"/>
    <w:rsid w:val="00F24F73"/>
    <w:rsid w:val="00F27299"/>
    <w:rsid w:val="00F31F6E"/>
    <w:rsid w:val="00F3389C"/>
    <w:rsid w:val="00F375F2"/>
    <w:rsid w:val="00F40868"/>
    <w:rsid w:val="00F54EAE"/>
    <w:rsid w:val="00F66A51"/>
    <w:rsid w:val="00F71057"/>
    <w:rsid w:val="00F71A4B"/>
    <w:rsid w:val="00F728CF"/>
    <w:rsid w:val="00F743D4"/>
    <w:rsid w:val="00F83B17"/>
    <w:rsid w:val="00F87EDA"/>
    <w:rsid w:val="00F932F8"/>
    <w:rsid w:val="00F970EE"/>
    <w:rsid w:val="00FB0BC9"/>
    <w:rsid w:val="00FB0F9B"/>
    <w:rsid w:val="00FB41D3"/>
    <w:rsid w:val="00FB4F70"/>
    <w:rsid w:val="00FB5EFC"/>
    <w:rsid w:val="00FB77BB"/>
    <w:rsid w:val="00FC15AA"/>
    <w:rsid w:val="00FD1375"/>
    <w:rsid w:val="00FD359E"/>
    <w:rsid w:val="00FD5F37"/>
    <w:rsid w:val="00FE0A17"/>
    <w:rsid w:val="00FE179F"/>
    <w:rsid w:val="00FF213A"/>
    <w:rsid w:val="00FF3C2E"/>
    <w:rsid w:val="00FF6E8F"/>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cs="Times New Roman" w:eastAsia="宋体" w:hAnsi="Calibri"/>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semiHidden="0" w:uiPriority="0" w:unhideWhenUsed="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footnote text" w:semiHidden="0" w:uiPriority="0" w:unhideWhenUsed="0"/>
    <w:lsdException w:locked="1" w:name="caption" w:qFormat="1" w:uiPriority="0"/>
    <w:lsdException w:locked="1" w:name="footnote reference" w:semiHidden="0" w:uiPriority="0" w:unhideWhenUsed="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Date" w:semiHidden="0" w:uiPriority="0" w:unhideWhenUsed="0"/>
    <w:lsdException w:locked="1" w:name="Strong" w:qFormat="1" w:semiHidden="0" w:uiPriority="22" w:unhideWhenUsed="0"/>
    <w:lsdException w:locked="1" w:name="Emphasis" w:qFormat="1" w:semiHidden="0" w:uiPriority="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4061AC"/>
    <w:pPr>
      <w:widowControl w:val="0"/>
      <w:jc w:val="both"/>
    </w:pPr>
    <w:rPr>
      <w:rFonts w:ascii="Times New Roman" w:hAnsi="Times New Roman"/>
      <w:kern w:val="2"/>
      <w:sz w:val="21"/>
      <w:szCs w:val="21"/>
    </w:rPr>
  </w:style>
  <w:style w:styleId="1" w:type="paragraph">
    <w:name w:val="heading 1"/>
    <w:basedOn w:val="a"/>
    <w:next w:val="a"/>
    <w:link w:val="1Char"/>
    <w:uiPriority w:val="99"/>
    <w:qFormat/>
    <w:rsid w:val="004061AC"/>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4061AC"/>
    <w:pPr>
      <w:keepNext/>
      <w:keepLines/>
      <w:spacing w:after="260" w:before="260" w:line="360" w:lineRule="auto"/>
      <w:outlineLvl w:val="1"/>
    </w:pPr>
    <w:rPr>
      <w:rFonts w:ascii="Arial" w:hAnsi="Arial"/>
      <w:b/>
      <w:bCs/>
      <w:kern w:val="0"/>
      <w:sz w:val="24"/>
      <w:szCs w:val="24"/>
    </w:rPr>
  </w:style>
  <w:style w:styleId="3" w:type="paragraph">
    <w:name w:val="heading 3"/>
    <w:basedOn w:val="a"/>
    <w:next w:val="a"/>
    <w:link w:val="3Char"/>
    <w:uiPriority w:val="99"/>
    <w:qFormat/>
    <w:rsid w:val="004061AC"/>
    <w:pPr>
      <w:keepNext/>
      <w:keepLines/>
      <w:spacing w:after="260" w:before="260" w:line="416" w:lineRule="auto"/>
      <w:outlineLvl w:val="2"/>
    </w:pPr>
    <w:rPr>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4061AC"/>
    <w:rPr>
      <w:rFonts w:ascii="Times New Roman" w:cs="Times New Roman" w:eastAsia="宋体" w:hAnsi="Times New Roman"/>
      <w:b/>
      <w:bCs/>
      <w:kern w:val="44"/>
      <w:sz w:val="44"/>
      <w:szCs w:val="44"/>
    </w:rPr>
  </w:style>
  <w:style w:customStyle="1" w:styleId="2Char" w:type="character">
    <w:name w:val="标题 2 Char"/>
    <w:link w:val="2"/>
    <w:uiPriority w:val="99"/>
    <w:locked/>
    <w:rsid w:val="004061AC"/>
    <w:rPr>
      <w:rFonts w:ascii="Arial" w:cs="Arial" w:eastAsia="宋体" w:hAnsi="Arial"/>
      <w:b/>
      <w:bCs/>
      <w:sz w:val="24"/>
      <w:szCs w:val="24"/>
    </w:rPr>
  </w:style>
  <w:style w:customStyle="1" w:styleId="3Char" w:type="character">
    <w:name w:val="标题 3 Char"/>
    <w:link w:val="3"/>
    <w:uiPriority w:val="99"/>
    <w:locked/>
    <w:rsid w:val="004061AC"/>
    <w:rPr>
      <w:rFonts w:ascii="Times New Roman" w:cs="Times New Roman" w:eastAsia="宋体" w:hAnsi="Times New Roman"/>
      <w:b/>
      <w:bCs/>
      <w:sz w:val="32"/>
      <w:szCs w:val="32"/>
    </w:rPr>
  </w:style>
  <w:style w:styleId="a0" w:type="paragraph">
    <w:name w:val="Normal Indent"/>
    <w:basedOn w:val="a"/>
    <w:uiPriority w:val="99"/>
    <w:rsid w:val="004061AC"/>
    <w:pPr>
      <w:ind w:firstLine="420" w:firstLineChars="200"/>
    </w:pPr>
  </w:style>
  <w:style w:styleId="a4" w:type="paragraph">
    <w:name w:val="Body Text Indent"/>
    <w:basedOn w:val="a"/>
    <w:link w:val="Char"/>
    <w:uiPriority w:val="99"/>
    <w:rsid w:val="004061AC"/>
    <w:pPr>
      <w:widowControl/>
      <w:spacing w:after="100" w:afterAutospacing="1" w:before="100" w:beforeAutospacing="1"/>
      <w:jc w:val="left"/>
    </w:pPr>
    <w:rPr>
      <w:rFonts w:ascii="Arial Unicode MS" w:eastAsia="Arial Unicode MS" w:hAnsi="Arial Unicode MS"/>
      <w:kern w:val="0"/>
      <w:sz w:val="24"/>
      <w:szCs w:val="24"/>
    </w:rPr>
  </w:style>
  <w:style w:customStyle="1" w:styleId="Char" w:type="character">
    <w:name w:val="正文文本缩进 Char"/>
    <w:link w:val="a4"/>
    <w:uiPriority w:val="99"/>
    <w:locked/>
    <w:rsid w:val="004061AC"/>
    <w:rPr>
      <w:rFonts w:ascii="Arial Unicode MS" w:cs="Arial Unicode MS" w:eastAsia="Arial Unicode MS" w:hAnsi="Arial Unicode MS"/>
      <w:kern w:val="0"/>
      <w:sz w:val="24"/>
      <w:szCs w:val="24"/>
    </w:rPr>
  </w:style>
  <w:style w:styleId="a5" w:type="paragraph">
    <w:name w:val="Plain Text"/>
    <w:basedOn w:val="a"/>
    <w:link w:val="Char0"/>
    <w:uiPriority w:val="99"/>
    <w:rsid w:val="004061AC"/>
    <w:rPr>
      <w:rFonts w:ascii="宋体" w:hAnsi="Courier New"/>
      <w:kern w:val="0"/>
    </w:rPr>
  </w:style>
  <w:style w:customStyle="1" w:styleId="Char0" w:type="character">
    <w:name w:val="纯文本 Char"/>
    <w:link w:val="a5"/>
    <w:uiPriority w:val="99"/>
    <w:locked/>
    <w:rsid w:val="004061AC"/>
    <w:rPr>
      <w:rFonts w:ascii="宋体" w:cs="宋体" w:eastAsia="宋体" w:hAnsi="Courier New"/>
      <w:sz w:val="21"/>
      <w:szCs w:val="21"/>
    </w:rPr>
  </w:style>
  <w:style w:styleId="20" w:type="paragraph">
    <w:name w:val="Body Text Indent 2"/>
    <w:basedOn w:val="a"/>
    <w:link w:val="2Char0"/>
    <w:uiPriority w:val="99"/>
    <w:rsid w:val="004061AC"/>
    <w:pPr>
      <w:spacing w:line="560" w:lineRule="exact"/>
      <w:ind w:firstLine="480" w:firstLineChars="200"/>
    </w:pPr>
    <w:rPr>
      <w:rFonts w:ascii="宋体" w:hAnsi="宋体"/>
      <w:color w:val="FF0000"/>
      <w:kern w:val="0"/>
      <w:sz w:val="24"/>
      <w:szCs w:val="24"/>
    </w:rPr>
  </w:style>
  <w:style w:customStyle="1" w:styleId="2Char0" w:type="character">
    <w:name w:val="正文文本缩进 2 Char"/>
    <w:link w:val="20"/>
    <w:uiPriority w:val="99"/>
    <w:locked/>
    <w:rsid w:val="004061AC"/>
    <w:rPr>
      <w:rFonts w:ascii="宋体" w:cs="宋体" w:eastAsia="宋体" w:hAnsi="宋体"/>
      <w:color w:val="FF0000"/>
      <w:sz w:val="24"/>
      <w:szCs w:val="24"/>
    </w:rPr>
  </w:style>
  <w:style w:styleId="a6" w:type="paragraph">
    <w:name w:val="footer"/>
    <w:basedOn w:val="a"/>
    <w:link w:val="Char1"/>
    <w:uiPriority w:val="99"/>
    <w:rsid w:val="004061AC"/>
    <w:pPr>
      <w:tabs>
        <w:tab w:pos="4153" w:val="center"/>
        <w:tab w:pos="8306" w:val="right"/>
      </w:tabs>
      <w:snapToGrid w:val="0"/>
      <w:jc w:val="left"/>
    </w:pPr>
    <w:rPr>
      <w:kern w:val="0"/>
      <w:sz w:val="18"/>
      <w:szCs w:val="18"/>
    </w:rPr>
  </w:style>
  <w:style w:customStyle="1" w:styleId="Char1" w:type="character">
    <w:name w:val="页脚 Char"/>
    <w:link w:val="a6"/>
    <w:uiPriority w:val="99"/>
    <w:locked/>
    <w:rsid w:val="004061AC"/>
    <w:rPr>
      <w:rFonts w:ascii="Times New Roman" w:cs="Times New Roman" w:eastAsia="宋体" w:hAnsi="Times New Roman"/>
      <w:sz w:val="18"/>
      <w:szCs w:val="18"/>
    </w:rPr>
  </w:style>
  <w:style w:styleId="a7" w:type="character">
    <w:name w:val="page number"/>
    <w:uiPriority w:val="99"/>
    <w:rsid w:val="004061AC"/>
    <w:rPr>
      <w:rFonts w:cs="Times New Roman"/>
    </w:rPr>
  </w:style>
  <w:style w:styleId="a8" w:type="character">
    <w:name w:val="Hyperlink"/>
    <w:uiPriority w:val="99"/>
    <w:rsid w:val="004061AC"/>
    <w:rPr>
      <w:rFonts w:cs="Times New Roman"/>
      <w:color w:val="0000FF"/>
      <w:u w:val="single"/>
    </w:rPr>
  </w:style>
  <w:style w:styleId="30" w:type="paragraph">
    <w:name w:val="Body Text Indent 3"/>
    <w:basedOn w:val="a"/>
    <w:link w:val="3Char0"/>
    <w:uiPriority w:val="99"/>
    <w:rsid w:val="004061AC"/>
    <w:pPr>
      <w:spacing w:line="560" w:lineRule="exact"/>
      <w:ind w:firstLine="420" w:firstLineChars="200"/>
    </w:pPr>
    <w:rPr>
      <w:rFonts w:ascii="Arial" w:hAnsi="Arial"/>
      <w:color w:val="FF0000"/>
      <w:kern w:val="0"/>
    </w:rPr>
  </w:style>
  <w:style w:customStyle="1" w:styleId="3Char0" w:type="character">
    <w:name w:val="正文文本缩进 3 Char"/>
    <w:link w:val="30"/>
    <w:uiPriority w:val="99"/>
    <w:locked/>
    <w:rsid w:val="004061AC"/>
    <w:rPr>
      <w:rFonts w:ascii="Arial" w:cs="Arial" w:eastAsia="宋体" w:hAnsi="Arial"/>
      <w:color w:val="FF0000"/>
      <w:sz w:val="21"/>
      <w:szCs w:val="21"/>
    </w:rPr>
  </w:style>
  <w:style w:styleId="a9" w:type="paragraph">
    <w:name w:val="header"/>
    <w:basedOn w:val="a"/>
    <w:link w:val="Char2"/>
    <w:uiPriority w:val="99"/>
    <w:rsid w:val="004061AC"/>
    <w:pPr>
      <w:pBdr>
        <w:bottom w:color="auto" w:space="1" w:sz="6" w:val="single"/>
      </w:pBdr>
      <w:tabs>
        <w:tab w:pos="4153" w:val="center"/>
        <w:tab w:pos="8306" w:val="right"/>
      </w:tabs>
      <w:snapToGrid w:val="0"/>
      <w:jc w:val="center"/>
    </w:pPr>
    <w:rPr>
      <w:kern w:val="0"/>
      <w:sz w:val="18"/>
      <w:szCs w:val="18"/>
    </w:rPr>
  </w:style>
  <w:style w:customStyle="1" w:styleId="Char2" w:type="character">
    <w:name w:val="页眉 Char"/>
    <w:link w:val="a9"/>
    <w:uiPriority w:val="99"/>
    <w:locked/>
    <w:rsid w:val="004061AC"/>
    <w:rPr>
      <w:rFonts w:ascii="Times New Roman" w:cs="Times New Roman" w:eastAsia="宋体" w:hAnsi="Times New Roman"/>
      <w:sz w:val="18"/>
      <w:szCs w:val="18"/>
    </w:rPr>
  </w:style>
  <w:style w:styleId="aa" w:type="character">
    <w:name w:val="FollowedHyperlink"/>
    <w:uiPriority w:val="99"/>
    <w:rsid w:val="004061AC"/>
    <w:rPr>
      <w:rFonts w:cs="Times New Roman"/>
      <w:color w:val="800080"/>
      <w:u w:val="single"/>
    </w:rPr>
  </w:style>
  <w:style w:styleId="ab" w:type="paragraph">
    <w:name w:val="List"/>
    <w:basedOn w:val="ac"/>
    <w:uiPriority w:val="99"/>
    <w:rsid w:val="004061AC"/>
    <w:pPr>
      <w:spacing w:after="220" w:line="220" w:lineRule="atLeast"/>
      <w:ind w:hanging="360" w:left="1440"/>
    </w:pPr>
  </w:style>
  <w:style w:styleId="ac" w:type="paragraph">
    <w:name w:val="Body Text"/>
    <w:basedOn w:val="a"/>
    <w:link w:val="Char3"/>
    <w:uiPriority w:val="99"/>
    <w:rsid w:val="004061AC"/>
    <w:pPr>
      <w:spacing w:after="120"/>
    </w:pPr>
    <w:rPr>
      <w:kern w:val="0"/>
    </w:rPr>
  </w:style>
  <w:style w:customStyle="1" w:styleId="Char3" w:type="character">
    <w:name w:val="正文文本 Char"/>
    <w:link w:val="ac"/>
    <w:uiPriority w:val="99"/>
    <w:locked/>
    <w:rsid w:val="004061AC"/>
    <w:rPr>
      <w:rFonts w:ascii="Times New Roman" w:cs="Times New Roman" w:eastAsia="宋体" w:hAnsi="Times New Roman"/>
      <w:sz w:val="21"/>
      <w:szCs w:val="21"/>
    </w:rPr>
  </w:style>
  <w:style w:styleId="ad" w:type="paragraph">
    <w:name w:val="Date"/>
    <w:basedOn w:val="a"/>
    <w:next w:val="a"/>
    <w:link w:val="Char4"/>
    <w:uiPriority w:val="99"/>
    <w:rsid w:val="004061AC"/>
    <w:rPr>
      <w:kern w:val="0"/>
      <w:sz w:val="24"/>
      <w:szCs w:val="24"/>
    </w:rPr>
  </w:style>
  <w:style w:customStyle="1" w:styleId="Char4" w:type="character">
    <w:name w:val="日期 Char"/>
    <w:link w:val="ad"/>
    <w:uiPriority w:val="99"/>
    <w:locked/>
    <w:rsid w:val="004061AC"/>
    <w:rPr>
      <w:rFonts w:ascii="Times New Roman" w:cs="Times New Roman" w:eastAsia="宋体" w:hAnsi="Times New Roman"/>
      <w:sz w:val="24"/>
      <w:szCs w:val="24"/>
    </w:rPr>
  </w:style>
  <w:style w:customStyle="1" w:styleId="c1" w:type="character">
    <w:name w:val="c1"/>
    <w:uiPriority w:val="99"/>
    <w:rsid w:val="004061AC"/>
    <w:rPr>
      <w:rFonts w:cs="Times New Roman"/>
      <w:color w:val="000000"/>
      <w:sz w:val="18"/>
      <w:szCs w:val="18"/>
    </w:rPr>
  </w:style>
  <w:style w:styleId="10" w:type="paragraph">
    <w:name w:val="index 1"/>
    <w:basedOn w:val="a"/>
    <w:next w:val="a"/>
    <w:autoRedefine/>
    <w:uiPriority w:val="99"/>
    <w:semiHidden/>
    <w:rsid w:val="004061AC"/>
    <w:pPr>
      <w:jc w:val="right"/>
    </w:pPr>
    <w:rPr>
      <w:color w:val="008000"/>
    </w:rPr>
  </w:style>
  <w:style w:customStyle="1" w:styleId="font5" w:type="paragraph">
    <w:name w:val="font5"/>
    <w:basedOn w:val="a"/>
    <w:uiPriority w:val="99"/>
    <w:rsid w:val="004061AC"/>
    <w:pPr>
      <w:widowControl/>
      <w:spacing w:after="100" w:afterAutospacing="1" w:before="100" w:beforeAutospacing="1"/>
      <w:jc w:val="left"/>
    </w:pPr>
    <w:rPr>
      <w:rFonts w:ascii="宋体" w:cs="宋体" w:hAnsi="宋体"/>
      <w:kern w:val="0"/>
      <w:sz w:val="18"/>
      <w:szCs w:val="18"/>
    </w:rPr>
  </w:style>
  <w:style w:customStyle="1" w:styleId="xl24" w:type="paragraph">
    <w:name w:val="xl24"/>
    <w:basedOn w:val="a"/>
    <w:uiPriority w:val="99"/>
    <w:rsid w:val="004061AC"/>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szCs w:val="24"/>
    </w:rPr>
  </w:style>
  <w:style w:customStyle="1" w:styleId="xl26" w:type="paragraph">
    <w:name w:val="xl2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7" w:type="paragraph">
    <w:name w:val="xl2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9" w:type="paragraph">
    <w:name w:val="xl29"/>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0" w:type="paragraph">
    <w:name w:val="xl30"/>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1" w:type="paragraph">
    <w:name w:val="xl31"/>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e" w:type="paragraph">
    <w:name w:val="Balloon Text"/>
    <w:basedOn w:val="a"/>
    <w:link w:val="Char5"/>
    <w:uiPriority w:val="99"/>
    <w:semiHidden/>
    <w:rsid w:val="004061AC"/>
    <w:rPr>
      <w:kern w:val="0"/>
      <w:sz w:val="18"/>
      <w:szCs w:val="18"/>
    </w:rPr>
  </w:style>
  <w:style w:customStyle="1" w:styleId="Char5" w:type="character">
    <w:name w:val="批注框文本 Char"/>
    <w:link w:val="ae"/>
    <w:uiPriority w:val="99"/>
    <w:semiHidden/>
    <w:locked/>
    <w:rsid w:val="004061AC"/>
    <w:rPr>
      <w:rFonts w:ascii="Times New Roman" w:cs="Times New Roman" w:eastAsia="宋体" w:hAnsi="Times New Roman"/>
      <w:sz w:val="18"/>
      <w:szCs w:val="18"/>
    </w:rPr>
  </w:style>
  <w:style w:styleId="af" w:type="character">
    <w:name w:val="annotation reference"/>
    <w:uiPriority w:val="99"/>
    <w:semiHidden/>
    <w:rsid w:val="004061AC"/>
    <w:rPr>
      <w:rFonts w:cs="Times New Roman"/>
      <w:sz w:val="21"/>
      <w:szCs w:val="21"/>
    </w:rPr>
  </w:style>
  <w:style w:styleId="af0" w:type="paragraph">
    <w:name w:val="annotation text"/>
    <w:basedOn w:val="a"/>
    <w:link w:val="Char6"/>
    <w:uiPriority w:val="99"/>
    <w:semiHidden/>
    <w:rsid w:val="004061AC"/>
    <w:pPr>
      <w:jc w:val="left"/>
    </w:pPr>
    <w:rPr>
      <w:kern w:val="0"/>
    </w:rPr>
  </w:style>
  <w:style w:customStyle="1" w:styleId="Char6" w:type="character">
    <w:name w:val="批注文字 Char"/>
    <w:link w:val="af0"/>
    <w:uiPriority w:val="99"/>
    <w:semiHidden/>
    <w:locked/>
    <w:rsid w:val="004061AC"/>
    <w:rPr>
      <w:rFonts w:ascii="Times New Roman" w:cs="Times New Roman" w:eastAsia="宋体" w:hAnsi="Times New Roman"/>
      <w:sz w:val="21"/>
      <w:szCs w:val="21"/>
    </w:rPr>
  </w:style>
  <w:style w:styleId="af1" w:type="paragraph">
    <w:name w:val="annotation subject"/>
    <w:basedOn w:val="af0"/>
    <w:next w:val="af0"/>
    <w:link w:val="Char7"/>
    <w:uiPriority w:val="99"/>
    <w:semiHidden/>
    <w:rsid w:val="004061AC"/>
    <w:rPr>
      <w:b/>
      <w:bCs/>
    </w:rPr>
  </w:style>
  <w:style w:customStyle="1" w:styleId="Char7" w:type="character">
    <w:name w:val="批注主题 Char"/>
    <w:link w:val="af1"/>
    <w:uiPriority w:val="99"/>
    <w:semiHidden/>
    <w:locked/>
    <w:rsid w:val="004061AC"/>
    <w:rPr>
      <w:rFonts w:ascii="Times New Roman" w:cs="Times New Roman" w:eastAsia="宋体" w:hAnsi="Times New Roman"/>
      <w:b/>
      <w:bCs/>
      <w:sz w:val="21"/>
      <w:szCs w:val="21"/>
    </w:rPr>
  </w:style>
  <w:style w:customStyle="1" w:styleId="Char8" w:type="paragraph">
    <w:name w:val="Char"/>
    <w:basedOn w:val="a"/>
    <w:uiPriority w:val="99"/>
    <w:rsid w:val="004061AC"/>
  </w:style>
  <w:style w:styleId="af2" w:type="paragraph">
    <w:name w:val="Document Map"/>
    <w:basedOn w:val="a"/>
    <w:link w:val="Char9"/>
    <w:uiPriority w:val="99"/>
    <w:semiHidden/>
    <w:rsid w:val="004061AC"/>
    <w:pPr>
      <w:shd w:color="auto" w:fill="000080" w:val="clear"/>
    </w:pPr>
    <w:rPr>
      <w:kern w:val="0"/>
    </w:rPr>
  </w:style>
  <w:style w:customStyle="1" w:styleId="Char9" w:type="character">
    <w:name w:val="文档结构图 Char"/>
    <w:link w:val="af2"/>
    <w:uiPriority w:val="99"/>
    <w:semiHidden/>
    <w:locked/>
    <w:rsid w:val="004061AC"/>
    <w:rPr>
      <w:rFonts w:ascii="Times New Roman" w:cs="Times New Roman" w:eastAsia="宋体" w:hAnsi="Times New Roman"/>
      <w:sz w:val="21"/>
      <w:szCs w:val="21"/>
      <w:shd w:color="auto" w:fill="000080" w:val="clear"/>
    </w:rPr>
  </w:style>
  <w:style w:customStyle="1" w:styleId="af3" w:type="paragraph">
    <w:name w:val="正文 + (符号) 宋体"/>
    <w:aliases w:val="小四,紧缩量  0.2 磅"/>
    <w:basedOn w:val="a"/>
    <w:uiPriority w:val="99"/>
    <w:rsid w:val="004061AC"/>
    <w:pPr>
      <w:autoSpaceDE w:val="0"/>
      <w:autoSpaceDN w:val="0"/>
      <w:adjustRightInd w:val="0"/>
      <w:ind w:firstLine="1229" w:firstLineChars="512" w:right="1409" w:rightChars="671"/>
      <w:jc w:val="distribute"/>
    </w:pPr>
    <w:rPr>
      <w:sz w:val="24"/>
      <w:szCs w:val="24"/>
    </w:rPr>
  </w:style>
  <w:style w:styleId="af4" w:type="paragraph">
    <w:name w:val="footnote text"/>
    <w:basedOn w:val="a"/>
    <w:link w:val="Chara"/>
    <w:uiPriority w:val="99"/>
    <w:rsid w:val="004061AC"/>
    <w:pPr>
      <w:snapToGrid w:val="0"/>
      <w:jc w:val="left"/>
    </w:pPr>
    <w:rPr>
      <w:kern w:val="0"/>
      <w:sz w:val="18"/>
      <w:szCs w:val="18"/>
    </w:rPr>
  </w:style>
  <w:style w:customStyle="1" w:styleId="Chara" w:type="character">
    <w:name w:val="脚注文本 Char"/>
    <w:link w:val="af4"/>
    <w:uiPriority w:val="99"/>
    <w:locked/>
    <w:rsid w:val="004061AC"/>
    <w:rPr>
      <w:rFonts w:ascii="Times New Roman" w:cs="Times New Roman" w:eastAsia="宋体" w:hAnsi="Times New Roman"/>
      <w:sz w:val="18"/>
      <w:szCs w:val="18"/>
    </w:rPr>
  </w:style>
  <w:style w:styleId="af5" w:type="character">
    <w:name w:val="footnote reference"/>
    <w:uiPriority w:val="99"/>
    <w:rsid w:val="004061AC"/>
    <w:rPr>
      <w:rFonts w:cs="Times New Roman"/>
      <w:vertAlign w:val="superscript"/>
    </w:rPr>
  </w:style>
  <w:style w:styleId="af6" w:type="paragraph">
    <w:name w:val="Normal (Web)"/>
    <w:basedOn w:val="a"/>
    <w:uiPriority w:val="99"/>
    <w:rsid w:val="004061AC"/>
    <w:pPr>
      <w:widowControl/>
      <w:spacing w:after="100" w:afterAutospacing="1" w:before="100" w:beforeAutospacing="1"/>
      <w:jc w:val="left"/>
    </w:pPr>
    <w:rPr>
      <w:rFonts w:ascii="宋体" w:cs="宋体" w:hAnsi="宋体"/>
      <w:kern w:val="0"/>
      <w:sz w:val="24"/>
      <w:szCs w:val="24"/>
    </w:rPr>
  </w:style>
  <w:style w:styleId="af7" w:type="table">
    <w:name w:val="Table Grid"/>
    <w:basedOn w:val="a2"/>
    <w:qFormat/>
    <w:rsid w:val="004061AC"/>
    <w:pPr>
      <w:widowControl w:val="0"/>
      <w:jc w:val="both"/>
    </w:pPr>
    <w:rPr>
      <w:rFonts w:ascii="Times New Roman" w:hAnsi="Times New Roman"/>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Char10" w:type="paragraph">
    <w:name w:val="Char1"/>
    <w:basedOn w:val="a"/>
    <w:uiPriority w:val="99"/>
    <w:rsid w:val="004061AC"/>
  </w:style>
  <w:style w:customStyle="1" w:styleId="CharCharCharCharCharChar1CharCharChar" w:type="paragraph">
    <w:name w:val="Char Char Char Char Char Char1 Char Char Char"/>
    <w:basedOn w:val="a"/>
    <w:uiPriority w:val="99"/>
    <w:rsid w:val="004061AC"/>
    <w:pPr>
      <w:autoSpaceDE w:val="0"/>
      <w:autoSpaceDN w:val="0"/>
      <w:adjustRightInd w:val="0"/>
      <w:jc w:val="left"/>
      <w:textAlignment w:val="baseline"/>
    </w:pPr>
    <w:rPr>
      <w:rFonts w:ascii="宋体" w:cs="宋体"/>
      <w:kern w:val="0"/>
      <w:sz w:val="34"/>
      <w:szCs w:val="34"/>
    </w:rPr>
  </w:style>
  <w:style w:customStyle="1" w:styleId="CharCharCharCharCharChar1CharCharChar2" w:type="paragraph">
    <w:name w:val="Char Char Char Char Char Char1 Char Char Char2"/>
    <w:basedOn w:val="a"/>
    <w:uiPriority w:val="99"/>
    <w:rsid w:val="004061AC"/>
    <w:pPr>
      <w:autoSpaceDE w:val="0"/>
      <w:autoSpaceDN w:val="0"/>
      <w:adjustRightInd w:val="0"/>
      <w:jc w:val="left"/>
      <w:textAlignment w:val="baseline"/>
    </w:pPr>
    <w:rPr>
      <w:rFonts w:ascii="宋体" w:cs="宋体"/>
      <w:kern w:val="0"/>
      <w:sz w:val="34"/>
      <w:szCs w:val="34"/>
    </w:rPr>
  </w:style>
  <w:style w:styleId="af8" w:type="paragraph">
    <w:name w:val="Title"/>
    <w:basedOn w:val="a"/>
    <w:next w:val="a"/>
    <w:link w:val="Charb"/>
    <w:uiPriority w:val="99"/>
    <w:qFormat/>
    <w:rsid w:val="004061AC"/>
    <w:pPr>
      <w:spacing w:after="60" w:before="240"/>
      <w:jc w:val="center"/>
      <w:outlineLvl w:val="0"/>
    </w:pPr>
    <w:rPr>
      <w:rFonts w:ascii="Cambria" w:hAnsi="Cambria"/>
      <w:b/>
      <w:bCs/>
      <w:kern w:val="0"/>
      <w:sz w:val="32"/>
      <w:szCs w:val="32"/>
    </w:rPr>
  </w:style>
  <w:style w:customStyle="1" w:styleId="Charb" w:type="character">
    <w:name w:val="标题 Char"/>
    <w:link w:val="af8"/>
    <w:uiPriority w:val="99"/>
    <w:locked/>
    <w:rsid w:val="004061AC"/>
    <w:rPr>
      <w:rFonts w:ascii="Cambria" w:cs="Cambria" w:eastAsia="宋体" w:hAnsi="Cambria"/>
      <w:b/>
      <w:bCs/>
      <w:sz w:val="32"/>
      <w:szCs w:val="32"/>
    </w:rPr>
  </w:style>
  <w:style w:customStyle="1" w:styleId="CharCharCharCharCharChar1CharCharChar1" w:type="paragraph">
    <w:name w:val="Char Char Char Char Char Char1 Char Char Char1"/>
    <w:basedOn w:val="a"/>
    <w:uiPriority w:val="99"/>
    <w:rsid w:val="004061AC"/>
    <w:pPr>
      <w:autoSpaceDE w:val="0"/>
      <w:autoSpaceDN w:val="0"/>
      <w:adjustRightInd w:val="0"/>
      <w:jc w:val="left"/>
      <w:textAlignment w:val="baseline"/>
    </w:pPr>
    <w:rPr>
      <w:rFonts w:ascii="宋体" w:cs="宋体"/>
      <w:kern w:val="0"/>
      <w:sz w:val="34"/>
      <w:szCs w:val="34"/>
    </w:rPr>
  </w:style>
  <w:style w:styleId="af9" w:type="paragraph">
    <w:name w:val="No Spacing"/>
    <w:link w:val="Charc"/>
    <w:uiPriority w:val="99"/>
    <w:qFormat/>
    <w:rsid w:val="004061AC"/>
    <w:rPr>
      <w:rFonts w:cs="Calibri"/>
      <w:sz w:val="22"/>
      <w:szCs w:val="22"/>
    </w:rPr>
  </w:style>
  <w:style w:customStyle="1" w:styleId="Charc" w:type="character">
    <w:name w:val="无间隔 Char"/>
    <w:link w:val="af9"/>
    <w:uiPriority w:val="99"/>
    <w:locked/>
    <w:rsid w:val="004061AC"/>
    <w:rPr>
      <w:rFonts w:cs="Calibri"/>
      <w:sz w:val="22"/>
      <w:szCs w:val="22"/>
      <w:lang w:bidi="ar-SA" w:eastAsia="zh-CN" w:val="en-US"/>
    </w:rPr>
  </w:style>
  <w:style w:customStyle="1" w:styleId="t1" w:type="character">
    <w:name w:val="t1"/>
    <w:uiPriority w:val="99"/>
    <w:rsid w:val="004061AC"/>
    <w:rPr>
      <w:rFonts w:cs="Times New Roman"/>
      <w:color w:val="auto"/>
    </w:rPr>
  </w:style>
  <w:style w:styleId="afa" w:type="paragraph">
    <w:name w:val="List Paragraph"/>
    <w:basedOn w:val="a"/>
    <w:uiPriority w:val="99"/>
    <w:qFormat/>
    <w:rsid w:val="00154BE1"/>
    <w:pPr>
      <w:ind w:firstLine="420" w:firstLineChars="200"/>
    </w:pPr>
  </w:style>
  <w:style w:customStyle="1" w:styleId="Default" w:type="paragraph">
    <w:name w:val="Default"/>
    <w:uiPriority w:val="99"/>
    <w:rsid w:val="00275745"/>
    <w:pPr>
      <w:widowControl w:val="0"/>
      <w:autoSpaceDE w:val="0"/>
      <w:autoSpaceDN w:val="0"/>
      <w:adjustRightInd w:val="0"/>
    </w:pPr>
    <w:rPr>
      <w:rFonts w:ascii="FangSong" w:cs="FangSong" w:hAnsi="FangSong"/>
      <w:color w:val="000000"/>
      <w:sz w:val="24"/>
      <w:szCs w:val="24"/>
    </w:rPr>
  </w:style>
  <w:style w:styleId="afb" w:type="character">
    <w:name w:val="Strong"/>
    <w:uiPriority w:val="22"/>
    <w:qFormat/>
    <w:locked/>
    <w:rsid w:val="00D8746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98932">
      <w:bodyDiv w:val="1"/>
      <w:marLeft w:val="0"/>
      <w:marRight w:val="0"/>
      <w:marTop w:val="0"/>
      <w:marBottom w:val="0"/>
      <w:divBdr>
        <w:top w:val="none" w:sz="0" w:space="0" w:color="auto"/>
        <w:left w:val="none" w:sz="0" w:space="0" w:color="auto"/>
        <w:bottom w:val="none" w:sz="0" w:space="0" w:color="auto"/>
        <w:right w:val="none" w:sz="0" w:space="0" w:color="auto"/>
      </w:divBdr>
    </w:div>
    <w:div w:id="105783393">
      <w:bodyDiv w:val="1"/>
      <w:marLeft w:val="0"/>
      <w:marRight w:val="0"/>
      <w:marTop w:val="0"/>
      <w:marBottom w:val="0"/>
      <w:divBdr>
        <w:top w:val="none" w:sz="0" w:space="0" w:color="auto"/>
        <w:left w:val="none" w:sz="0" w:space="0" w:color="auto"/>
        <w:bottom w:val="none" w:sz="0" w:space="0" w:color="auto"/>
        <w:right w:val="none" w:sz="0" w:space="0" w:color="auto"/>
      </w:divBdr>
    </w:div>
    <w:div w:id="1494878767">
      <w:marLeft w:val="0"/>
      <w:marRight w:val="0"/>
      <w:marTop w:val="0"/>
      <w:marBottom w:val="0"/>
      <w:divBdr>
        <w:top w:val="none" w:sz="0" w:space="0" w:color="auto"/>
        <w:left w:val="none" w:sz="0" w:space="0" w:color="auto"/>
        <w:bottom w:val="none" w:sz="0" w:space="0" w:color="auto"/>
        <w:right w:val="none" w:sz="0" w:space="0" w:color="auto"/>
      </w:divBdr>
    </w:div>
    <w:div w:id="1494878768">
      <w:marLeft w:val="0"/>
      <w:marRight w:val="0"/>
      <w:marTop w:val="0"/>
      <w:marBottom w:val="0"/>
      <w:divBdr>
        <w:top w:val="none" w:sz="0" w:space="0" w:color="auto"/>
        <w:left w:val="none" w:sz="0" w:space="0" w:color="auto"/>
        <w:bottom w:val="none" w:sz="0" w:space="0" w:color="auto"/>
        <w:right w:val="none" w:sz="0" w:space="0" w:color="auto"/>
      </w:divBdr>
    </w:div>
    <w:div w:id="1830948889">
      <w:bodyDiv w:val="1"/>
      <w:marLeft w:val="0"/>
      <w:marRight w:val="0"/>
      <w:marTop w:val="0"/>
      <w:marBottom w:val="0"/>
      <w:divBdr>
        <w:top w:val="none" w:sz="0" w:space="0" w:color="auto"/>
        <w:left w:val="none" w:sz="0" w:space="0" w:color="auto"/>
        <w:bottom w:val="none" w:sz="0" w:space="0" w:color="auto"/>
        <w:right w:val="none" w:sz="0" w:space="0" w:color="auto"/>
      </w:divBdr>
    </w:div>
    <w:div w:id="201792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10" Target="footer1.xml" Type="http://schemas.openxmlformats.org/officeDocument/2006/relationships/footer"/>
<Relationship Id="rId11" Target="media/image1.jpeg" Type="http://schemas.openxmlformats.org/officeDocument/2006/relationships/image"/>
<Relationship Id="rId12" Target="footer2.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tylesWithEffects.xml" Type="http://schemas.microsoft.com/office/2007/relationships/stylesWithEffects"/>
<Relationship Id="rId5" Target="settings.xml" Type="http://schemas.openxmlformats.org/officeDocument/2006/relationships/settings"/>
<Relationship Id="rId6" Target="webSettings.xml" Type="http://schemas.openxmlformats.org/officeDocument/2006/relationships/webSettings"/>
<Relationship Id="rId7" Target="footnotes.xml" Type="http://schemas.openxmlformats.org/officeDocument/2006/relationships/footnotes"/>
<Relationship Id="rId8" Target="endnotes.xml" Type="http://schemas.openxmlformats.org/officeDocument/2006/relationships/endnotes"/>
<Relationship Id="rId9" Target="header1.xml" Type="http://schemas.openxmlformats.org/officeDocument/2006/relationships/head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385AF-767C-48D7-B7B5-A5BAB9648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1799</TotalTime>
  <Pages>27</Pages>
  <Words>3847</Words>
  <Characters>21932</Characters>
  <Application>Microsoft Office Word</Application>
  <DocSecurity>0</DocSecurity>
  <Lines>182</Lines>
  <Paragraphs>51</Paragraphs>
  <ScaleCrop>false</ScaleCrop>
  <Company/>
  <LinksUpToDate>false</LinksUpToDate>
  <CharactersWithSpaces>25728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2012-10-16T06:07:00Z</dcterms:created>
  <cp:lastModifiedBy>sirong han</cp:lastModifiedBy>
  <dcterms:modified xsi:type="dcterms:W3CDTF">2020-07-09T03:00:00Z</dcterms:modified>
  <cp:revision>343</cp:revision>
</cp:coreProperties>
</file>