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易方达中债3-5年期国债指数证券投资基金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浙商银行股份有限公司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基金托管人浙商银行股份有限公司根据本基金合同规定，于2020年7月17日复核了本报告中的财务指标、净值表现和投资组合报告等内容，保证复核内容不存在虚假记载、误导性陈述或者重大遗漏。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易方达中债3-5年期国债指数</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001512</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001512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2015年7月8日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81,596,258.55</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本基金通过指数化投资，争取在扣除各项费用之前获得与标的指数相似的总回报，追求跟踪偏离度及跟踪误差的最小化。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基金管理人还将评估投资组合整体以及各层级债券与标的指数的偏离情况，定期对投资组合进行调整，以确保组合总体特征与标的指数相似，并缩小跟踪误差。</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本基金的业绩比较基准为标的指数“中债-3-5年期国债指数”收益率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本基金为债券型指数基金，其预期风险和预期收益低于股票基金、混合基金，高于货币市场基金。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浙商银行股份有限公司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908,821.92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-513,660.58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-0.0059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97,684,799.35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1.197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-0.58%</w:t>
            </w:r>
          </w:p>
        </w:tc>
        <w:tc>
          <w:tcPr>
            <w:vAlign w:val="center"/>
          </w:tcPr>
          <w:p>
            <w:pPr>
              <w:jc w:val="center"/>
            </w:pPr>
            <w:r>
              <w:rPr>
                <w:color w:val="000000"/>
                <w:kern w:val="0"/>
                <w:sz w:val="24"/>
                <w:szCs w:val="24"/>
              </w:rPr>
              <w:t>0.19%</w:t>
            </w:r>
          </w:p>
        </w:tc>
        <w:tc>
          <w:tcPr>
            <w:vAlign w:val="center"/>
          </w:tcPr>
          <w:p>
            <w:pPr>
              <w:jc w:val="center"/>
            </w:pPr>
            <w:r>
              <w:rPr>
                <w:color w:val="000000"/>
                <w:kern w:val="0"/>
                <w:sz w:val="24"/>
                <w:szCs w:val="24"/>
              </w:rPr>
              <w:t>-0.14%</w:t>
            </w:r>
          </w:p>
        </w:tc>
        <w:tc>
          <w:tcPr>
            <w:vAlign w:val="center"/>
          </w:tcPr>
          <w:p>
            <w:pPr>
              <w:jc w:val="center"/>
            </w:pPr>
            <w:r>
              <w:rPr>
                <w:color w:val="000000"/>
                <w:kern w:val="0"/>
                <w:sz w:val="24"/>
                <w:szCs w:val="24"/>
              </w:rPr>
              <w:t>0.18%</w:t>
            </w:r>
          </w:p>
        </w:tc>
        <w:tc>
          <w:tcPr>
            <w:vAlign w:val="center"/>
          </w:tcPr>
          <w:p>
            <w:pPr>
              <w:jc w:val="center"/>
            </w:pPr>
            <w:r>
              <w:rPr>
                <w:color w:val="000000"/>
                <w:kern w:val="0"/>
                <w:sz w:val="24"/>
                <w:szCs w:val="24"/>
              </w:rPr>
              <w:t>-0.44%</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1.87%</w:t>
            </w:r>
          </w:p>
        </w:tc>
        <w:tc>
          <w:tcPr>
            <w:vAlign w:val="center"/>
          </w:tcPr>
          <w:p>
            <w:pPr>
              <w:jc w:val="center"/>
            </w:pPr>
            <w:r>
              <w:rPr>
                <w:color w:val="000000"/>
                <w:kern w:val="0"/>
                <w:sz w:val="24"/>
                <w:szCs w:val="24"/>
              </w:rPr>
              <w:t>0.16%</w:t>
            </w:r>
          </w:p>
        </w:tc>
        <w:tc>
          <w:tcPr>
            <w:vAlign w:val="center"/>
          </w:tcPr>
          <w:p>
            <w:pPr>
              <w:jc w:val="center"/>
            </w:pPr>
            <w:r>
              <w:rPr>
                <w:color w:val="000000"/>
                <w:kern w:val="0"/>
                <w:sz w:val="24"/>
                <w:szCs w:val="24"/>
              </w:rPr>
              <w:t>2.64%</w:t>
            </w:r>
          </w:p>
        </w:tc>
        <w:tc>
          <w:tcPr>
            <w:vAlign w:val="center"/>
          </w:tcPr>
          <w:p>
            <w:pPr>
              <w:jc w:val="center"/>
            </w:pPr>
            <w:r>
              <w:rPr>
                <w:color w:val="000000"/>
                <w:kern w:val="0"/>
                <w:sz w:val="24"/>
                <w:szCs w:val="24"/>
              </w:rPr>
              <w:t>0.15%</w:t>
            </w:r>
          </w:p>
        </w:tc>
        <w:tc>
          <w:tcPr>
            <w:vAlign w:val="center"/>
          </w:tcPr>
          <w:p>
            <w:pPr>
              <w:jc w:val="center"/>
            </w:pPr>
            <w:r>
              <w:rPr>
                <w:color w:val="000000"/>
                <w:kern w:val="0"/>
                <w:sz w:val="24"/>
                <w:szCs w:val="24"/>
              </w:rPr>
              <w:t>-0.77%</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4.00%</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5.20%</w:t>
            </w:r>
          </w:p>
        </w:tc>
        <w:tc>
          <w:tcPr>
            <w:vAlign w:val="center"/>
          </w:tcPr>
          <w:p>
            <w:pPr>
              <w:jc w:val="center"/>
            </w:pPr>
            <w:r>
              <w:rPr>
                <w:color w:val="000000"/>
                <w:kern w:val="0"/>
                <w:sz w:val="24"/>
                <w:szCs w:val="24"/>
              </w:rPr>
              <w:t>0.11%</w:t>
            </w:r>
          </w:p>
        </w:tc>
        <w:tc>
          <w:tcPr>
            <w:vAlign w:val="center"/>
          </w:tcPr>
          <w:p>
            <w:pPr>
              <w:jc w:val="center"/>
            </w:pPr>
            <w:r>
              <w:rPr>
                <w:color w:val="000000"/>
                <w:kern w:val="0"/>
                <w:sz w:val="24"/>
                <w:szCs w:val="24"/>
              </w:rPr>
              <w:t>-1.20%</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12.39%</w:t>
            </w:r>
          </w:p>
        </w:tc>
        <w:tc>
          <w:tcPr>
            <w:vAlign w:val="center"/>
          </w:tcPr>
          <w:p>
            <w:pPr>
              <w:jc w:val="center"/>
            </w:pPr>
            <w:r>
              <w:rPr>
                <w:color w:val="000000"/>
                <w:kern w:val="0"/>
                <w:sz w:val="24"/>
                <w:szCs w:val="24"/>
              </w:rPr>
              <w:t>0.10%</w:t>
            </w:r>
          </w:p>
        </w:tc>
        <w:tc>
          <w:tcPr>
            <w:vAlign w:val="center"/>
          </w:tcPr>
          <w:p>
            <w:pPr>
              <w:jc w:val="center"/>
            </w:pPr>
            <w:r>
              <w:rPr>
                <w:color w:val="000000"/>
                <w:kern w:val="0"/>
                <w:sz w:val="24"/>
                <w:szCs w:val="24"/>
              </w:rPr>
              <w:t>14.98%</w:t>
            </w:r>
          </w:p>
        </w:tc>
        <w:tc>
          <w:tcPr>
            <w:vAlign w:val="center"/>
          </w:tcPr>
          <w:p>
            <w:pPr>
              <w:jc w:val="center"/>
            </w:pPr>
            <w:r>
              <w:rPr>
                <w:color w:val="000000"/>
                <w:kern w:val="0"/>
                <w:sz w:val="24"/>
                <w:szCs w:val="24"/>
              </w:rPr>
              <w:t>0.09%</w:t>
            </w:r>
          </w:p>
        </w:tc>
        <w:tc>
          <w:tcPr>
            <w:vAlign w:val="center"/>
          </w:tcPr>
          <w:p>
            <w:pPr>
              <w:jc w:val="center"/>
            </w:pPr>
            <w:r>
              <w:rPr>
                <w:color w:val="000000"/>
                <w:kern w:val="0"/>
                <w:sz w:val="24"/>
                <w:szCs w:val="24"/>
              </w:rPr>
              <w:t>-2.59%</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19.70%</w:t>
            </w:r>
          </w:p>
        </w:tc>
        <w:tc>
          <w:tcPr>
            <w:vAlign w:val="center"/>
          </w:tcPr>
          <w:p>
            <w:pPr>
              <w:jc w:val="center"/>
            </w:pPr>
            <w:r>
              <w:rPr>
                <w:color w:val="000000"/>
                <w:kern w:val="0"/>
                <w:sz w:val="24"/>
                <w:szCs w:val="24"/>
              </w:rPr>
              <w:t>0.10%</w:t>
            </w:r>
          </w:p>
        </w:tc>
        <w:tc>
          <w:tcPr>
            <w:vAlign w:val="center"/>
          </w:tcPr>
          <w:p>
            <w:pPr>
              <w:jc w:val="center"/>
            </w:pPr>
            <w:r>
              <w:rPr>
                <w:color w:val="000000"/>
                <w:kern w:val="0"/>
                <w:sz w:val="24"/>
                <w:szCs w:val="24"/>
              </w:rPr>
              <w:t>20.28%</w:t>
            </w:r>
          </w:p>
        </w:tc>
        <w:tc>
          <w:tcPr>
            <w:vAlign w:val="center"/>
          </w:tcPr>
          <w:p>
            <w:pPr>
              <w:jc w:val="center"/>
            </w:pPr>
            <w:r>
              <w:rPr>
                <w:color w:val="000000"/>
                <w:kern w:val="0"/>
                <w:sz w:val="24"/>
                <w:szCs w:val="24"/>
              </w:rPr>
              <w:t>0.09%</w:t>
            </w:r>
          </w:p>
        </w:tc>
        <w:tc>
          <w:tcPr>
            <w:vAlign w:val="center"/>
          </w:tcPr>
          <w:p>
            <w:pPr>
              <w:jc w:val="center"/>
            </w:pPr>
            <w:r>
              <w:rPr>
                <w:color w:val="000000"/>
                <w:kern w:val="0"/>
                <w:sz w:val="24"/>
                <w:szCs w:val="24"/>
              </w:rPr>
              <w:t>-0.58%</w:t>
            </w:r>
          </w:p>
        </w:tc>
        <w:tc>
          <w:tcPr>
            <w:vAlign w:val="center"/>
          </w:tcPr>
          <w:p>
            <w:pPr>
              <w:jc w:val="center"/>
            </w:pPr>
            <w:r>
              <w:rPr>
                <w:color w:val="000000"/>
                <w:kern w:val="0"/>
                <w:sz w:val="24"/>
                <w:szCs w:val="24"/>
              </w:rPr>
              <w:t>0.01%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易方达中债3-5年期国债指数证券投资基金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2015年7月8日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注：自基金合同生效至报告期末，基金份额净值增长率为19.70%，同期业绩比较基准收益率为20.28%。</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胡剑</w:t>
            </w:r>
          </w:p>
        </w:tc>
        <w:tc>
          <w:tcPr>
            <w:vAlign w:val="center"/>
          </w:tcPr>
          <w:p>
            <w:pPr>
              <w:jc w:val="left"/>
            </w:pPr>
            <w:r>
              <w:rPr>
                <w:color w:val="000000"/>
                <w:sz w:val="24"/>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2017年03月24日至2020年06月08日）、易方达瑞富灵活配置混合型证券投资基金的基金经理、易方达3年封闭运作战略配售灵活配置混合型证券投资基金（LOF）的基金经理、易方达岁丰添利债券型证券投资基金的基金经理、易方达恒利3个月定期开放债券型发起式证券投资基金的基金经理、易方达恒益定期开放债券型发起式证券投资基金的基金经理、易方达恒盛3个月定期开放混合型发起式证券投资基金的基金经理、易方达富惠纯债债券型证券投资基金的基金经理、易方达中债7-10年期国开行债券指数证券投资基金的基金经理、固定收益研究部总经理、固定收益投资部总经理</w:t>
            </w:r>
          </w:p>
        </w:tc>
        <w:tc>
          <w:tcPr>
            <w:vAlign w:val="center"/>
          </w:tcPr>
          <w:p>
            <w:pPr>
              <w:jc w:val="center"/>
            </w:pPr>
            <w:r>
              <w:rPr>
                <w:color w:val="000000"/>
                <w:sz w:val="24"/>
              </w:rPr>
              <w:t>2020-03-10</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固定收益部债券研究员、基金经理助理、固定收益研究部负责人、固定收益总部总经理助理、易方达中债新综合债券指数发起式证券投资基金（LOF）基金经理、易方达纯债债券型证券投资基金基金经理、易方达永旭添利定期开放债券型证券投资基金基金经理、易方达纯债1年定期开放债券型证券投资基金基金经理、易方达裕景添利6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宏观经济总体来看边际企稳复苏，4月工业增加值同比增长3.9%，5月工业增加值同比增长4.4%，显示虽然经济回升的速度在放缓，但是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spacing w:line="360" w:lineRule="auto"/>
        <w:ind w:firstLine="480" w:firstLineChars="200"/>
        <w:rPr>
          <w:color w:val="000000"/>
          <w:sz w:val="24"/>
          <w:szCs w:val="24"/>
        </w:rPr>
      </w:pPr>
      <w:r>
        <w:rPr>
          <w:color w:val="000000"/>
          <w:sz w:val="24"/>
          <w:szCs w:val="24"/>
        </w:rPr>
        <w:t>债券市场在二季度收益率先下后上，整体波动较大。季度初，海内外疫情影响仍在持续，市场风险偏好仍处于相对低位。清明节期间央行实行定向降准、下调超额准备金利率等操作，资金面整体非常宽松，长端收益率震荡下行。但到5月上旬，货币政策进一步宽松不及预期叠加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报告期内，本基金操作上以抽样复制的方式跟踪指数为主。组合跑输业绩基准主要是由于成分券流动性较弱、抽样复制产生的偏差，以及部分费率因素。</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截至报告期末，本基金份额净值为1.197元，本报告期份额净值增长率为-0.58%，同期业绩比较基准收益率为-0.14%。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108,462,400.00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97.42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108,462,400.00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97.42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1,474,522.46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1.32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1,397,487.82</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111,334,410.28</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102,433,000.00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104.86</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6,029,400.00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6.17</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6,029,400.00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6.17</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108,462,400.00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111.03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190004</w:t>
            </w:r>
          </w:p>
        </w:tc>
        <w:tc>
          <w:tcPr>
            <w:vAlign w:val="center"/>
          </w:tcPr>
          <w:p>
            <w:pPr>
              <w:jc w:val="center"/>
            </w:pPr>
            <w:r>
              <w:rPr>
                <w:color w:val="000000"/>
                <w:kern w:val="0"/>
                <w:sz w:val="24"/>
                <w:szCs w:val="24"/>
              </w:rPr>
              <w:t>19附息国债04</w:t>
            </w:r>
          </w:p>
        </w:tc>
        <w:tc>
          <w:tcPr>
            <w:vAlign w:val="center"/>
          </w:tcPr>
          <w:p>
            <w:pPr>
              <w:jc w:val="right"/>
            </w:pPr>
            <w:r>
              <w:rPr>
                <w:color w:val="000000"/>
                <w:kern w:val="0"/>
                <w:sz w:val="24"/>
                <w:szCs w:val="24"/>
              </w:rPr>
              <w:t>600,000</w:t>
            </w:r>
          </w:p>
        </w:tc>
        <w:tc>
          <w:tcPr>
            <w:vAlign w:val="center"/>
          </w:tcPr>
          <w:p>
            <w:pPr>
              <w:jc w:val="right"/>
            </w:pPr>
            <w:r>
              <w:rPr>
                <w:color w:val="000000"/>
                <w:kern w:val="0"/>
                <w:sz w:val="24"/>
                <w:szCs w:val="24"/>
              </w:rPr>
              <w:t>61,482,000.00</w:t>
            </w:r>
          </w:p>
        </w:tc>
        <w:tc>
          <w:tcPr>
            <w:vAlign w:val="center"/>
          </w:tcPr>
          <w:p>
            <w:pPr>
              <w:jc w:val="right"/>
            </w:pPr>
            <w:r>
              <w:rPr>
                <w:color w:val="000000"/>
                <w:kern w:val="0"/>
                <w:sz w:val="24"/>
                <w:szCs w:val="24"/>
              </w:rPr>
              <w:t>62.94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180023</w:t>
            </w:r>
          </w:p>
        </w:tc>
        <w:tc>
          <w:tcPr>
            <w:vAlign w:val="center"/>
          </w:tcPr>
          <w:p>
            <w:pPr>
              <w:jc w:val="center"/>
            </w:pPr>
            <w:r>
              <w:rPr>
                <w:color w:val="000000"/>
                <w:kern w:val="0"/>
                <w:sz w:val="24"/>
                <w:szCs w:val="24"/>
              </w:rPr>
              <w:t>18附息国债23</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30,768,000.00</w:t>
            </w:r>
          </w:p>
        </w:tc>
        <w:tc>
          <w:tcPr>
            <w:vAlign w:val="center"/>
          </w:tcPr>
          <w:p>
            <w:pPr>
              <w:jc w:val="right"/>
            </w:pPr>
            <w:r>
              <w:rPr>
                <w:color w:val="000000"/>
                <w:kern w:val="0"/>
                <w:sz w:val="24"/>
                <w:szCs w:val="24"/>
              </w:rPr>
              <w:t>31.50</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190013</w:t>
            </w:r>
          </w:p>
        </w:tc>
        <w:tc>
          <w:tcPr>
            <w:vAlign w:val="center"/>
          </w:tcPr>
          <w:p>
            <w:pPr>
              <w:jc w:val="center"/>
            </w:pPr>
            <w:r>
              <w:rPr>
                <w:color w:val="000000"/>
                <w:kern w:val="0"/>
                <w:sz w:val="24"/>
                <w:szCs w:val="24"/>
              </w:rPr>
              <w:t>19附息国债13</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10,183,000.00</w:t>
            </w:r>
          </w:p>
        </w:tc>
        <w:tc>
          <w:tcPr>
            <w:vAlign w:val="center"/>
          </w:tcPr>
          <w:p>
            <w:pPr>
              <w:jc w:val="right"/>
            </w:pPr>
            <w:r>
              <w:rPr>
                <w:color w:val="000000"/>
                <w:kern w:val="0"/>
                <w:sz w:val="24"/>
                <w:szCs w:val="24"/>
              </w:rPr>
              <w:t>10.42</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160206</w:t>
            </w:r>
          </w:p>
        </w:tc>
        <w:tc>
          <w:tcPr>
            <w:vAlign w:val="center"/>
          </w:tcPr>
          <w:p>
            <w:pPr>
              <w:jc w:val="center"/>
            </w:pPr>
            <w:r>
              <w:rPr>
                <w:color w:val="000000"/>
                <w:kern w:val="0"/>
                <w:sz w:val="24"/>
                <w:szCs w:val="24"/>
              </w:rPr>
              <w:t>16国开06</w:t>
            </w:r>
          </w:p>
        </w:tc>
        <w:tc>
          <w:tcPr>
            <w:vAlign w:val="center"/>
          </w:tcPr>
          <w:p>
            <w:pPr>
              <w:jc w:val="right"/>
            </w:pPr>
            <w:r>
              <w:rPr>
                <w:color w:val="000000"/>
                <w:kern w:val="0"/>
                <w:sz w:val="24"/>
                <w:szCs w:val="24"/>
              </w:rPr>
              <w:t>60,000</w:t>
            </w:r>
          </w:p>
        </w:tc>
        <w:tc>
          <w:tcPr>
            <w:vAlign w:val="center"/>
          </w:tcPr>
          <w:p>
            <w:pPr>
              <w:jc w:val="right"/>
            </w:pPr>
            <w:r>
              <w:rPr>
                <w:color w:val="000000"/>
                <w:kern w:val="0"/>
                <w:sz w:val="24"/>
                <w:szCs w:val="24"/>
              </w:rPr>
              <w:t>6,029,400.00</w:t>
            </w:r>
          </w:p>
        </w:tc>
        <w:tc>
          <w:tcPr>
            <w:vAlign w:val="center"/>
          </w:tcPr>
          <w:p>
            <w:pPr>
              <w:jc w:val="right"/>
            </w:pPr>
            <w:r>
              <w:rPr>
                <w:color w:val="000000"/>
                <w:kern w:val="0"/>
                <w:sz w:val="24"/>
                <w:szCs w:val="24"/>
              </w:rPr>
              <w:t>6.17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3,002.41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1,391,428.41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3,057.00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1,397,487.82</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87,664,452.79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8,940,617.84</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15,008,812.08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81,596,258.55</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3B5535">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56,337,089.20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56,337,089.20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69.0437</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56,337,089.20</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56,337,089.20</w:t>
            </w:r>
          </w:p>
        </w:tc>
        <w:tc>
          <w:tcPr>
            <w:vAlign w:val="center"/>
          </w:tcPr>
          <w:p>
            <w:pPr>
              <w:jc w:val="center"/>
            </w:pPr>
            <w:r>
              <w:rPr>
                <w:sz w:val="24"/>
                <w:szCs w:val="24"/>
              </w:rPr>
              <w:t>69.04%</w:t>
            </w:r>
          </w:p>
        </w:tc>
      </w:tr>
      <w:tr>
        <w:tc>
          <w:tcPr>
            <w:vMerge/>
          </w:tcPr>
          <w:p/>
        </w:tc>
        <w:tc>
          <w:tcPr>
            <w:vAlign w:val="center"/>
          </w:tcPr>
          <w:p>
            <w:pPr>
              <w:jc w:val="center"/>
            </w:pPr>
            <w:r>
              <w:rPr>
                <w:sz w:val="24"/>
                <w:szCs w:val="24"/>
              </w:rPr>
              <w:t>2</w:t>
            </w:r>
          </w:p>
        </w:tc>
        <w:tc>
          <w:tcPr>
            <w:vAlign w:val="center"/>
          </w:tcPr>
          <w:p>
            <w:pPr>
              <w:jc w:val="center"/>
            </w:pPr>
            <w:r>
              <w:rPr>
                <w:sz w:val="24"/>
                <w:szCs w:val="24"/>
              </w:rPr>
              <w:t>2020年04月01日~2020年06月30日</w:t>
            </w:r>
          </w:p>
        </w:tc>
        <w:tc>
          <w:tcPr>
            <w:vAlign w:val="center"/>
          </w:tcPr>
          <w:p>
            <w:pPr>
              <w:jc w:val="center"/>
            </w:pPr>
            <w:r>
              <w:rPr>
                <w:sz w:val="24"/>
                <w:szCs w:val="24"/>
              </w:rPr>
              <w:t>30,225,417.84</w:t>
            </w:r>
          </w:p>
        </w:tc>
        <w:tc>
          <w:tcPr>
            <w:vAlign w:val="center"/>
          </w:tcPr>
          <w:p>
            <w:pPr>
              <w:jc w:val="center"/>
            </w:pPr>
            <w:r>
              <w:rPr>
                <w:sz w:val="24"/>
                <w:szCs w:val="24"/>
              </w:rPr>
              <w:t>-</w:t>
            </w:r>
          </w:p>
        </w:tc>
        <w:tc>
          <w:tcPr>
            <w:vAlign w:val="center"/>
          </w:tcPr>
          <w:p>
            <w:pPr>
              <w:jc w:val="center"/>
            </w:pPr>
            <w:r>
              <w:rPr>
                <w:sz w:val="24"/>
                <w:szCs w:val="24"/>
              </w:rPr>
              <w:t>7,358,000.00</w:t>
            </w:r>
          </w:p>
        </w:tc>
        <w:tc>
          <w:tcPr>
            <w:vAlign w:val="center"/>
          </w:tcPr>
          <w:p>
            <w:pPr>
              <w:jc w:val="center"/>
            </w:pPr>
            <w:r>
              <w:rPr>
                <w:sz w:val="24"/>
                <w:szCs w:val="24"/>
              </w:rPr>
              <w:t>22,867,417.84</w:t>
            </w:r>
          </w:p>
        </w:tc>
        <w:tc>
          <w:tcPr>
            <w:vAlign w:val="center"/>
          </w:tcPr>
          <w:p>
            <w:pPr>
              <w:jc w:val="center"/>
            </w:pPr>
            <w:r>
              <w:rPr>
                <w:sz w:val="24"/>
                <w:szCs w:val="24"/>
              </w:rPr>
              <w:t>28.03%</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1.中国证监会准予易方达中债3-5年期国债指数证券投资基金注册的文件；</w:t>
      </w:r>
    </w:p>
    <w:p>
      <w:pPr>
        <w:spacing w:line="360" w:lineRule="auto"/>
        <w:ind w:firstLine="480" w:firstLineChars="200"/>
        <w:rPr>
          <w:color w:val="000000"/>
          <w:sz w:val="24"/>
          <w:szCs w:val="24"/>
        </w:rPr>
      </w:pPr>
      <w:r>
        <w:rPr>
          <w:color w:val="000000"/>
          <w:sz w:val="24"/>
          <w:szCs w:val="24"/>
        </w:rPr>
        <w:t>2.《易方达中债3-5年期国债指数证券投资基金基金合同》；</w:t>
      </w:r>
    </w:p>
    <w:p>
      <w:pPr>
        <w:spacing w:line="360" w:lineRule="auto"/>
        <w:ind w:firstLine="480" w:firstLineChars="200"/>
        <w:rPr>
          <w:color w:val="000000"/>
          <w:sz w:val="24"/>
          <w:szCs w:val="24"/>
        </w:rPr>
      </w:pPr>
      <w:r>
        <w:rPr>
          <w:color w:val="000000"/>
          <w:sz w:val="24"/>
          <w:szCs w:val="24"/>
        </w:rPr>
        <w:t>3.《易方达中债3-5年期国债指数证券投资基金托管协议》；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易方达中债3-5年期国债指数证券投资基金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