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易方达国防军工混合型证券投资基金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中国建设银行股份有限公司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易方达国防军工混合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001475</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001475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2015年6月19日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3,332,482,829.38</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本基金在严格控制风险的前提下，追求超越业绩比较基准的投资回报。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将基于定量与定性相结合的宏观及市场分析，确定组合中股票、债券、货币市场工具及其他金融工具的比例。在股票投资方面，本基金将根据对国防军工行业各细分子行业（主要包括航空、航天、兵器、船舶、信息安全等）的综合分析，确定各细分子行业的资产配置比例。在各细分子行业中，本基金将选择具有较强竞争优势且估值具有吸引力的上市公司进行投资。当各细分子行业与上市公司的基本面、股票的估值水平出现较大变化时，本基金将对股票组合适时进行调整。在债券投资方面，本基金将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申万国防军工指数收益率×70%+一年期人民币定期存款利率（税后）×30%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本基金为混合基金，理论上其预期风险与预期收益水平低于股票基金，高于债券基金和货币市场基金。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中国建设银行股份有限公司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197,529,157.22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610,893,573.07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0.1808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3,221,592,263.04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0.967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23.18%</w:t>
            </w:r>
          </w:p>
        </w:tc>
        <w:tc>
          <w:tcPr>
            <w:vAlign w:val="center"/>
          </w:tcPr>
          <w:p>
            <w:pPr>
              <w:jc w:val="center"/>
            </w:pPr>
            <w:r>
              <w:rPr>
                <w:color w:val="000000"/>
                <w:kern w:val="0"/>
                <w:sz w:val="24"/>
                <w:szCs w:val="24"/>
              </w:rPr>
              <w:t>1.23%</w:t>
            </w:r>
          </w:p>
        </w:tc>
        <w:tc>
          <w:tcPr>
            <w:vAlign w:val="center"/>
          </w:tcPr>
          <w:p>
            <w:pPr>
              <w:jc w:val="center"/>
            </w:pPr>
            <w:r>
              <w:rPr>
                <w:color w:val="000000"/>
                <w:kern w:val="0"/>
                <w:sz w:val="24"/>
                <w:szCs w:val="24"/>
              </w:rPr>
              <w:t>7.84%</w:t>
            </w:r>
          </w:p>
        </w:tc>
        <w:tc>
          <w:tcPr>
            <w:vAlign w:val="center"/>
          </w:tcPr>
          <w:p>
            <w:pPr>
              <w:jc w:val="center"/>
            </w:pPr>
            <w:r>
              <w:rPr>
                <w:color w:val="000000"/>
                <w:kern w:val="0"/>
                <w:sz w:val="24"/>
                <w:szCs w:val="24"/>
              </w:rPr>
              <w:t>0.93%</w:t>
            </w:r>
          </w:p>
        </w:tc>
        <w:tc>
          <w:tcPr>
            <w:vAlign w:val="center"/>
          </w:tcPr>
          <w:p>
            <w:pPr>
              <w:jc w:val="center"/>
            </w:pPr>
            <w:r>
              <w:rPr>
                <w:color w:val="000000"/>
                <w:kern w:val="0"/>
                <w:sz w:val="24"/>
                <w:szCs w:val="24"/>
              </w:rPr>
              <w:t>15.34%</w:t>
            </w:r>
          </w:p>
        </w:tc>
        <w:tc>
          <w:tcPr>
            <w:vAlign w:val="center"/>
          </w:tcPr>
          <w:p>
            <w:pPr>
              <w:jc w:val="center"/>
            </w:pPr>
            <w:r>
              <w:rPr>
                <w:color w:val="000000"/>
                <w:kern w:val="0"/>
                <w:sz w:val="24"/>
                <w:szCs w:val="24"/>
              </w:rPr>
              <w:t>0.30%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19.68%</w:t>
            </w:r>
          </w:p>
        </w:tc>
        <w:tc>
          <w:tcPr>
            <w:vAlign w:val="center"/>
          </w:tcPr>
          <w:p>
            <w:pPr>
              <w:jc w:val="center"/>
            </w:pPr>
            <w:r>
              <w:rPr>
                <w:color w:val="000000"/>
                <w:kern w:val="0"/>
                <w:sz w:val="24"/>
                <w:szCs w:val="24"/>
              </w:rPr>
              <w:t>1.88%</w:t>
            </w:r>
          </w:p>
        </w:tc>
        <w:tc>
          <w:tcPr>
            <w:vAlign w:val="center"/>
          </w:tcPr>
          <w:p>
            <w:pPr>
              <w:jc w:val="center"/>
            </w:pPr>
            <w:r>
              <w:rPr>
                <w:color w:val="000000"/>
                <w:kern w:val="0"/>
                <w:sz w:val="24"/>
                <w:szCs w:val="24"/>
              </w:rPr>
              <w:t>4.81%</w:t>
            </w:r>
          </w:p>
        </w:tc>
        <w:tc>
          <w:tcPr>
            <w:vAlign w:val="center"/>
          </w:tcPr>
          <w:p>
            <w:pPr>
              <w:jc w:val="center"/>
            </w:pPr>
            <w:r>
              <w:rPr>
                <w:color w:val="000000"/>
                <w:kern w:val="0"/>
                <w:sz w:val="24"/>
                <w:szCs w:val="24"/>
              </w:rPr>
              <w:t>1.46%</w:t>
            </w:r>
          </w:p>
        </w:tc>
        <w:tc>
          <w:tcPr>
            <w:vAlign w:val="center"/>
          </w:tcPr>
          <w:p>
            <w:pPr>
              <w:jc w:val="center"/>
            </w:pPr>
            <w:r>
              <w:rPr>
                <w:color w:val="000000"/>
                <w:kern w:val="0"/>
                <w:sz w:val="24"/>
                <w:szCs w:val="24"/>
              </w:rPr>
              <w:t>14.87%</w:t>
            </w:r>
          </w:p>
        </w:tc>
        <w:tc>
          <w:tcPr>
            <w:vAlign w:val="center"/>
          </w:tcPr>
          <w:p>
            <w:pPr>
              <w:jc w:val="center"/>
            </w:pPr>
            <w:r>
              <w:rPr>
                <w:color w:val="000000"/>
                <w:kern w:val="0"/>
                <w:sz w:val="24"/>
                <w:szCs w:val="24"/>
              </w:rPr>
              <w:t>0.42%</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33.93%</w:t>
            </w:r>
          </w:p>
        </w:tc>
        <w:tc>
          <w:tcPr>
            <w:vAlign w:val="center"/>
          </w:tcPr>
          <w:p>
            <w:pPr>
              <w:jc w:val="center"/>
            </w:pPr>
            <w:r>
              <w:rPr>
                <w:color w:val="000000"/>
                <w:kern w:val="0"/>
                <w:sz w:val="24"/>
                <w:szCs w:val="24"/>
              </w:rPr>
              <w:t>1.54%</w:t>
            </w:r>
          </w:p>
        </w:tc>
        <w:tc>
          <w:tcPr>
            <w:vAlign w:val="center"/>
          </w:tcPr>
          <w:p>
            <w:pPr>
              <w:jc w:val="center"/>
            </w:pPr>
            <w:r>
              <w:rPr>
                <w:color w:val="000000"/>
                <w:kern w:val="0"/>
                <w:sz w:val="24"/>
                <w:szCs w:val="24"/>
              </w:rPr>
              <w:t>6.05%</w:t>
            </w:r>
          </w:p>
        </w:tc>
        <w:tc>
          <w:tcPr>
            <w:vAlign w:val="center"/>
          </w:tcPr>
          <w:p>
            <w:pPr>
              <w:jc w:val="center"/>
            </w:pPr>
            <w:r>
              <w:rPr>
                <w:color w:val="000000"/>
                <w:kern w:val="0"/>
                <w:sz w:val="24"/>
                <w:szCs w:val="24"/>
              </w:rPr>
              <w:t>1.22%</w:t>
            </w:r>
          </w:p>
        </w:tc>
        <w:tc>
          <w:tcPr>
            <w:vAlign w:val="center"/>
          </w:tcPr>
          <w:p>
            <w:pPr>
              <w:jc w:val="center"/>
            </w:pPr>
            <w:r>
              <w:rPr>
                <w:color w:val="000000"/>
                <w:kern w:val="0"/>
                <w:sz w:val="24"/>
                <w:szCs w:val="24"/>
              </w:rPr>
              <w:t>27.88%</w:t>
            </w:r>
          </w:p>
        </w:tc>
        <w:tc>
          <w:tcPr>
            <w:vAlign w:val="center"/>
          </w:tcPr>
          <w:p>
            <w:pPr>
              <w:jc w:val="center"/>
            </w:pPr>
            <w:r>
              <w:rPr>
                <w:color w:val="000000"/>
                <w:kern w:val="0"/>
                <w:sz w:val="24"/>
                <w:szCs w:val="24"/>
              </w:rPr>
              <w:t>0.32%</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12.70%</w:t>
            </w:r>
          </w:p>
        </w:tc>
        <w:tc>
          <w:tcPr>
            <w:vAlign w:val="center"/>
          </w:tcPr>
          <w:p>
            <w:pPr>
              <w:jc w:val="center"/>
            </w:pPr>
            <w:r>
              <w:rPr>
                <w:color w:val="000000"/>
                <w:kern w:val="0"/>
                <w:sz w:val="24"/>
                <w:szCs w:val="24"/>
              </w:rPr>
              <w:t>1.55%</w:t>
            </w:r>
          </w:p>
        </w:tc>
        <w:tc>
          <w:tcPr>
            <w:vAlign w:val="center"/>
          </w:tcPr>
          <w:p>
            <w:pPr>
              <w:jc w:val="center"/>
            </w:pPr>
            <w:r>
              <w:rPr>
                <w:color w:val="000000"/>
                <w:kern w:val="0"/>
                <w:sz w:val="24"/>
                <w:szCs w:val="24"/>
              </w:rPr>
              <w:t>-6.11%</w:t>
            </w:r>
          </w:p>
        </w:tc>
        <w:tc>
          <w:tcPr>
            <w:vAlign w:val="center"/>
          </w:tcPr>
          <w:p>
            <w:pPr>
              <w:jc w:val="center"/>
            </w:pPr>
            <w:r>
              <w:rPr>
                <w:color w:val="000000"/>
                <w:kern w:val="0"/>
                <w:sz w:val="24"/>
                <w:szCs w:val="24"/>
              </w:rPr>
              <w:t>1.24%</w:t>
            </w:r>
          </w:p>
        </w:tc>
        <w:tc>
          <w:tcPr>
            <w:vAlign w:val="center"/>
          </w:tcPr>
          <w:p>
            <w:pPr>
              <w:jc w:val="center"/>
            </w:pPr>
            <w:r>
              <w:rPr>
                <w:color w:val="000000"/>
                <w:kern w:val="0"/>
                <w:sz w:val="24"/>
                <w:szCs w:val="24"/>
              </w:rPr>
              <w:t>18.81%</w:t>
            </w:r>
          </w:p>
        </w:tc>
        <w:tc>
          <w:tcPr>
            <w:vAlign w:val="center"/>
          </w:tcPr>
          <w:p>
            <w:pPr>
              <w:jc w:val="center"/>
            </w:pPr>
            <w:r>
              <w:rPr>
                <w:color w:val="000000"/>
                <w:kern w:val="0"/>
                <w:sz w:val="24"/>
                <w:szCs w:val="24"/>
              </w:rPr>
              <w:t>0.31%</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-2.13%</w:t>
            </w:r>
          </w:p>
        </w:tc>
        <w:tc>
          <w:tcPr>
            <w:vAlign w:val="center"/>
          </w:tcPr>
          <w:p>
            <w:pPr>
              <w:jc w:val="center"/>
            </w:pPr>
            <w:r>
              <w:rPr>
                <w:color w:val="000000"/>
                <w:kern w:val="0"/>
                <w:sz w:val="24"/>
                <w:szCs w:val="24"/>
              </w:rPr>
              <w:t>1.69%</w:t>
            </w:r>
          </w:p>
        </w:tc>
        <w:tc>
          <w:tcPr>
            <w:vAlign w:val="center"/>
          </w:tcPr>
          <w:p>
            <w:pPr>
              <w:jc w:val="center"/>
            </w:pPr>
            <w:r>
              <w:rPr>
                <w:color w:val="000000"/>
                <w:kern w:val="0"/>
                <w:sz w:val="24"/>
                <w:szCs w:val="24"/>
              </w:rPr>
              <w:t>-36.03%</w:t>
            </w:r>
          </w:p>
        </w:tc>
        <w:tc>
          <w:tcPr>
            <w:vAlign w:val="center"/>
          </w:tcPr>
          <w:p>
            <w:pPr>
              <w:jc w:val="center"/>
            </w:pPr>
            <w:r>
              <w:rPr>
                <w:color w:val="000000"/>
                <w:kern w:val="0"/>
                <w:sz w:val="24"/>
                <w:szCs w:val="24"/>
              </w:rPr>
              <w:t>1.61%</w:t>
            </w:r>
          </w:p>
        </w:tc>
        <w:tc>
          <w:tcPr>
            <w:vAlign w:val="center"/>
          </w:tcPr>
          <w:p>
            <w:pPr>
              <w:jc w:val="center"/>
            </w:pPr>
            <w:r>
              <w:rPr>
                <w:color w:val="000000"/>
                <w:kern w:val="0"/>
                <w:sz w:val="24"/>
                <w:szCs w:val="24"/>
              </w:rPr>
              <w:t>33.90%</w:t>
            </w:r>
          </w:p>
        </w:tc>
        <w:tc>
          <w:tcPr>
            <w:vAlign w:val="center"/>
          </w:tcPr>
          <w:p>
            <w:pPr>
              <w:jc w:val="center"/>
            </w:pPr>
            <w:r>
              <w:rPr>
                <w:color w:val="000000"/>
                <w:kern w:val="0"/>
                <w:sz w:val="24"/>
                <w:szCs w:val="24"/>
              </w:rPr>
              <w:t>0.08%</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-3.30%</w:t>
            </w:r>
          </w:p>
        </w:tc>
        <w:tc>
          <w:tcPr>
            <w:vAlign w:val="center"/>
          </w:tcPr>
          <w:p>
            <w:pPr>
              <w:jc w:val="center"/>
            </w:pPr>
            <w:r>
              <w:rPr>
                <w:color w:val="000000"/>
                <w:kern w:val="0"/>
                <w:sz w:val="24"/>
                <w:szCs w:val="24"/>
              </w:rPr>
              <w:t>1.69%</w:t>
            </w:r>
          </w:p>
        </w:tc>
        <w:tc>
          <w:tcPr>
            <w:vAlign w:val="center"/>
          </w:tcPr>
          <w:p>
            <w:pPr>
              <w:jc w:val="center"/>
            </w:pPr>
            <w:r>
              <w:rPr>
                <w:color w:val="000000"/>
                <w:kern w:val="0"/>
                <w:sz w:val="24"/>
                <w:szCs w:val="24"/>
              </w:rPr>
              <w:t>-41.00%</w:t>
            </w:r>
          </w:p>
        </w:tc>
        <w:tc>
          <w:tcPr>
            <w:vAlign w:val="center"/>
          </w:tcPr>
          <w:p>
            <w:pPr>
              <w:jc w:val="center"/>
            </w:pPr>
            <w:r>
              <w:rPr>
                <w:color w:val="000000"/>
                <w:kern w:val="0"/>
                <w:sz w:val="24"/>
                <w:szCs w:val="24"/>
              </w:rPr>
              <w:t>1.64%</w:t>
            </w:r>
          </w:p>
        </w:tc>
        <w:tc>
          <w:tcPr>
            <w:vAlign w:val="center"/>
          </w:tcPr>
          <w:p>
            <w:pPr>
              <w:jc w:val="center"/>
            </w:pPr>
            <w:r>
              <w:rPr>
                <w:color w:val="000000"/>
                <w:kern w:val="0"/>
                <w:sz w:val="24"/>
                <w:szCs w:val="24"/>
              </w:rPr>
              <w:t>37.70%</w:t>
            </w:r>
          </w:p>
        </w:tc>
        <w:tc>
          <w:tcPr>
            <w:vAlign w:val="center"/>
          </w:tcPr>
          <w:p>
            <w:pPr>
              <w:jc w:val="center"/>
            </w:pPr>
            <w:r>
              <w:rPr>
                <w:color w:val="000000"/>
                <w:kern w:val="0"/>
                <w:sz w:val="24"/>
                <w:szCs w:val="24"/>
              </w:rPr>
              <w:t>0.05%</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易方达国防军工混合型证券投资基金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2015年6月19日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注：自基金合同生效至报告期末，基金份额净值增长率为-3.30%，同期业绩比较基准收益率为-41.00%。</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陈皓</w:t>
            </w:r>
          </w:p>
        </w:tc>
        <w:tc>
          <w:tcPr>
            <w:vAlign w:val="center"/>
          </w:tcPr>
          <w:p>
            <w:pPr>
              <w:jc w:val="left"/>
            </w:pPr>
            <w:r>
              <w:rPr>
                <w:color w:val="000000"/>
                <w:sz w:val="24"/>
              </w:rPr>
              <w:t>本基金的基金经理、易方达平稳增长证券投资基金的基金经理、易方达科翔混合型证券投资基金的基金经理、易方达新经济灵活配置混合型证券投资基金的基金经理、易方达科讯混合型证券投资基金的基金经理、易方达科融混合型证券投资基金的基金经理、易方达均衡成长股票型证券投资基金的基金经理、投资一部总经理</w:t>
            </w:r>
          </w:p>
        </w:tc>
        <w:tc>
          <w:tcPr>
            <w:vAlign w:val="center"/>
          </w:tcPr>
          <w:p>
            <w:pPr>
              <w:jc w:val="center"/>
            </w:pPr>
            <w:r>
              <w:rPr>
                <w:color w:val="000000"/>
                <w:sz w:val="24"/>
              </w:rPr>
              <w:t>2015-06-19</w:t>
            </w:r>
          </w:p>
        </w:tc>
        <w:tc>
          <w:tcPr>
            <w:vAlign w:val="center"/>
          </w:tcPr>
          <w:p>
            <w:pPr>
              <w:jc w:val="center"/>
            </w:pPr>
            <w:r>
              <w:rPr>
                <w:color w:val="000000"/>
                <w:sz w:val="24"/>
              </w:rPr>
              <w:t>2020-06-06</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易方达基金管理有限公司行业研究员、基金经理助理、基金投资部基金经理助理、投资一部总经理助理、投资一部副总经理、投资经理、易方达价值精选混合型证券投资基金基金经理、易方达供给改革灵活配置混合型证券投资基金基金经理。</w:t>
            </w:r>
          </w:p>
        </w:tc>
      </w:tr>
      <w:tr>
        <w:tc>
          <w:tcPr>
            <w:vAlign w:val="center"/>
          </w:tcPr>
          <w:p>
            <w:pPr>
              <w:jc w:val="center"/>
            </w:pPr>
            <w:r>
              <w:rPr>
                <w:color w:val="000000"/>
                <w:sz w:val="24"/>
              </w:rPr>
              <w:t>何崇恺</w:t>
            </w:r>
          </w:p>
        </w:tc>
        <w:tc>
          <w:tcPr>
            <w:vAlign w:val="center"/>
          </w:tcPr>
          <w:p>
            <w:pPr>
              <w:jc w:val="left"/>
            </w:pPr>
            <w:r>
              <w:rPr>
                <w:color w:val="000000"/>
                <w:sz w:val="24"/>
              </w:rPr>
              <w:t>本基金的基金经理、行业研究员</w:t>
            </w:r>
          </w:p>
        </w:tc>
        <w:tc>
          <w:tcPr>
            <w:vAlign w:val="center"/>
          </w:tcPr>
          <w:p>
            <w:pPr>
              <w:jc w:val="center"/>
            </w:pPr>
            <w:r>
              <w:rPr>
                <w:color w:val="000000"/>
                <w:sz w:val="24"/>
              </w:rPr>
              <w:t>2019-11-28</w:t>
            </w:r>
          </w:p>
        </w:tc>
        <w:tc>
          <w:tcPr>
            <w:vAlign w:val="center"/>
          </w:tcPr>
          <w:p>
            <w:pPr>
              <w:jc w:val="center"/>
            </w:pPr>
            <w:r>
              <w:rPr>
                <w:color w:val="000000"/>
                <w:sz w:val="24"/>
              </w:rPr>
              <w:t>-</w:t>
            </w:r>
          </w:p>
        </w:tc>
        <w:tc>
          <w:tcPr>
            <w:vAlign w:val="center"/>
          </w:tcPr>
          <w:p>
            <w:pPr>
              <w:jc w:val="center"/>
            </w:pPr>
            <w:r>
              <w:rPr>
                <w:color w:val="000000"/>
                <w:sz w:val="24"/>
              </w:rPr>
              <w:t>5年</w:t>
            </w:r>
          </w:p>
        </w:tc>
        <w:tc>
          <w:tcPr>
            <w:vAlign w:val="center"/>
          </w:tcPr>
          <w:p>
            <w:pPr>
              <w:jc w:val="both"/>
            </w:pPr>
            <w:r>
              <w:rPr>
                <w:color w:val="000000"/>
                <w:sz w:val="24"/>
              </w:rPr>
              <w:t>硕士研究生，具有基金从业资格。</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二季度市场逐步摆脱新冠疫情影响，整体呈现上涨态势。上证指数上涨8.52%，沪深300指数上涨12.96%；同期中证军工指数上涨11.16%，表现好于上证指数。报告期内军工复合材料、元器件、信息化、航空制造等产业链标的相对表现较好，船舶产业链表现相对落后。</w:t>
      </w:r>
    </w:p>
    <w:p>
      <w:pPr>
        <w:spacing w:line="360" w:lineRule="auto"/>
        <w:ind w:firstLine="480" w:firstLineChars="200"/>
        <w:rPr>
          <w:color w:val="000000"/>
          <w:sz w:val="24"/>
          <w:szCs w:val="24"/>
        </w:rPr>
      </w:pPr>
      <w:r>
        <w:rPr>
          <w:color w:val="000000"/>
          <w:sz w:val="24"/>
          <w:szCs w:val="24"/>
        </w:rPr>
        <w:t>二季度，本基金采取了比较积极的投资策略，维持较高股票仓位运作。首先，本基金对优质军工白马股继续加强配置，该类股票成长性相对确定，在当前位置相较于其他高估值板块有较强优势；其次，本基金适当增配了部分业绩增速较快且估值吸引力较大的细分领域成长股，以机制灵活、竞争力较强的民营企业为主。</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军工板块业绩核心受到军费增长的驱动，与宏观经济短期波动相关性较小。疫情影响减弱后，军工领域经营生产活动有望迎来较好的恢复，同时目前军工板块整体估值处于历史偏低位置。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截至报告期末，本基金份额净值为0.967元，本报告期份额净值增长率为23.18%，同期业绩比较基准收益率为7.84%。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3,020,013,647.91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91.92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3,020,013,647.91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91.92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255,080,351.44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7.76</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10,295,004.10</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0.31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3,285,389,003.45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2,783,854,388.92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86.41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172,201,061.67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5.35</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63,945,431.00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1.98</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3,020,013,647.91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93.74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600760</w:t>
            </w:r>
          </w:p>
        </w:tc>
        <w:tc>
          <w:tcPr>
            <w:vAlign w:val="center"/>
          </w:tcPr>
          <w:p>
            <w:pPr>
              <w:jc w:val="center"/>
            </w:pPr>
            <w:r>
              <w:rPr>
                <w:color w:val="000000"/>
                <w:kern w:val="0"/>
                <w:sz w:val="24"/>
                <w:szCs w:val="24"/>
              </w:rPr>
              <w:t>中航沈飞</w:t>
            </w:r>
          </w:p>
        </w:tc>
        <w:tc>
          <w:tcPr>
            <w:vAlign w:val="center"/>
          </w:tcPr>
          <w:p>
            <w:pPr>
              <w:jc w:val="right"/>
            </w:pPr>
            <w:r>
              <w:rPr>
                <w:color w:val="000000"/>
                <w:kern w:val="0"/>
                <w:sz w:val="24"/>
                <w:szCs w:val="24"/>
              </w:rPr>
              <w:t>9,174,098</w:t>
            </w:r>
          </w:p>
        </w:tc>
        <w:tc>
          <w:tcPr>
            <w:vAlign w:val="center"/>
          </w:tcPr>
          <w:p>
            <w:pPr>
              <w:jc w:val="right"/>
            </w:pPr>
            <w:r>
              <w:rPr>
                <w:color w:val="000000"/>
                <w:kern w:val="0"/>
                <w:sz w:val="24"/>
                <w:szCs w:val="24"/>
              </w:rPr>
              <w:t>301,093,896.36</w:t>
            </w:r>
          </w:p>
        </w:tc>
        <w:tc>
          <w:tcPr>
            <w:vAlign w:val="center"/>
          </w:tcPr>
          <w:p>
            <w:pPr>
              <w:jc w:val="right"/>
            </w:pPr>
            <w:r>
              <w:rPr>
                <w:color w:val="000000"/>
                <w:kern w:val="0"/>
                <w:sz w:val="24"/>
                <w:szCs w:val="24"/>
              </w:rPr>
              <w:t>9.35</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002025</w:t>
            </w:r>
          </w:p>
        </w:tc>
        <w:tc>
          <w:tcPr>
            <w:vAlign w:val="center"/>
          </w:tcPr>
          <w:p>
            <w:pPr>
              <w:jc w:val="center"/>
            </w:pPr>
            <w:r>
              <w:rPr>
                <w:color w:val="000000"/>
                <w:kern w:val="0"/>
                <w:sz w:val="24"/>
                <w:szCs w:val="24"/>
              </w:rPr>
              <w:t>航天电器</w:t>
            </w:r>
          </w:p>
        </w:tc>
        <w:tc>
          <w:tcPr>
            <w:vAlign w:val="center"/>
          </w:tcPr>
          <w:p>
            <w:pPr>
              <w:jc w:val="right"/>
            </w:pPr>
            <w:r>
              <w:rPr>
                <w:color w:val="000000"/>
                <w:kern w:val="0"/>
                <w:sz w:val="24"/>
                <w:szCs w:val="24"/>
              </w:rPr>
              <w:t>8,143,586</w:t>
            </w:r>
          </w:p>
        </w:tc>
        <w:tc>
          <w:tcPr>
            <w:vAlign w:val="center"/>
          </w:tcPr>
          <w:p>
            <w:pPr>
              <w:jc w:val="right"/>
            </w:pPr>
            <w:r>
              <w:rPr>
                <w:color w:val="000000"/>
                <w:kern w:val="0"/>
                <w:sz w:val="24"/>
                <w:szCs w:val="24"/>
              </w:rPr>
              <w:t>297,892,375.88</w:t>
            </w:r>
          </w:p>
        </w:tc>
        <w:tc>
          <w:tcPr>
            <w:vAlign w:val="center"/>
          </w:tcPr>
          <w:p>
            <w:pPr>
              <w:jc w:val="right"/>
            </w:pPr>
            <w:r>
              <w:rPr>
                <w:color w:val="000000"/>
                <w:kern w:val="0"/>
                <w:sz w:val="24"/>
                <w:szCs w:val="24"/>
              </w:rPr>
              <w:t>9.25</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002013</w:t>
            </w:r>
          </w:p>
        </w:tc>
        <w:tc>
          <w:tcPr>
            <w:vAlign w:val="center"/>
          </w:tcPr>
          <w:p>
            <w:pPr>
              <w:jc w:val="center"/>
            </w:pPr>
            <w:r>
              <w:rPr>
                <w:color w:val="000000"/>
                <w:kern w:val="0"/>
                <w:sz w:val="24"/>
                <w:szCs w:val="24"/>
              </w:rPr>
              <w:t>中航机电</w:t>
            </w:r>
          </w:p>
        </w:tc>
        <w:tc>
          <w:tcPr>
            <w:vAlign w:val="center"/>
          </w:tcPr>
          <w:p>
            <w:pPr>
              <w:jc w:val="right"/>
            </w:pPr>
            <w:r>
              <w:rPr>
                <w:color w:val="000000"/>
                <w:kern w:val="0"/>
                <w:sz w:val="24"/>
                <w:szCs w:val="24"/>
              </w:rPr>
              <w:t>37,515,600</w:t>
            </w:r>
          </w:p>
        </w:tc>
        <w:tc>
          <w:tcPr>
            <w:vAlign w:val="center"/>
          </w:tcPr>
          <w:p>
            <w:pPr>
              <w:jc w:val="right"/>
            </w:pPr>
            <w:r>
              <w:rPr>
                <w:color w:val="000000"/>
                <w:kern w:val="0"/>
                <w:sz w:val="24"/>
                <w:szCs w:val="24"/>
              </w:rPr>
              <w:t>296,373,240.00</w:t>
            </w:r>
          </w:p>
        </w:tc>
        <w:tc>
          <w:tcPr>
            <w:vAlign w:val="center"/>
          </w:tcPr>
          <w:p>
            <w:pPr>
              <w:jc w:val="right"/>
            </w:pPr>
            <w:r>
              <w:rPr>
                <w:color w:val="000000"/>
                <w:kern w:val="0"/>
                <w:sz w:val="24"/>
                <w:szCs w:val="24"/>
              </w:rPr>
              <w:t>9.20</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002179</w:t>
            </w:r>
          </w:p>
        </w:tc>
        <w:tc>
          <w:tcPr>
            <w:vAlign w:val="center"/>
          </w:tcPr>
          <w:p>
            <w:pPr>
              <w:jc w:val="center"/>
            </w:pPr>
            <w:r>
              <w:rPr>
                <w:color w:val="000000"/>
                <w:kern w:val="0"/>
                <w:sz w:val="24"/>
                <w:szCs w:val="24"/>
              </w:rPr>
              <w:t>中航光电</w:t>
            </w:r>
          </w:p>
        </w:tc>
        <w:tc>
          <w:tcPr>
            <w:vAlign w:val="center"/>
          </w:tcPr>
          <w:p>
            <w:pPr>
              <w:jc w:val="right"/>
            </w:pPr>
            <w:r>
              <w:rPr>
                <w:color w:val="000000"/>
                <w:kern w:val="0"/>
                <w:sz w:val="24"/>
                <w:szCs w:val="24"/>
              </w:rPr>
              <w:t>7,029,800</w:t>
            </w:r>
          </w:p>
        </w:tc>
        <w:tc>
          <w:tcPr>
            <w:vAlign w:val="center"/>
          </w:tcPr>
          <w:p>
            <w:pPr>
              <w:jc w:val="right"/>
            </w:pPr>
            <w:r>
              <w:rPr>
                <w:color w:val="000000"/>
                <w:kern w:val="0"/>
                <w:sz w:val="24"/>
                <w:szCs w:val="24"/>
              </w:rPr>
              <w:t>288,292,098.00</w:t>
            </w:r>
          </w:p>
        </w:tc>
        <w:tc>
          <w:tcPr>
            <w:vAlign w:val="center"/>
          </w:tcPr>
          <w:p>
            <w:pPr>
              <w:jc w:val="right"/>
            </w:pPr>
            <w:r>
              <w:rPr>
                <w:color w:val="000000"/>
                <w:kern w:val="0"/>
                <w:sz w:val="24"/>
                <w:szCs w:val="24"/>
              </w:rPr>
              <w:t>8.95</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600967</w:t>
            </w:r>
          </w:p>
        </w:tc>
        <w:tc>
          <w:tcPr>
            <w:vAlign w:val="center"/>
          </w:tcPr>
          <w:p>
            <w:pPr>
              <w:jc w:val="center"/>
            </w:pPr>
            <w:r>
              <w:rPr>
                <w:color w:val="000000"/>
                <w:kern w:val="0"/>
                <w:sz w:val="24"/>
                <w:szCs w:val="24"/>
              </w:rPr>
              <w:t>内蒙一机</w:t>
            </w:r>
          </w:p>
        </w:tc>
        <w:tc>
          <w:tcPr>
            <w:vAlign w:val="center"/>
          </w:tcPr>
          <w:p>
            <w:pPr>
              <w:jc w:val="right"/>
            </w:pPr>
            <w:r>
              <w:rPr>
                <w:color w:val="000000"/>
                <w:kern w:val="0"/>
                <w:sz w:val="24"/>
                <w:szCs w:val="24"/>
              </w:rPr>
              <w:t>27,506,000</w:t>
            </w:r>
          </w:p>
        </w:tc>
        <w:tc>
          <w:tcPr>
            <w:vAlign w:val="center"/>
          </w:tcPr>
          <w:p>
            <w:pPr>
              <w:jc w:val="right"/>
            </w:pPr>
            <w:r>
              <w:rPr>
                <w:color w:val="000000"/>
                <w:kern w:val="0"/>
                <w:sz w:val="24"/>
                <w:szCs w:val="24"/>
              </w:rPr>
              <w:t>285,787,340.00</w:t>
            </w:r>
          </w:p>
        </w:tc>
        <w:tc>
          <w:tcPr>
            <w:vAlign w:val="center"/>
          </w:tcPr>
          <w:p>
            <w:pPr>
              <w:jc w:val="right"/>
            </w:pPr>
            <w:r>
              <w:rPr>
                <w:color w:val="000000"/>
                <w:kern w:val="0"/>
                <w:sz w:val="24"/>
                <w:szCs w:val="24"/>
              </w:rPr>
              <w:t>8.87</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002985</w:t>
            </w:r>
          </w:p>
        </w:tc>
        <w:tc>
          <w:tcPr>
            <w:vAlign w:val="center"/>
          </w:tcPr>
          <w:p>
            <w:pPr>
              <w:jc w:val="center"/>
            </w:pPr>
            <w:r>
              <w:rPr>
                <w:color w:val="000000"/>
                <w:kern w:val="0"/>
                <w:sz w:val="24"/>
                <w:szCs w:val="24"/>
              </w:rPr>
              <w:t>北摩高科</w:t>
            </w:r>
          </w:p>
        </w:tc>
        <w:tc>
          <w:tcPr>
            <w:vAlign w:val="center"/>
          </w:tcPr>
          <w:p>
            <w:pPr>
              <w:jc w:val="right"/>
            </w:pPr>
            <w:r>
              <w:rPr>
                <w:color w:val="000000"/>
                <w:kern w:val="0"/>
                <w:sz w:val="24"/>
                <w:szCs w:val="24"/>
              </w:rPr>
              <w:t>2,022,161</w:t>
            </w:r>
          </w:p>
        </w:tc>
        <w:tc>
          <w:tcPr>
            <w:vAlign w:val="center"/>
          </w:tcPr>
          <w:p>
            <w:pPr>
              <w:jc w:val="right"/>
            </w:pPr>
            <w:r>
              <w:rPr>
                <w:color w:val="000000"/>
                <w:kern w:val="0"/>
                <w:sz w:val="24"/>
                <w:szCs w:val="24"/>
              </w:rPr>
              <w:t>251,698,379.67</w:t>
            </w:r>
          </w:p>
        </w:tc>
        <w:tc>
          <w:tcPr>
            <w:vAlign w:val="center"/>
          </w:tcPr>
          <w:p>
            <w:pPr>
              <w:jc w:val="right"/>
            </w:pPr>
            <w:r>
              <w:rPr>
                <w:color w:val="000000"/>
                <w:kern w:val="0"/>
                <w:sz w:val="24"/>
                <w:szCs w:val="24"/>
              </w:rPr>
              <w:t>7.81</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603712</w:t>
            </w:r>
          </w:p>
        </w:tc>
        <w:tc>
          <w:tcPr>
            <w:vAlign w:val="center"/>
          </w:tcPr>
          <w:p>
            <w:pPr>
              <w:jc w:val="center"/>
            </w:pPr>
            <w:r>
              <w:rPr>
                <w:color w:val="000000"/>
                <w:kern w:val="0"/>
                <w:sz w:val="24"/>
                <w:szCs w:val="24"/>
              </w:rPr>
              <w:t>七一二</w:t>
            </w:r>
          </w:p>
        </w:tc>
        <w:tc>
          <w:tcPr>
            <w:vAlign w:val="center"/>
          </w:tcPr>
          <w:p>
            <w:pPr>
              <w:jc w:val="right"/>
            </w:pPr>
            <w:r>
              <w:rPr>
                <w:color w:val="000000"/>
                <w:kern w:val="0"/>
                <w:sz w:val="24"/>
                <w:szCs w:val="24"/>
              </w:rPr>
              <w:t>5,403,693</w:t>
            </w:r>
          </w:p>
        </w:tc>
        <w:tc>
          <w:tcPr>
            <w:vAlign w:val="center"/>
          </w:tcPr>
          <w:p>
            <w:pPr>
              <w:jc w:val="right"/>
            </w:pPr>
            <w:r>
              <w:rPr>
                <w:color w:val="000000"/>
                <w:kern w:val="0"/>
                <w:sz w:val="24"/>
                <w:szCs w:val="24"/>
              </w:rPr>
              <w:t>207,393,737.34</w:t>
            </w:r>
          </w:p>
        </w:tc>
        <w:tc>
          <w:tcPr>
            <w:vAlign w:val="center"/>
          </w:tcPr>
          <w:p>
            <w:pPr>
              <w:jc w:val="right"/>
            </w:pPr>
            <w:r>
              <w:rPr>
                <w:color w:val="000000"/>
                <w:kern w:val="0"/>
                <w:sz w:val="24"/>
                <w:szCs w:val="24"/>
              </w:rPr>
              <w:t>6.44</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688188</w:t>
            </w:r>
          </w:p>
        </w:tc>
        <w:tc>
          <w:tcPr>
            <w:vAlign w:val="center"/>
          </w:tcPr>
          <w:p>
            <w:pPr>
              <w:jc w:val="center"/>
            </w:pPr>
            <w:r>
              <w:rPr>
                <w:color w:val="000000"/>
                <w:kern w:val="0"/>
                <w:sz w:val="24"/>
                <w:szCs w:val="24"/>
              </w:rPr>
              <w:t>柏楚电子</w:t>
            </w:r>
          </w:p>
        </w:tc>
        <w:tc>
          <w:tcPr>
            <w:vAlign w:val="center"/>
          </w:tcPr>
          <w:p>
            <w:pPr>
              <w:jc w:val="right"/>
            </w:pPr>
            <w:r>
              <w:rPr>
                <w:color w:val="000000"/>
                <w:kern w:val="0"/>
                <w:sz w:val="24"/>
                <w:szCs w:val="24"/>
              </w:rPr>
              <w:t>1,053,529</w:t>
            </w:r>
          </w:p>
        </w:tc>
        <w:tc>
          <w:tcPr>
            <w:vAlign w:val="center"/>
          </w:tcPr>
          <w:p>
            <w:pPr>
              <w:jc w:val="right"/>
            </w:pPr>
            <w:r>
              <w:rPr>
                <w:color w:val="000000"/>
                <w:kern w:val="0"/>
                <w:sz w:val="24"/>
                <w:szCs w:val="24"/>
              </w:rPr>
              <w:t>171,830,579.90</w:t>
            </w:r>
          </w:p>
        </w:tc>
        <w:tc>
          <w:tcPr>
            <w:vAlign w:val="center"/>
          </w:tcPr>
          <w:p>
            <w:pPr>
              <w:jc w:val="right"/>
            </w:pPr>
            <w:r>
              <w:rPr>
                <w:color w:val="000000"/>
                <w:kern w:val="0"/>
                <w:sz w:val="24"/>
                <w:szCs w:val="24"/>
              </w:rPr>
              <w:t>5.33</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000547</w:t>
            </w:r>
          </w:p>
        </w:tc>
        <w:tc>
          <w:tcPr>
            <w:vAlign w:val="center"/>
          </w:tcPr>
          <w:p>
            <w:pPr>
              <w:jc w:val="center"/>
            </w:pPr>
            <w:r>
              <w:rPr>
                <w:color w:val="000000"/>
                <w:kern w:val="0"/>
                <w:sz w:val="24"/>
                <w:szCs w:val="24"/>
              </w:rPr>
              <w:t>航天发展</w:t>
            </w:r>
          </w:p>
        </w:tc>
        <w:tc>
          <w:tcPr>
            <w:vAlign w:val="center"/>
          </w:tcPr>
          <w:p>
            <w:pPr>
              <w:jc w:val="right"/>
            </w:pPr>
            <w:r>
              <w:rPr>
                <w:color w:val="000000"/>
                <w:kern w:val="0"/>
                <w:sz w:val="24"/>
                <w:szCs w:val="24"/>
              </w:rPr>
              <w:t>10,341,253</w:t>
            </w:r>
          </w:p>
        </w:tc>
        <w:tc>
          <w:tcPr>
            <w:vAlign w:val="center"/>
          </w:tcPr>
          <w:p>
            <w:pPr>
              <w:jc w:val="right"/>
            </w:pPr>
            <w:r>
              <w:rPr>
                <w:color w:val="000000"/>
                <w:kern w:val="0"/>
                <w:sz w:val="24"/>
                <w:szCs w:val="24"/>
              </w:rPr>
              <w:t>141,364,928.51</w:t>
            </w:r>
          </w:p>
        </w:tc>
        <w:tc>
          <w:tcPr>
            <w:vAlign w:val="center"/>
          </w:tcPr>
          <w:p>
            <w:pPr>
              <w:jc w:val="right"/>
            </w:pPr>
            <w:r>
              <w:rPr>
                <w:color w:val="000000"/>
                <w:kern w:val="0"/>
                <w:sz w:val="24"/>
                <w:szCs w:val="24"/>
              </w:rPr>
              <w:t>4.39</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300696</w:t>
            </w:r>
          </w:p>
        </w:tc>
        <w:tc>
          <w:tcPr>
            <w:vAlign w:val="center"/>
          </w:tcPr>
          <w:p>
            <w:pPr>
              <w:jc w:val="center"/>
            </w:pPr>
            <w:r>
              <w:rPr>
                <w:color w:val="000000"/>
                <w:kern w:val="0"/>
                <w:sz w:val="24"/>
                <w:szCs w:val="24"/>
              </w:rPr>
              <w:t>爱乐达</w:t>
            </w:r>
          </w:p>
        </w:tc>
        <w:tc>
          <w:tcPr>
            <w:vAlign w:val="center"/>
          </w:tcPr>
          <w:p>
            <w:pPr>
              <w:jc w:val="right"/>
            </w:pPr>
            <w:r>
              <w:rPr>
                <w:color w:val="000000"/>
                <w:kern w:val="0"/>
                <w:sz w:val="24"/>
                <w:szCs w:val="24"/>
              </w:rPr>
              <w:t>3,370,793</w:t>
            </w:r>
          </w:p>
        </w:tc>
        <w:tc>
          <w:tcPr>
            <w:vAlign w:val="center"/>
          </w:tcPr>
          <w:p>
            <w:pPr>
              <w:jc w:val="right"/>
            </w:pPr>
            <w:r>
              <w:rPr>
                <w:color w:val="000000"/>
                <w:kern w:val="0"/>
                <w:sz w:val="24"/>
                <w:szCs w:val="24"/>
              </w:rPr>
              <w:t>120,944,052.84</w:t>
            </w:r>
          </w:p>
        </w:tc>
        <w:tc>
          <w:tcPr>
            <w:vAlign w:val="center"/>
          </w:tcPr>
          <w:p>
            <w:pPr>
              <w:jc w:val="right"/>
            </w:pPr>
            <w:r>
              <w:rPr>
                <w:color w:val="000000"/>
                <w:kern w:val="0"/>
                <w:sz w:val="24"/>
                <w:szCs w:val="24"/>
              </w:rPr>
              <w:t>3.75</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656,100.77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44,416.85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9,594,486.48</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10,295,004.10</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3,348,088,998.27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468,075,837.38</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483,682,006.27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3,332,482,829.38</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1.中国证监会准予易方达国防军工混合型证券投资基金注册的文件；</w:t>
      </w:r>
    </w:p>
    <w:p>
      <w:pPr>
        <w:spacing w:line="360" w:lineRule="auto"/>
        <w:ind w:firstLine="480" w:firstLineChars="200"/>
        <w:rPr>
          <w:color w:val="000000"/>
          <w:sz w:val="24"/>
          <w:szCs w:val="24"/>
        </w:rPr>
      </w:pPr>
      <w:r>
        <w:rPr>
          <w:color w:val="000000"/>
          <w:sz w:val="24"/>
          <w:szCs w:val="24"/>
        </w:rPr>
        <w:t>2.《易方达国防军工混合型证券投资基金基金合同》；</w:t>
      </w:r>
    </w:p>
    <w:p>
      <w:pPr>
        <w:spacing w:line="360" w:lineRule="auto"/>
        <w:ind w:firstLine="480" w:firstLineChars="200"/>
        <w:rPr>
          <w:color w:val="000000"/>
          <w:sz w:val="24"/>
          <w:szCs w:val="24"/>
        </w:rPr>
      </w:pPr>
      <w:r>
        <w:rPr>
          <w:color w:val="000000"/>
          <w:sz w:val="24"/>
          <w:szCs w:val="24"/>
        </w:rPr>
        <w:t>3.《易方达国防军工混合型证券投资基金托管协议》；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易方达国防军工混合型证券投资基金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