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body>
    <w:p w:rsidP="009A2283" w:rsidR="00F016DD" w:rsidRDefault="00F016DD" w:rsidRPr="0078105B">
      <w:pPr>
        <w:autoSpaceDE w:val="0"/>
        <w:autoSpaceDN w:val="0"/>
        <w:adjustRightInd w:val="0"/>
        <w:spacing w:line="360" w:lineRule="auto"/>
        <w:jc w:val="left"/>
        <w:rPr>
          <w:rFonts w:ascii="宋体" w:cs="Arial"/>
          <w:color w:val="000000"/>
          <w:kern w:val="0"/>
          <w:sz w:val="24"/>
        </w:rPr>
      </w:pPr>
    </w:p>
    <w:p w:rsidP="009A2283" w:rsidR="00F016DD" w:rsidRDefault="00F016DD" w:rsidRPr="0078105B">
      <w:pPr>
        <w:autoSpaceDE w:val="0"/>
        <w:autoSpaceDN w:val="0"/>
        <w:adjustRightInd w:val="0"/>
        <w:spacing w:line="360" w:lineRule="auto"/>
        <w:jc w:val="left"/>
        <w:rPr>
          <w:rFonts w:ascii="宋体" w:cs="Arial"/>
          <w:color w:val="000000"/>
          <w:kern w:val="0"/>
          <w:sz w:val="24"/>
        </w:rPr>
      </w:pPr>
    </w:p>
    <w:p w:rsidP="009A2283" w:rsidR="00F016DD" w:rsidRDefault="00F016DD" w:rsidRPr="0078105B">
      <w:pPr>
        <w:autoSpaceDE w:val="0"/>
        <w:autoSpaceDN w:val="0"/>
        <w:adjustRightInd w:val="0"/>
        <w:spacing w:line="360" w:lineRule="auto"/>
        <w:jc w:val="left"/>
        <w:rPr>
          <w:rFonts w:ascii="宋体" w:cs="Arial"/>
          <w:color w:val="000000"/>
          <w:kern w:val="0"/>
          <w:sz w:val="24"/>
        </w:rPr>
      </w:pPr>
    </w:p>
    <w:p w:rsidP="009A2283" w:rsidR="00F016DD" w:rsidRDefault="00F016DD" w:rsidRPr="0078105B">
      <w:pPr>
        <w:autoSpaceDE w:val="0"/>
        <w:autoSpaceDN w:val="0"/>
        <w:adjustRightInd w:val="0"/>
        <w:spacing w:line="360" w:lineRule="auto"/>
        <w:jc w:val="left"/>
        <w:rPr>
          <w:rFonts w:ascii="宋体" w:cs="Arial"/>
          <w:color w:val="000000"/>
          <w:kern w:val="0"/>
          <w:sz w:val="24"/>
        </w:rPr>
      </w:pPr>
    </w:p>
    <w:p w:rsidP="009A2283" w:rsidR="00F016DD" w:rsidRDefault="00F016DD" w:rsidRPr="0078105B">
      <w:pPr>
        <w:autoSpaceDE w:val="0"/>
        <w:autoSpaceDN w:val="0"/>
        <w:adjustRightInd w:val="0"/>
        <w:spacing w:line="360" w:lineRule="auto"/>
        <w:jc w:val="left"/>
        <w:rPr>
          <w:rFonts w:ascii="宋体" w:cs="Arial"/>
          <w:color w:val="000000"/>
          <w:kern w:val="0"/>
          <w:sz w:val="24"/>
        </w:rPr>
      </w:pPr>
    </w:p>
    <w:p w:rsidP="00FC13C8" w:rsidR="00F016DD" w:rsidRDefault="00F016DD" w:rsidRPr="0078105B">
      <w:pPr>
        <w:spacing w:line="360" w:lineRule="auto"/>
        <w:jc w:val="center"/>
        <w:rPr>
          <w:rFonts w:ascii="宋体" w:hAnsi="宋体"/>
          <w:b/>
          <w:sz w:val="36"/>
          <w:szCs w:val="36"/>
        </w:rPr>
      </w:pPr>
      <w:r w:rsidRPr="0078105B">
        <w:rPr>
          <w:rFonts w:ascii="宋体"/>
          <w:b/>
          <w:sz w:val="36"/>
          <w:szCs w:val="36"/>
        </w:rPr>
        <w:t/>
      </w:r>
      <w:proofErr w:type="spellStart"/>
      <w:proofErr w:type="gramStart"/>
      <w:r w:rsidRPr="0078105B">
        <w:rPr>
          <w:rFonts w:ascii="宋体" w:hAnsi="宋体"/>
          <w:b/>
          <w:sz w:val="36"/>
          <w:szCs w:val="36"/>
        </w:rPr>
        <w:t/>
      </w:r>
      <w:proofErr w:type="spellEnd"/>
      <w:proofErr w:type="gramEnd"/>
      <w:r w:rsidRPr="0078105B">
        <w:rPr>
          <w:rFonts w:ascii="宋体" w:hAnsi="宋体"/>
          <w:b/>
          <w:sz w:val="36"/>
          <w:szCs w:val="36"/>
        </w:rPr>
        <w:t>易方达瑞选灵活配置混合型证券投资基金</w:t>
      </w:r>
    </w:p>
    <w:p w:rsidP="00FC13C8" w:rsidR="00F016DD" w:rsidRDefault="00F016DD" w:rsidRPr="0078105B">
      <w:pPr>
        <w:spacing w:line="360" w:lineRule="auto"/>
        <w:jc w:val="center"/>
        <w:rPr>
          <w:rFonts w:ascii="宋体" w:hAnsi="宋体"/>
          <w:b/>
          <w:sz w:val="36"/>
          <w:szCs w:val="36"/>
        </w:rPr>
      </w:pPr>
      <w:r w:rsidRPr="0078105B">
        <w:rPr>
          <w:rFonts w:ascii="宋体" w:hAnsi="宋体"/>
          <w:b/>
          <w:sz w:val="36"/>
          <w:szCs w:val="36"/>
        </w:rPr>
        <w:t/>
      </w:r>
      <w:proofErr w:type="spellStart"/>
      <w:r w:rsidRPr="0078105B">
        <w:rPr>
          <w:rFonts w:ascii="宋体" w:hAnsi="宋体"/>
          <w:b/>
          <w:sz w:val="36"/>
          <w:szCs w:val="36"/>
        </w:rPr>
        <w:t/>
      </w:r>
      <w:proofErr w:type="spellEnd"/>
      <w:r w:rsidRPr="0078105B">
        <w:rPr>
          <w:rFonts w:ascii="宋体" w:hAnsi="宋体"/>
          <w:b/>
          <w:sz w:val="36"/>
          <w:szCs w:val="36"/>
        </w:rPr>
        <w:t>2020年第2季度报告</w:t>
      </w:r>
    </w:p>
    <w:p w:rsidP="00FC13C8" w:rsidR="00F016DD" w:rsidRDefault="00F016DD" w:rsidRPr="00DA451D">
      <w:pPr>
        <w:spacing w:line="360" w:lineRule="auto"/>
        <w:jc w:val="center"/>
        <w:rPr>
          <w:rFonts w:ascii="宋体" w:hAnsi="宋体"/>
          <w:b/>
          <w:sz w:val="24"/>
        </w:rPr>
      </w:pPr>
      <w:r w:rsidRPr="00DA451D">
        <w:rPr>
          <w:rFonts w:ascii="宋体"/>
          <w:b/>
          <w:sz w:val="24"/>
        </w:rPr>
        <w:t/>
      </w:r>
      <w:proofErr w:type="spellStart"/>
      <w:proofErr w:type="gramStart"/>
      <w:r w:rsidRPr="00DA451D">
        <w:rPr>
          <w:rFonts w:ascii="宋体" w:hAnsi="宋体"/>
          <w:b/>
          <w:sz w:val="24"/>
        </w:rPr>
        <w:t/>
      </w:r>
      <w:proofErr w:type="spellEnd"/>
      <w:proofErr w:type="gramEnd"/>
      <w:r w:rsidRPr="00DA451D">
        <w:rPr>
          <w:rFonts w:ascii="宋体" w:hAnsi="宋体"/>
          <w:b/>
          <w:sz w:val="24"/>
        </w:rPr>
        <w:t>2020年6月30日</w:t>
      </w: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E27360" w:rsidR="00F016DD" w:rsidRDefault="00F016DD" w:rsidRPr="0078105B">
      <w:pPr>
        <w:spacing w:line="360" w:lineRule="auto"/>
        <w:jc w:val="center"/>
        <w:rPr>
          <w:rFonts w:ascii="宋体"/>
          <w:b/>
          <w:color w:val="000000"/>
          <w:sz w:val="24"/>
        </w:rPr>
      </w:pPr>
    </w:p>
    <w:p w:rsidP="00E27360"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rPr>
          <w:rFonts w:ascii="宋体"/>
          <w:b/>
          <w:color w:val="000000"/>
          <w:sz w:val="24"/>
        </w:rPr>
      </w:pPr>
    </w:p>
    <w:p w:rsidP="00174038" w:rsidR="00F016DD" w:rsidRDefault="00F016DD" w:rsidRPr="0078105B">
      <w:pPr>
        <w:spacing w:line="360" w:lineRule="auto"/>
        <w:ind w:firstLine="2168" w:firstLineChars="900"/>
        <w:rPr>
          <w:rFonts w:ascii="宋体" w:hAnsi="宋体"/>
          <w:b/>
          <w:color w:val="000000"/>
          <w:sz w:val="24"/>
        </w:rPr>
      </w:pPr>
      <w:r w:rsidRPr="0078105B">
        <w:rPr>
          <w:rFonts w:ascii="宋体" w:hAnsi="宋体" w:hint="eastAsia"/>
          <w:b/>
          <w:color w:val="000000"/>
          <w:sz w:val="24"/>
        </w:rPr>
        <w:t>基金管理人：</w:t>
      </w:r>
      <w:r w:rsidRPr="0078105B">
        <w:rPr>
          <w:rFonts w:ascii="宋体"/>
          <w:b/>
          <w:color w:val="000000"/>
          <w:sz w:val="24"/>
        </w:rPr>
        <w:t/>
      </w:r>
      <w:proofErr w:type="spellStart"/>
      <w:proofErr w:type="gramStart"/>
      <w:r w:rsidRPr="0078105B">
        <w:rPr>
          <w:rFonts w:ascii="宋体" w:hAnsi="宋体"/>
          <w:b/>
          <w:color w:val="000000"/>
          <w:sz w:val="24"/>
        </w:rPr>
        <w:t/>
      </w:r>
      <w:proofErr w:type="spellEnd"/>
      <w:proofErr w:type="gramEnd"/>
      <w:r w:rsidRPr="0078105B">
        <w:rPr>
          <w:rFonts w:ascii="宋体" w:hAnsi="宋体"/>
          <w:b/>
          <w:color w:val="000000"/>
          <w:sz w:val="24"/>
        </w:rPr>
        <w:t>易方达基金管理有限公司</w:t>
      </w:r>
    </w:p>
    <w:p w:rsidP="00174038" w:rsidR="00F016DD" w:rsidRDefault="00F016DD" w:rsidRPr="0078105B">
      <w:pPr>
        <w:spacing w:line="360" w:lineRule="auto"/>
        <w:ind w:firstLine="2168" w:firstLineChars="900"/>
        <w:rPr>
          <w:rFonts w:ascii="宋体" w:hAnsi="宋体"/>
          <w:b/>
          <w:color w:val="000000"/>
          <w:sz w:val="24"/>
        </w:rPr>
      </w:pPr>
      <w:r w:rsidRPr="0078105B">
        <w:rPr>
          <w:rFonts w:ascii="宋体" w:hAnsi="宋体" w:hint="eastAsia"/>
          <w:b/>
          <w:color w:val="000000"/>
          <w:sz w:val="24"/>
        </w:rPr>
        <w:t>基金托管人：</w:t>
      </w:r>
      <w:r w:rsidRPr="0078105B">
        <w:rPr>
          <w:rFonts w:ascii="宋体"/>
          <w:b/>
          <w:color w:val="000000"/>
          <w:sz w:val="24"/>
        </w:rPr>
        <w:t/>
      </w:r>
      <w:proofErr w:type="spellStart"/>
      <w:proofErr w:type="gramStart"/>
      <w:r w:rsidRPr="0078105B">
        <w:rPr>
          <w:rFonts w:ascii="宋体" w:hAnsi="宋体"/>
          <w:b/>
          <w:color w:val="000000"/>
          <w:sz w:val="24"/>
        </w:rPr>
        <w:t/>
      </w:r>
      <w:proofErr w:type="spellEnd"/>
      <w:proofErr w:type="gramEnd"/>
      <w:r w:rsidRPr="0078105B">
        <w:rPr>
          <w:rFonts w:ascii="宋体" w:hAnsi="宋体"/>
          <w:b/>
          <w:color w:val="000000"/>
          <w:sz w:val="24"/>
        </w:rPr>
        <w:t>中国光大银行股份有限公司</w:t>
      </w:r>
    </w:p>
    <w:p w:rsidP="00174038" w:rsidR="00F016DD" w:rsidRDefault="00F016DD" w:rsidRPr="0078105B">
      <w:pPr>
        <w:spacing w:line="360" w:lineRule="auto"/>
        <w:ind w:firstLine="2168" w:firstLineChars="900"/>
        <w:rPr>
          <w:rFonts w:ascii="宋体"/>
          <w:sz w:val="24"/>
        </w:rPr>
        <w:sectPr w:rsidR="00F016DD" w:rsidRPr="0078105B" w:rsidSect="00F7094A">
          <w:headerReference r:id="rId8" w:type="default"/>
          <w:footerReference r:id="rId9" w:type="default"/>
          <w:pgSz w:h="15840" w:w="11926"/>
          <w:pgMar w:bottom="851" w:footer="992" w:gutter="0" w:header="851" w:left="1418" w:right="1418" w:top="1418"/>
          <w:cols w:space="720"/>
          <w:noEndnote/>
        </w:sectPr>
      </w:pPr>
      <w:r w:rsidRPr="0078105B">
        <w:rPr>
          <w:rFonts w:ascii="宋体" w:hAnsi="宋体" w:hint="eastAsia"/>
          <w:b/>
          <w:color w:val="000000"/>
          <w:sz w:val="24"/>
        </w:rPr>
        <w:t>报告送出日期：</w:t>
      </w:r>
      <w:r w:rsidRPr="0078105B">
        <w:rPr>
          <w:rFonts w:ascii="宋体"/>
          <w:b/>
          <w:color w:val="000000"/>
          <w:sz w:val="24"/>
        </w:rPr>
        <w:t/>
      </w:r>
      <w:proofErr w:type="spellStart"/>
      <w:proofErr w:type="gramStart"/>
      <w:r w:rsidRPr="0078105B">
        <w:rPr>
          <w:rFonts w:ascii="宋体" w:hAnsi="宋体"/>
          <w:b/>
          <w:color w:val="000000"/>
          <w:sz w:val="24"/>
        </w:rPr>
        <w:t/>
      </w:r>
      <w:proofErr w:type="spellEnd"/>
      <w:proofErr w:type="gramEnd"/>
      <w:r w:rsidRPr="0078105B">
        <w:rPr>
          <w:rFonts w:ascii="宋体" w:hAnsi="宋体"/>
          <w:b/>
          <w:color w:val="000000"/>
          <w:sz w:val="24"/>
        </w:rPr>
        <w:t>二〇二〇年七月二十一日</w:t>
      </w:r>
    </w:p>
    <w:p w:rsidP="00B54884" w:rsidR="00F016DD" w:rsidRDefault="00F016DD" w:rsidRPr="0078105B">
      <w:pPr>
        <w:pStyle w:val="1"/>
        <w:spacing w:after="312" w:afterLines="100" w:before="312" w:beforeLines="100" w:line="360" w:lineRule="auto"/>
        <w:jc w:val="center"/>
        <w:rPr>
          <w:rFonts w:ascii="宋体" w:cs="Arial"/>
          <w:b w:val="0"/>
          <w:color w:val="000000"/>
          <w:kern w:val="0"/>
          <w:sz w:val="24"/>
          <w:szCs w:val="24"/>
        </w:rPr>
      </w:pPr>
      <w:r w:rsidRPr="0078105B">
        <w:rPr>
          <w:rFonts w:ascii="宋体" w:cs="Arial" w:hAnsi="宋体" w:hint="eastAsia"/>
          <w:color w:val="000000"/>
          <w:kern w:val="0"/>
          <w:sz w:val="24"/>
          <w:szCs w:val="24"/>
        </w:rPr>
        <w:lastRenderedPageBreak/>
        <w:t>§</w:t>
      </w:r>
      <w:r w:rsidRPr="0078105B">
        <w:rPr>
          <w:rFonts w:ascii="宋体" w:cs="Arial" w:hAnsi="宋体"/>
          <w:color w:val="000000"/>
          <w:kern w:val="0"/>
          <w:sz w:val="24"/>
          <w:szCs w:val="24"/>
        </w:rPr>
        <w:t xml:space="preserve">1  </w:t>
      </w:r>
      <w:r w:rsidRPr="0078105B">
        <w:rPr>
          <w:rFonts w:ascii="宋体" w:cs="Arial" w:hAnsi="宋体" w:hint="eastAsia"/>
          <w:color w:val="000000"/>
          <w:kern w:val="0"/>
          <w:sz w:val="24"/>
          <w:szCs w:val="24"/>
        </w:rPr>
        <w:t>重要提示</w:t>
      </w:r>
    </w:p>
    <w:p>
      <w:pPr>
        <w:spacing w:line="360" w:lineRule="auto"/>
        <w:ind w:firstLine="480" w:firstLineChars="200"/>
        <w:rPr>
          <w:color w:val="000000"/>
          <w:sz w:val="24"/>
        </w:rPr>
      </w:pPr>
      <w:r>
        <w:rPr>
          <w:color w:val="000000"/>
          <w:sz w:val="24"/>
        </w:rPr>
        <w:t xml:space="preserve">基金管理人的董事会及董事保证本报告所载资料不存在虚假记载、误导性陈述或重大遗漏，并对其内容的真实性、准确性和完整性承担个别及连带责任。 </w:t>
      </w:r>
    </w:p>
    <w:p>
      <w:pPr>
        <w:spacing w:line="360" w:lineRule="auto"/>
        <w:ind w:firstLine="480" w:firstLineChars="200"/>
        <w:rPr>
          <w:color w:val="000000"/>
          <w:sz w:val="24"/>
        </w:rPr>
      </w:pPr>
      <w:r>
        <w:rPr>
          <w:color w:val="000000"/>
          <w:sz w:val="24"/>
        </w:rPr>
        <w:t xml:space="preserve">基金托管人中国光大银行股份有限公司根据本基金合同规定，于2020年7月17日复核了本报告中的财务指标、净值表现和投资组合报告等内容，保证复核内容不存在虚假记载、误导性陈述或者重大遗漏。 </w:t>
      </w:r>
    </w:p>
    <w:p>
      <w:pPr>
        <w:spacing w:line="360" w:lineRule="auto"/>
        <w:ind w:firstLine="480" w:firstLineChars="200"/>
        <w:rPr>
          <w:color w:val="000000"/>
          <w:sz w:val="24"/>
        </w:rPr>
      </w:pPr>
      <w:r>
        <w:rPr>
          <w:color w:val="000000"/>
          <w:sz w:val="24"/>
        </w:rPr>
        <w:t xml:space="preserve">基金管理人承诺以诚实信用、勤勉尽责的原则管理和运用基金资产，但不保证基金一定盈利。 </w:t>
      </w:r>
    </w:p>
    <w:p>
      <w:pPr>
        <w:spacing w:line="360" w:lineRule="auto"/>
        <w:ind w:firstLine="480" w:firstLineChars="200"/>
        <w:rPr>
          <w:color w:val="000000"/>
          <w:sz w:val="24"/>
        </w:rPr>
      </w:pPr>
      <w:r>
        <w:rPr>
          <w:color w:val="000000"/>
          <w:sz w:val="24"/>
        </w:rPr>
        <w:t xml:space="preserve">基金的过往业绩并不代表其未来表现。投资有风险，投资者在作出投资决策前应仔细阅读本基金的招募说明书。 </w:t>
      </w:r>
    </w:p>
    <w:p>
      <w:pPr>
        <w:spacing w:line="360" w:lineRule="auto"/>
        <w:ind w:firstLine="480" w:firstLineChars="200"/>
        <w:rPr>
          <w:color w:val="000000"/>
          <w:sz w:val="24"/>
        </w:rPr>
      </w:pPr>
      <w:r>
        <w:rPr>
          <w:color w:val="000000"/>
          <w:sz w:val="24"/>
        </w:rPr>
        <w:t>本报告中财务资料未经审计。</w:t>
      </w:r>
    </w:p>
    <w:p w:rsidP="00C30CFF" w:rsidR="00F016DD" w:rsidRDefault="00F016DD" w:rsidRPr="00C30CFF">
      <w:pPr>
        <w:spacing w:line="360" w:lineRule="auto"/>
        <w:ind w:firstLine="480" w:firstLineChars="200"/>
        <w:rPr>
          <w:color w:val="000000"/>
          <w:sz w:val="24"/>
        </w:rPr>
      </w:pPr>
      <w:r w:rsidRPr="00C30CFF">
        <w:rPr>
          <w:color w:val="000000"/>
          <w:sz w:val="24"/>
        </w:rPr>
        <w:t/>
      </w:r>
      <w:proofErr w:type="spellStart"/>
      <w:proofErr w:type="gramStart"/>
      <w:r w:rsidRPr="00C30CFF">
        <w:rPr>
          <w:color w:val="000000"/>
          <w:sz w:val="24"/>
        </w:rPr>
        <w:t/>
      </w:r>
      <w:proofErr w:type="spellEnd"/>
      <w:proofErr w:type="gramEnd"/>
      <w:r w:rsidRPr="00C30CFF">
        <w:rPr>
          <w:color w:val="000000"/>
          <w:sz w:val="24"/>
        </w:rPr>
        <w:t>本报告期自2020年4月1日起至6月30日止。</w:t>
      </w:r>
    </w:p>
    <w:p w:rsidP="00B54884" w:rsidR="00F016DD" w:rsidRDefault="00F016DD" w:rsidRPr="0078105B">
      <w:pPr>
        <w:pStyle w:val="1"/>
        <w:spacing w:after="312" w:afterLines="100" w:before="312" w:beforeLines="100" w:line="360" w:lineRule="auto"/>
        <w:jc w:val="center"/>
        <w:rPr>
          <w:rFonts w:ascii="宋体" w:cs="Arial"/>
          <w:color w:val="000000"/>
          <w:kern w:val="0"/>
          <w:sz w:val="24"/>
          <w:szCs w:val="24"/>
        </w:rPr>
      </w:pPr>
      <w:r w:rsidRPr="0078105B">
        <w:rPr>
          <w:rFonts w:ascii="宋体" w:cs="Arial" w:hAnsi="宋体" w:hint="eastAsia"/>
          <w:color w:val="000000"/>
          <w:kern w:val="0"/>
          <w:sz w:val="24"/>
          <w:szCs w:val="24"/>
        </w:rPr>
        <w:t>§</w:t>
      </w:r>
      <w:r w:rsidRPr="0078105B">
        <w:rPr>
          <w:rFonts w:ascii="宋体" w:cs="Arial" w:hAnsi="宋体"/>
          <w:color w:val="000000"/>
          <w:kern w:val="0"/>
          <w:sz w:val="24"/>
          <w:szCs w:val="24"/>
        </w:rPr>
        <w:t xml:space="preserve">2  </w:t>
      </w:r>
      <w:r w:rsidRPr="0078105B">
        <w:rPr>
          <w:rFonts w:ascii="宋体" w:cs="Arial" w:hAnsi="宋体" w:hint="eastAsia"/>
          <w:color w:val="000000"/>
          <w:kern w:val="0"/>
          <w:sz w:val="24"/>
          <w:szCs w:val="24"/>
        </w:rPr>
        <w:t>基金产品概况</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1" w:lastRow="1" w:noHBand="0" w:noVBand="0" w:val="01E0"/>
      </w:tblPr>
      <w:tblGrid>
        <w:gridCol w:w="2835"/>
        <w:gridCol w:w="2739"/>
        <w:gridCol w:w="2790"/>
      </w:tblGrid>
      <w:tr w:rsidR="00F016DD" w:rsidRPr="0078105B" w:rsidTr="00414367">
        <w:tc>
          <w:tcPr>
            <w:tcW w:type="dxa" w:w="2835"/>
          </w:tcPr>
          <w:p w:rsidP="00E205AA" w:rsidR="00F016DD" w:rsidRDefault="00F016DD" w:rsidRPr="00C30CFF">
            <w:pPr>
              <w:adjustRightInd w:val="0"/>
              <w:spacing w:before="29" w:line="360" w:lineRule="auto"/>
              <w:ind w:left="17"/>
              <w:jc w:val="left"/>
              <w:rPr>
                <w:kern w:val="0"/>
                <w:sz w:val="24"/>
              </w:rPr>
            </w:pPr>
            <w:r w:rsidRPr="00C30CFF">
              <w:rPr>
                <w:kern w:val="0"/>
                <w:sz w:val="24"/>
              </w:rPr>
              <w:t>基金简称</w:t>
            </w:r>
          </w:p>
        </w:tc>
        <w:tc>
          <w:tcPr>
            <w:tcW w:type="dxa" w:w="5529"/>
            <w:gridSpan w:val="2"/>
          </w:tcPr>
          <w:p w:rsidP="00E205AA" w:rsidR="00F016DD" w:rsidRDefault="00F016DD" w:rsidRPr="00C30CFF">
            <w:pPr>
              <w:adjustRightInd w:val="0"/>
              <w:spacing w:before="29" w:line="360" w:lineRule="auto"/>
              <w:ind w:left="17"/>
              <w:jc w:val="left"/>
              <w:rPr>
                <w:color w:val="000000"/>
                <w:kern w:val="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易方达瑞选混合</w:t>
            </w:r>
          </w:p>
        </w:tc>
      </w:tr>
      <w:tr w:rsidR="00F016DD" w:rsidRPr="0078105B" w:rsidTr="00414367">
        <w:tc>
          <w:tcPr>
            <w:tcW w:type="dxa" w:w="2835"/>
          </w:tcPr>
          <w:p w:rsidP="00E205AA" w:rsidR="00F016DD" w:rsidRDefault="00F016DD" w:rsidRPr="00C30CFF">
            <w:pPr>
              <w:adjustRightInd w:val="0"/>
              <w:spacing w:before="29" w:line="360" w:lineRule="auto"/>
              <w:ind w:left="17"/>
              <w:jc w:val="left"/>
              <w:rPr>
                <w:kern w:val="0"/>
                <w:sz w:val="24"/>
              </w:rPr>
            </w:pPr>
            <w:r w:rsidRPr="00C30CFF">
              <w:rPr>
                <w:kern w:val="0"/>
                <w:sz w:val="24"/>
              </w:rPr>
              <w:t>基金主代码</w:t>
            </w:r>
          </w:p>
        </w:tc>
        <w:tc>
          <w:tcPr>
            <w:tcW w:type="dxa" w:w="5529"/>
            <w:gridSpan w:val="2"/>
          </w:tcPr>
          <w:p w:rsidP="00E205AA" w:rsidR="00F016DD" w:rsidRDefault="00F016DD" w:rsidRPr="00C30CFF">
            <w:pPr>
              <w:adjustRightInd w:val="0"/>
              <w:spacing w:before="29" w:line="360" w:lineRule="auto"/>
              <w:ind w:left="17"/>
              <w:jc w:val="left"/>
              <w:rPr>
                <w:color w:val="000000"/>
                <w:kern w:val="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001443</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基金运作方式</w:t>
            </w:r>
          </w:p>
        </w:tc>
        <w:tc>
          <w:tcPr>
            <w:tcW w:type="dxa" w:w="5529"/>
            <w:gridSpan w:val="2"/>
          </w:tcPr>
          <w:p w:rsidP="00E205AA" w:rsidR="00F016DD" w:rsidRDefault="00F016DD" w:rsidRPr="00C30CFF">
            <w:pPr>
              <w:adjustRightInd w:val="0"/>
              <w:spacing w:before="29" w:line="360" w:lineRule="auto"/>
              <w:ind w:left="17"/>
              <w:jc w:val="left"/>
              <w:rPr>
                <w:color w:val="00000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契约型开放式</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基金合同生效日</w:t>
            </w:r>
          </w:p>
        </w:tc>
        <w:tc>
          <w:tcPr>
            <w:tcW w:type="dxa" w:w="5529"/>
            <w:gridSpan w:val="2"/>
          </w:tcPr>
          <w:p w:rsidP="00121533" w:rsidR="00F016DD" w:rsidRDefault="00F016DD" w:rsidRPr="00C30CFF">
            <w:pPr>
              <w:adjustRightInd w:val="0"/>
              <w:spacing w:before="29" w:line="360" w:lineRule="auto"/>
              <w:ind w:left="17"/>
              <w:jc w:val="left"/>
              <w:rPr>
                <w:color w:val="000000"/>
                <w:kern w:val="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2015年12月2日</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报告期末基金份额总额</w:t>
            </w:r>
          </w:p>
        </w:tc>
        <w:tc>
          <w:tcPr>
            <w:tcW w:type="dxa" w:w="5529"/>
            <w:gridSpan w:val="2"/>
          </w:tcPr>
          <w:p w:rsidP="00E205AA" w:rsidR="00F016DD" w:rsidRDefault="00F016DD" w:rsidRPr="00C30CFF">
            <w:pPr>
              <w:adjustRightInd w:val="0"/>
              <w:spacing w:before="29" w:line="360" w:lineRule="auto"/>
              <w:ind w:left="17"/>
              <w:jc w:val="left"/>
              <w:rPr>
                <w:color w:val="00000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817,947,042.09</w:t>
            </w:r>
            <w:r w:rsidRPr="00C30CFF">
              <w:rPr>
                <w:color w:val="000000"/>
                <w:kern w:val="0"/>
                <w:sz w:val="24"/>
              </w:rPr>
              <w:t>份</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投资目标</w:t>
            </w:r>
          </w:p>
        </w:tc>
        <w:tc>
          <w:tcPr>
            <w:tcW w:type="dxa" w:w="5529"/>
            <w:gridSpan w:val="2"/>
          </w:tcPr>
          <w:p w:rsidP="00E205AA" w:rsidR="00F016DD" w:rsidRDefault="00F016DD" w:rsidRPr="00C30CFF">
            <w:pPr>
              <w:adjustRightInd w:val="0"/>
              <w:spacing w:before="29" w:line="360" w:lineRule="auto"/>
              <w:ind w:left="17"/>
              <w:jc w:val="left"/>
              <w:rPr>
                <w:color w:val="00000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本基金在控制风险的前提下，追求基金资产的稳健增值。</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投资策略</w:t>
            </w:r>
          </w:p>
        </w:tc>
        <w:tc>
          <w:tcPr>
            <w:tcW w:type="dxa" w:w="5529"/>
            <w:gridSpan w:val="2"/>
          </w:tcPr>
          <w:p w:rsidP="00E205AA" w:rsidR="00F016DD" w:rsidRDefault="00F016DD" w:rsidRPr="00C30CFF">
            <w:pPr>
              <w:adjustRightInd w:val="0"/>
              <w:spacing w:before="29" w:line="360" w:lineRule="auto"/>
              <w:ind w:left="17"/>
              <w:jc w:val="left"/>
              <w:rPr>
                <w:color w:val="00000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本基金根据宏观经济形势，推演货币和财政政策的可能性，同时结合产业政策，市场情绪等灵活进行大类资产配置。债券投资会在久期配置，信用利差配置，类属配置等多个维度进行考量。本基金会适当配置股票仓位，在深刻理解宏观的基础之上，结合“自下而上“的个券选择，对公司的盈利能力、营运能力、成长性、估值水平、公司战略、治理结构和商业模式等方面进行定量和定性的分析，追求股票投资组合的长期稳健增值。</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业绩比较基准</w:t>
            </w:r>
          </w:p>
        </w:tc>
        <w:tc>
          <w:tcPr>
            <w:tcW w:type="dxa" w:w="5529"/>
            <w:gridSpan w:val="2"/>
          </w:tcPr>
          <w:p w:rsidP="00E205AA" w:rsidR="00F016DD" w:rsidRDefault="00F016DD" w:rsidRPr="00C30CFF">
            <w:pPr>
              <w:adjustRightInd w:val="0"/>
              <w:spacing w:before="29" w:line="360" w:lineRule="auto"/>
              <w:ind w:left="17"/>
              <w:jc w:val="left"/>
              <w:rPr>
                <w:color w:val="00000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一年期人民币定期存款利率（税后）+2%</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风险收益特征</w:t>
            </w:r>
          </w:p>
        </w:tc>
        <w:tc>
          <w:tcPr>
            <w:tcW w:type="dxa" w:w="5529"/>
            <w:gridSpan w:val="2"/>
          </w:tcPr>
          <w:p w:rsidP="00E205AA" w:rsidR="00F016DD" w:rsidRDefault="00F016DD" w:rsidRPr="00C30CFF">
            <w:pPr>
              <w:adjustRightInd w:val="0"/>
              <w:spacing w:before="29" w:line="360" w:lineRule="auto"/>
              <w:ind w:left="17"/>
              <w:jc w:val="left"/>
              <w:rPr>
                <w:color w:val="00000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本基金为混合基金，理论上其预期风险与预期收益水平低于股票基金，高于债券基金和货币市场基金。</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基金管理人</w:t>
            </w:r>
          </w:p>
        </w:tc>
        <w:tc>
          <w:tcPr>
            <w:tcW w:type="dxa" w:w="5529"/>
            <w:gridSpan w:val="2"/>
          </w:tcPr>
          <w:p w:rsidP="00E205AA" w:rsidR="00F016DD" w:rsidRDefault="00F016DD" w:rsidRPr="00C30CFF">
            <w:pPr>
              <w:adjustRightInd w:val="0"/>
              <w:spacing w:before="29" w:line="360" w:lineRule="auto"/>
              <w:ind w:left="17"/>
              <w:jc w:val="left"/>
              <w:rPr>
                <w:color w:val="00000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易方达基金管理有限公司</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基金托管人</w:t>
            </w:r>
          </w:p>
        </w:tc>
        <w:tc>
          <w:tcPr>
            <w:tcW w:type="dxa" w:w="5529"/>
            <w:gridSpan w:val="2"/>
          </w:tcPr>
          <w:p w:rsidP="00E205AA" w:rsidR="00F016DD" w:rsidRDefault="00F016DD" w:rsidRPr="00C30CFF">
            <w:pPr>
              <w:adjustRightInd w:val="0"/>
              <w:spacing w:before="29" w:line="360" w:lineRule="auto"/>
              <w:ind w:left="17"/>
              <w:jc w:val="left"/>
              <w:rPr>
                <w:color w:val="00000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中国光大银行股份有限公司</w:t>
            </w:r>
          </w:p>
        </w:tc>
      </w:tr>
      <w:tr w:rsidR="00F016DD" w:rsidRPr="0078105B" w:rsidTr="00414367">
        <w:tc>
          <w:tcPr>
            <w:tcW w:type="dxa" w:w="2835"/>
          </w:tcPr>
          <w:p w:rsidP="003F13CD" w:rsidR="00F016DD" w:rsidRDefault="00F016DD" w:rsidRPr="00C30CFF">
            <w:pPr>
              <w:adjustRightInd w:val="0"/>
              <w:spacing w:before="29" w:line="360" w:lineRule="auto"/>
              <w:ind w:left="17"/>
              <w:jc w:val="left"/>
              <w:rPr>
                <w:kern w:val="0"/>
                <w:sz w:val="24"/>
              </w:rPr>
            </w:pPr>
            <w:r w:rsidRPr="00C30CFF">
              <w:rPr>
                <w:color w:val="000000"/>
                <w:sz w:val="24"/>
              </w:rPr>
              <w:t>下属</w:t>
            </w:r>
            <w:r w:rsidR="003F13CD" w:rsidRPr="00C30CFF">
              <w:rPr>
                <w:color w:val="000000"/>
                <w:sz w:val="24"/>
              </w:rPr>
              <w:t>分</w:t>
            </w:r>
            <w:r w:rsidRPr="00C30CFF">
              <w:rPr>
                <w:color w:val="000000"/>
                <w:sz w:val="24"/>
              </w:rPr>
              <w:t>级基金的基金简称</w:t>
            </w:r>
          </w:p>
        </w:tc>
        <w:tc>
          <w:tcPr>
            <w:tcW w:type="dxa" w:w="2739"/>
            <w:vAlign w:val="center"/>
          </w:tcPr>
          <w:p w:rsidP="00950413" w:rsidR="00F016DD" w:rsidRDefault="00F016DD" w:rsidRPr="00C30CFF">
            <w:pPr>
              <w:jc w:val="left"/>
              <w:rPr>
                <w:sz w:val="24"/>
              </w:rPr>
            </w:pPr>
            <w:r w:rsidRPr="00C30CFF">
              <w:rPr>
                <w:color w:val="000000"/>
                <w:kern w:val="0"/>
                <w:sz w:val="24"/>
              </w:rPr>
              <w:t/>
            </w:r>
            <w:proofErr w:type="spellStart"/>
            <w:r w:rsidRPr="00C30CFF">
              <w:rPr>
                <w:color w:val="000000"/>
                <w:kern w:val="0"/>
                <w:sz w:val="24"/>
              </w:rPr>
              <w:t/>
            </w:r>
            <w:proofErr w:type="spellEnd"/>
            <w:r w:rsidRPr="00C30CFF">
              <w:rPr>
                <w:sz w:val="24"/>
              </w:rPr>
              <w:t>易方达瑞选混合I</w:t>
            </w:r>
          </w:p>
        </w:tc>
        <w:tc>
          <w:tcPr>
            <w:tcW w:type="dxa" w:w="2790"/>
            <w:vAlign w:val="center"/>
          </w:tcPr>
          <w:p w:rsidP="00950413" w:rsidR="00F016DD" w:rsidRDefault="00F016DD" w:rsidRPr="00C30CFF">
            <w:pPr>
              <w:jc w:val="left"/>
              <w:rPr>
                <w:sz w:val="24"/>
              </w:rPr>
            </w:pPr>
            <w:r w:rsidRPr="00C30CFF">
              <w:rPr>
                <w:color w:val="000000"/>
                <w:kern w:val="0"/>
                <w:sz w:val="24"/>
              </w:rPr>
              <w:t/>
            </w:r>
            <w:r w:rsidRPr="00C30CFF">
              <w:rPr>
                <w:sz w:val="24"/>
              </w:rPr>
              <w:t>易方达瑞选混合E</w:t>
            </w:r>
          </w:p>
        </w:tc>
      </w:tr>
      <w:tr w:rsidR="00F016DD" w:rsidRPr="004D29A9" w:rsidTr="00414367">
        <w:tc>
          <w:tcPr>
            <w:tcW w:type="dxa" w:w="2835"/>
          </w:tcPr>
          <w:p w:rsidP="003F13CD" w:rsidR="00F016DD" w:rsidRDefault="00F016DD" w:rsidRPr="00C30CFF">
            <w:pPr>
              <w:adjustRightInd w:val="0"/>
              <w:spacing w:before="29" w:line="360" w:lineRule="auto"/>
              <w:ind w:left="17"/>
              <w:jc w:val="left"/>
              <w:rPr>
                <w:color w:val="000000"/>
                <w:sz w:val="24"/>
              </w:rPr>
            </w:pPr>
            <w:r w:rsidRPr="00C30CFF">
              <w:rPr>
                <w:color w:val="000000"/>
                <w:sz w:val="24"/>
              </w:rPr>
              <w:t>下属</w:t>
            </w:r>
            <w:r w:rsidR="003F13CD" w:rsidRPr="00C30CFF">
              <w:rPr>
                <w:color w:val="000000"/>
                <w:sz w:val="24"/>
              </w:rPr>
              <w:t>分</w:t>
            </w:r>
            <w:r w:rsidRPr="00C30CFF">
              <w:rPr>
                <w:color w:val="000000"/>
                <w:sz w:val="24"/>
              </w:rPr>
              <w:t>级基金的交易代</w:t>
            </w:r>
            <w:r w:rsidRPr="00C30CFF">
              <w:rPr>
                <w:color w:val="000000"/>
                <w:sz w:val="24"/>
              </w:rPr>
              <w:lastRenderedPageBreak/>
              <w:t>码</w:t>
            </w:r>
            <w:r w:rsidRPr="00C30CFF">
              <w:rPr>
                <w:color w:val="000000"/>
                <w:sz w:val="24"/>
              </w:rPr>
              <w:t/>
            </w:r>
            <w:proofErr w:type="spellStart"/>
            <w:r w:rsidRPr="00C30CFF">
              <w:rPr>
                <w:color w:val="000000"/>
              </w:rPr>
              <w:t/>
            </w:r>
            <w:proofErr w:type="spellEnd"/>
            <w:r w:rsidRPr="00C30CFF">
              <w:rPr>
                <w:color w:val="000000"/>
                <w:sz w:val="24"/>
              </w:rPr>
              <w:t/>
            </w:r>
          </w:p>
        </w:tc>
        <w:tc>
          <w:tcPr>
            <w:tcW w:type="dxa" w:w="2739"/>
            <w:vAlign w:val="center"/>
          </w:tcPr>
          <w:p w:rsidP="00950413" w:rsidR="00F016DD" w:rsidRDefault="00F016DD" w:rsidRPr="00C30CFF">
            <w:pPr>
              <w:jc w:val="left"/>
              <w:rPr>
                <w:color w:val="000000"/>
                <w:sz w:val="24"/>
              </w:rPr>
            </w:pPr>
            <w:r w:rsidRPr="00C30CFF">
              <w:rPr>
                <w:color w:val="000000"/>
                <w:kern w:val="0"/>
                <w:sz w:val="24"/>
              </w:rPr>
              <w:lastRenderedPageBreak/>
              <w:t/>
            </w:r>
            <w:proofErr w:type="spellStart"/>
            <w:r w:rsidRPr="00C30CFF">
              <w:rPr>
                <w:color w:val="000000"/>
                <w:kern w:val="0"/>
                <w:sz w:val="24"/>
              </w:rPr>
              <w:t/>
            </w:r>
            <w:proofErr w:type="spellEnd"/>
            <w:r w:rsidRPr="00C30CFF">
              <w:rPr>
                <w:color w:val="000000"/>
                <w:kern w:val="0"/>
                <w:sz w:val="24"/>
              </w:rPr>
              <w:t/>
            </w:r>
            <w:proofErr w:type="spellStart"/>
            <w:r w:rsidRPr="00C30CFF">
              <w:rPr>
                <w:color w:val="000000"/>
                <w:sz w:val="24"/>
              </w:rPr>
              <w:t/>
            </w:r>
            <w:proofErr w:type="spellEnd"/>
            <w:r w:rsidRPr="00C30CFF">
              <w:rPr>
                <w:color w:val="000000"/>
                <w:sz w:val="24"/>
              </w:rPr>
              <w:t/>
            </w:r>
            <w:r w:rsidRPr="00C30CFF">
              <w:rPr>
                <w:color w:val="000000"/>
                <w:sz w:val="24"/>
              </w:rPr>
              <w:lastRenderedPageBreak/>
              <w:t>001443</w:t>
            </w:r>
          </w:p>
        </w:tc>
        <w:tc>
          <w:tcPr>
            <w:tcW w:type="dxa" w:w="2790"/>
            <w:vAlign w:val="center"/>
          </w:tcPr>
          <w:p w:rsidP="00950413" w:rsidR="00F016DD" w:rsidRDefault="00F016DD" w:rsidRPr="00C30CFF">
            <w:pPr>
              <w:jc w:val="left"/>
              <w:rPr>
                <w:color w:val="000000"/>
                <w:sz w:val="24"/>
              </w:rPr>
            </w:pPr>
            <w:r w:rsidRPr="00C30CFF">
              <w:rPr>
                <w:color w:val="000000"/>
                <w:kern w:val="0"/>
                <w:sz w:val="24"/>
              </w:rPr>
              <w:lastRenderedPageBreak/>
              <w:t/>
            </w:r>
            <w:proofErr w:type="spellStart"/>
            <w:r w:rsidRPr="00C30CFF">
              <w:rPr>
                <w:color w:val="000000"/>
                <w:kern w:val="0"/>
                <w:sz w:val="24"/>
              </w:rPr>
              <w:t/>
            </w:r>
            <w:proofErr w:type="spellEnd"/>
            <w:r w:rsidRPr="00C30CFF">
              <w:rPr>
                <w:color w:val="000000"/>
                <w:kern w:val="0"/>
                <w:sz w:val="24"/>
              </w:rPr>
              <w:t/>
            </w:r>
            <w:r w:rsidRPr="00C30CFF">
              <w:rPr>
                <w:color w:val="000000"/>
                <w:sz w:val="24"/>
              </w:rPr>
              <w:t>001444</w:t>
            </w:r>
          </w:p>
        </w:tc>
      </w:tr>
      <w:tr w:rsidR="00F016DD" w:rsidRPr="0078105B" w:rsidTr="00414367">
        <w:tc>
          <w:tcPr>
            <w:tcW w:type="dxa" w:w="2835"/>
          </w:tcPr>
          <w:p w:rsidP="00162D92" w:rsidR="00F016DD" w:rsidRDefault="00F016DD" w:rsidRPr="00C30CFF">
            <w:pPr>
              <w:adjustRightInd w:val="0"/>
              <w:spacing w:before="29" w:line="360" w:lineRule="auto"/>
              <w:ind w:left="17"/>
              <w:jc w:val="left"/>
              <w:rPr>
                <w:color w:val="000000"/>
                <w:sz w:val="24"/>
              </w:rPr>
            </w:pPr>
            <w:r w:rsidRPr="00C30CFF">
              <w:rPr>
                <w:color w:val="000000"/>
                <w:sz w:val="24"/>
              </w:rPr>
              <w:t>报告期末下属</w:t>
            </w:r>
            <w:r w:rsidR="00162D92" w:rsidRPr="00C30CFF">
              <w:rPr>
                <w:color w:val="000000"/>
                <w:sz w:val="24"/>
              </w:rPr>
              <w:t>分</w:t>
            </w:r>
            <w:r w:rsidRPr="00C30CFF">
              <w:rPr>
                <w:color w:val="000000"/>
                <w:sz w:val="24"/>
              </w:rPr>
              <w:t>级基金的份额总额</w:t>
            </w:r>
          </w:p>
        </w:tc>
        <w:tc>
          <w:tcPr>
            <w:tcW w:type="dxa" w:w="2739"/>
            <w:vAlign w:val="center"/>
          </w:tcPr>
          <w:p w:rsidP="00950413" w:rsidR="00F016DD" w:rsidRDefault="00F016DD" w:rsidRPr="00C30CFF">
            <w:pPr>
              <w:jc w:val="left"/>
              <w:rPr>
                <w:sz w:val="24"/>
              </w:rPr>
            </w:pPr>
            <w:r w:rsidRPr="00C30CFF">
              <w:rPr>
                <w:color w:val="000000"/>
                <w:kern w:val="0"/>
                <w:sz w:val="24"/>
              </w:rPr>
              <w:t/>
            </w:r>
            <w:proofErr w:type="spellStart"/>
            <w:r w:rsidRPr="00C30CFF">
              <w:rPr>
                <w:color w:val="000000"/>
                <w:kern w:val="0"/>
                <w:sz w:val="24"/>
              </w:rPr>
              <w:t/>
            </w:r>
            <w:proofErr w:type="spellEnd"/>
            <w:r w:rsidRPr="00C30CFF">
              <w:rPr>
                <w:sz w:val="24"/>
              </w:rPr>
              <w:t>711,675,062.60</w:t>
            </w:r>
            <w:r w:rsidRPr="00C30CFF">
              <w:rPr>
                <w:color w:val="000000"/>
                <w:kern w:val="0"/>
                <w:sz w:val="24"/>
              </w:rPr>
              <w:t>份</w:t>
            </w:r>
          </w:p>
        </w:tc>
        <w:tc>
          <w:tcPr>
            <w:tcW w:type="dxa" w:w="2790"/>
            <w:vAlign w:val="center"/>
          </w:tcPr>
          <w:p w:rsidP="00950413" w:rsidR="00F016DD" w:rsidRDefault="00F016DD" w:rsidRPr="00C30CFF">
            <w:pPr>
              <w:jc w:val="left"/>
              <w:rPr>
                <w:sz w:val="24"/>
              </w:rPr>
            </w:pPr>
            <w:r w:rsidRPr="00C30CFF">
              <w:rPr>
                <w:color w:val="000000"/>
                <w:kern w:val="0"/>
                <w:sz w:val="24"/>
              </w:rPr>
              <w:t/>
            </w:r>
            <w:r w:rsidRPr="00C30CFF">
              <w:rPr>
                <w:sz w:val="24"/>
              </w:rPr>
              <w:t>106,271,979.49</w:t>
            </w:r>
            <w:r w:rsidRPr="00C30CFF">
              <w:rPr>
                <w:color w:val="000000"/>
                <w:kern w:val="0"/>
                <w:sz w:val="24"/>
              </w:rPr>
              <w:t>份</w:t>
            </w:r>
          </w:p>
        </w:tc>
      </w:tr>
    </w:tbl>
    <w:p w:rsidP="00B54884" w:rsidR="00F016DD" w:rsidRDefault="00F016DD" w:rsidRPr="0078105B">
      <w:pPr>
        <w:pStyle w:val="1"/>
        <w:spacing w:after="312" w:afterLines="100" w:before="312" w:beforeLines="100" w:line="360" w:lineRule="auto"/>
        <w:jc w:val="center"/>
        <w:rPr>
          <w:rFonts w:ascii="宋体" w:cs="Arial"/>
          <w:color w:val="000000"/>
          <w:kern w:val="0"/>
          <w:sz w:val="24"/>
          <w:szCs w:val="24"/>
        </w:rPr>
      </w:pPr>
      <w:r w:rsidRPr="0078105B">
        <w:rPr>
          <w:rFonts w:ascii="宋体" w:cs="Arial" w:hAnsi="宋体" w:hint="eastAsia"/>
          <w:color w:val="000000"/>
          <w:kern w:val="0"/>
          <w:sz w:val="24"/>
          <w:szCs w:val="24"/>
        </w:rPr>
        <w:t>§</w:t>
      </w:r>
      <w:r w:rsidRPr="0078105B">
        <w:rPr>
          <w:rFonts w:ascii="宋体" w:cs="Arial" w:hAnsi="宋体"/>
          <w:color w:val="000000"/>
          <w:kern w:val="0"/>
          <w:sz w:val="24"/>
          <w:szCs w:val="24"/>
        </w:rPr>
        <w:t xml:space="preserve">3  </w:t>
      </w:r>
      <w:r w:rsidRPr="0078105B">
        <w:rPr>
          <w:rFonts w:ascii="宋体" w:cs="Arial" w:hAnsi="宋体" w:hint="eastAsia"/>
          <w:color w:val="000000"/>
          <w:kern w:val="0"/>
          <w:sz w:val="24"/>
          <w:szCs w:val="24"/>
        </w:rPr>
        <w:t>主要财务指标和基金净值表现</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 xml:space="preserve">3.1 </w:t>
      </w:r>
      <w:r w:rsidRPr="0078105B">
        <w:rPr>
          <w:rFonts w:ascii="宋体" w:cs="Arial" w:hAnsi="宋体" w:hint="eastAsia"/>
          <w:b/>
          <w:color w:val="000000"/>
          <w:kern w:val="0"/>
          <w:sz w:val="24"/>
        </w:rPr>
        <w:t>主要财务指标</w:t>
      </w:r>
    </w:p>
    <w:p w:rsidP="00E27360" w:rsidR="00F016DD" w:rsidRDefault="00F016DD" w:rsidRPr="00FA472B">
      <w:pPr>
        <w:autoSpaceDE w:val="0"/>
        <w:autoSpaceDN w:val="0"/>
        <w:adjustRightInd w:val="0"/>
        <w:spacing w:before="29" w:line="288" w:lineRule="auto"/>
        <w:ind w:left="15" w:right="480"/>
        <w:jc w:val="right"/>
        <w:rPr>
          <w:rFonts w:ascii="宋体" w:cs="Arial" w:hAnsi="宋体"/>
          <w:color w:val="000000"/>
          <w:kern w:val="0"/>
          <w:sz w:val="24"/>
        </w:rPr>
      </w:pPr>
      <w:r w:rsidRPr="00FA472B">
        <w:rPr>
          <w:rFonts w:ascii="宋体" w:cs="Arial" w:hAnsi="宋体" w:hint="eastAsia"/>
          <w:color w:val="000000"/>
          <w:kern w:val="0"/>
          <w:sz w:val="24"/>
        </w:rPr>
        <w:t>单位：人民币元</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0" w:firstRow="0" w:lastColumn="0" w:lastRow="0" w:noHBand="0" w:noVBand="0" w:val="0000"/>
      </w:tblPr>
      <w:tblGrid>
        <w:gridCol w:w="3402"/>
        <w:gridCol w:w="2481"/>
        <w:gridCol w:w="2481"/>
      </w:tblGrid>
      <w:tr w:rsidR="00F016DD" w:rsidRPr="00FA472B" w:rsidTr="008B5312">
        <w:tc>
          <w:tcPr>
            <w:tcW w:type="dxa" w:w="3402"/>
            <w:vMerge w:val="restart"/>
            <w:vAlign w:val="center"/>
          </w:tcPr>
          <w:p w:rsidP="00E205AA" w:rsidR="00F016DD" w:rsidRDefault="00F016DD" w:rsidRPr="00FA472B">
            <w:pPr>
              <w:adjustRightInd w:val="0"/>
              <w:spacing w:before="29" w:line="360" w:lineRule="auto"/>
              <w:ind w:left="17"/>
              <w:jc w:val="center"/>
              <w:rPr>
                <w:kern w:val="0"/>
                <w:sz w:val="24"/>
              </w:rPr>
            </w:pPr>
            <w:r w:rsidRPr="00FA472B">
              <w:rPr>
                <w:kern w:val="0"/>
                <w:sz w:val="24"/>
              </w:rPr>
              <w:t>主要财务指标</w:t>
            </w:r>
          </w:p>
        </w:tc>
        <w:tc>
          <w:tcPr>
            <w:tcW w:type="dxa" w:w="4962"/>
            <w:gridSpan w:val="2"/>
            <w:vAlign w:val="center"/>
          </w:tcPr>
          <w:p w:rsidP="00E205AA" w:rsidR="00F016DD" w:rsidRDefault="00F016DD" w:rsidRPr="00FA472B">
            <w:pPr>
              <w:adjustRightInd w:val="0"/>
              <w:spacing w:before="29" w:line="360" w:lineRule="auto"/>
              <w:ind w:left="17"/>
              <w:jc w:val="center"/>
              <w:rPr>
                <w:color w:val="000000"/>
                <w:sz w:val="24"/>
              </w:rPr>
            </w:pPr>
            <w:r w:rsidRPr="00FA472B">
              <w:rPr>
                <w:color w:val="000000"/>
                <w:sz w:val="24"/>
              </w:rPr>
              <w:t>报告期</w:t>
            </w:r>
          </w:p>
          <w:p w:rsidP="00E205AA" w:rsidR="00F016DD" w:rsidRDefault="00F016DD" w:rsidRPr="00FA472B">
            <w:pPr>
              <w:adjustRightInd w:val="0"/>
              <w:spacing w:before="29" w:line="360" w:lineRule="auto"/>
              <w:ind w:left="17"/>
              <w:jc w:val="center"/>
              <w:rPr>
                <w:color w:val="000000"/>
                <w:sz w:val="24"/>
              </w:rPr>
            </w:pPr>
            <w:r w:rsidRPr="00FA472B">
              <w:rPr>
                <w:color w:val="000000"/>
                <w:sz w:val="24"/>
              </w:rPr>
              <w:t>(</w:t>
            </w:r>
            <w:proofErr w:type="spellStart"/>
            <w:r w:rsidRPr="00FA472B">
              <w:rPr>
                <w:color w:val="000000"/>
                <w:sz w:val="24"/>
              </w:rPr>
              <w:t/>
            </w:r>
            <w:proofErr w:type="spellEnd"/>
            <w:r w:rsidRPr="00FA472B">
              <w:rPr>
                <w:color w:val="000000"/>
                <w:sz w:val="24"/>
              </w:rPr>
              <w:t>2020年4月1日-</w:t>
            </w:r>
            <w:proofErr w:type="spellStart"/>
            <w:r w:rsidRPr="00FA472B">
              <w:rPr>
                <w:color w:val="000000"/>
                <w:sz w:val="24"/>
              </w:rPr>
              <w:t/>
            </w:r>
            <w:proofErr w:type="spellEnd"/>
            <w:r w:rsidRPr="00FA472B">
              <w:rPr>
                <w:color w:val="000000"/>
                <w:sz w:val="24"/>
              </w:rPr>
              <w:t>2020年6月30日)</w:t>
            </w:r>
          </w:p>
        </w:tc>
      </w:tr>
      <w:tr w:rsidR="00F016DD" w:rsidRPr="00FA472B" w:rsidTr="008B5312">
        <w:tc>
          <w:tcPr>
            <w:tcW w:type="dxa" w:w="3402"/>
            <w:vMerge/>
            <w:vAlign w:val="center"/>
          </w:tcPr>
          <w:p w:rsidP="00E205AA" w:rsidR="00F016DD" w:rsidRDefault="00F016DD" w:rsidRPr="00FA472B">
            <w:pPr>
              <w:adjustRightInd w:val="0"/>
              <w:spacing w:before="29" w:line="360" w:lineRule="auto"/>
              <w:ind w:left="17"/>
              <w:jc w:val="center"/>
              <w:rPr>
                <w:kern w:val="0"/>
                <w:sz w:val="24"/>
              </w:rPr>
            </w:pPr>
          </w:p>
        </w:tc>
        <w:tc>
          <w:tcPr>
            <w:tcW w:type="dxa" w:w="2481"/>
            <w:vAlign w:val="center"/>
          </w:tcPr>
          <w:p w:rsidP="00E205AA" w:rsidR="00F016DD" w:rsidRDefault="00F016DD" w:rsidRPr="00FA472B">
            <w:pPr>
              <w:adjustRightInd w:val="0"/>
              <w:spacing w:before="29" w:line="360" w:lineRule="auto"/>
              <w:ind w:left="17"/>
              <w:jc w:val="center"/>
              <w:rPr>
                <w:color w:val="000000"/>
                <w:sz w:val="24"/>
              </w:rPr>
            </w:pPr>
            <w:r w:rsidRPr="00FA472B">
              <w:rPr>
                <w:color w:val="000000"/>
                <w:kern w:val="0"/>
                <w:sz w:val="24"/>
              </w:rPr>
              <w:t/>
            </w:r>
            <w:proofErr w:type="spellStart"/>
            <w:r w:rsidRPr="00FA472B">
              <w:rPr>
                <w:sz w:val="24"/>
              </w:rPr>
              <w:t/>
            </w:r>
            <w:proofErr w:type="spellEnd"/>
            <w:r w:rsidRPr="00FA472B">
              <w:rPr>
                <w:sz w:val="24"/>
              </w:rPr>
              <w:t>易方达瑞选混合I</w:t>
            </w:r>
          </w:p>
        </w:tc>
        <w:tc>
          <w:tcPr>
            <w:tcW w:type="dxa" w:w="2481"/>
            <w:vAlign w:val="center"/>
          </w:tcPr>
          <w:p w:rsidP="00E205AA" w:rsidR="00F016DD" w:rsidRDefault="00F016DD" w:rsidRPr="00FA472B">
            <w:pPr>
              <w:adjustRightInd w:val="0"/>
              <w:spacing w:before="29" w:line="360" w:lineRule="auto"/>
              <w:ind w:left="17"/>
              <w:jc w:val="center"/>
              <w:rPr>
                <w:color w:val="000000"/>
                <w:sz w:val="24"/>
              </w:rPr>
            </w:pPr>
            <w:r w:rsidRPr="00FA472B">
              <w:rPr>
                <w:color w:val="000000"/>
                <w:kern w:val="0"/>
                <w:sz w:val="24"/>
              </w:rPr>
              <w:t/>
            </w:r>
            <w:r w:rsidRPr="00FA472B">
              <w:rPr>
                <w:sz w:val="24"/>
              </w:rPr>
              <w:t>易方达瑞选混合E</w:t>
            </w:r>
          </w:p>
        </w:tc>
      </w:tr>
      <w:tr w:rsidR="00F016DD" w:rsidRPr="00FA472B" w:rsidTr="00973B57">
        <w:tc>
          <w:tcPr>
            <w:tcW w:type="dxa" w:w="3402"/>
          </w:tcPr>
          <w:p w:rsidP="00973B57" w:rsidR="00F016DD" w:rsidRDefault="00F016DD" w:rsidRPr="00FA472B">
            <w:pPr>
              <w:adjustRightInd w:val="0"/>
              <w:spacing w:before="29" w:line="360" w:lineRule="auto"/>
              <w:ind w:left="17"/>
              <w:rPr>
                <w:kern w:val="0"/>
                <w:sz w:val="24"/>
              </w:rPr>
            </w:pPr>
            <w:r w:rsidRPr="00FA472B">
              <w:rPr>
                <w:kern w:val="0"/>
                <w:sz w:val="24"/>
              </w:rPr>
              <w:t>1.</w:t>
            </w:r>
            <w:r w:rsidRPr="00FA472B">
              <w:rPr>
                <w:kern w:val="0"/>
                <w:sz w:val="24"/>
              </w:rPr>
              <w:t>本期已实现收益</w:t>
            </w:r>
          </w:p>
        </w:tc>
        <w:tc>
          <w:tcPr>
            <w:tcW w:type="dxa" w:w="2481"/>
            <w:vAlign w:val="bottom"/>
          </w:tcPr>
          <w:p w:rsidP="00973B57" w:rsidR="00F016DD" w:rsidRDefault="00F016DD" w:rsidRPr="00FA472B">
            <w:pPr>
              <w:adjustRightInd w:val="0"/>
              <w:spacing w:before="29" w:line="360" w:lineRule="auto"/>
              <w:ind w:left="17"/>
              <w:jc w:val="right"/>
              <w:rPr>
                <w:color w:val="000000"/>
                <w:sz w:val="24"/>
              </w:rPr>
            </w:pPr>
            <w:r w:rsidRPr="00FA472B">
              <w:rPr>
                <w:color w:val="000000"/>
                <w:sz w:val="24"/>
              </w:rPr>
              <w:t>39,980,635.88</w:t>
            </w:r>
          </w:p>
        </w:tc>
        <w:tc>
          <w:tcPr>
            <w:tcW w:type="dxa" w:w="2481"/>
            <w:vAlign w:val="bottom"/>
          </w:tcPr>
          <w:p w:rsidP="0037768B" w:rsidR="00F016DD" w:rsidRDefault="00F016DD" w:rsidRPr="00FA472B">
            <w:pPr>
              <w:adjustRightInd w:val="0"/>
              <w:spacing w:before="29" w:line="360" w:lineRule="auto"/>
              <w:ind w:left="17"/>
              <w:jc w:val="right"/>
              <w:rPr>
                <w:color w:val="000000"/>
                <w:sz w:val="24"/>
              </w:rPr>
            </w:pPr>
            <w:r w:rsidRPr="00FA472B">
              <w:rPr>
                <w:color w:val="000000"/>
                <w:sz w:val="24"/>
              </w:rPr>
              <w:t>5,359,028.78</w:t>
            </w:r>
          </w:p>
        </w:tc>
      </w:tr>
      <w:tr w:rsidR="00F016DD" w:rsidRPr="00FA472B" w:rsidTr="009A5C1D">
        <w:tc>
          <w:tcPr>
            <w:tcW w:type="dxa" w:w="3402"/>
          </w:tcPr>
          <w:p w:rsidP="00E205AA" w:rsidR="00F016DD" w:rsidRDefault="00F016DD" w:rsidRPr="00FA472B">
            <w:pPr>
              <w:adjustRightInd w:val="0"/>
              <w:spacing w:before="29" w:line="360" w:lineRule="auto"/>
              <w:ind w:left="17"/>
              <w:rPr>
                <w:kern w:val="0"/>
                <w:sz w:val="24"/>
              </w:rPr>
            </w:pPr>
            <w:r w:rsidRPr="00FA472B">
              <w:rPr>
                <w:kern w:val="0"/>
                <w:sz w:val="24"/>
              </w:rPr>
              <w:t>2.</w:t>
            </w:r>
            <w:r w:rsidRPr="00FA472B">
              <w:rPr>
                <w:kern w:val="0"/>
                <w:sz w:val="24"/>
              </w:rPr>
              <w:t>本期利润</w:t>
            </w:r>
          </w:p>
        </w:tc>
        <w:tc>
          <w:tcPr>
            <w:tcW w:type="dxa" w:w="2481"/>
            <w:vAlign w:val="bottom"/>
          </w:tcPr>
          <w:p w:rsidP="004A67B0" w:rsidR="00F016DD" w:rsidRDefault="00F016DD" w:rsidRPr="00FA472B">
            <w:pPr>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64,706,071.66</w:t>
            </w:r>
          </w:p>
        </w:tc>
        <w:tc>
          <w:tcPr>
            <w:tcW w:type="dxa" w:w="2481"/>
            <w:vAlign w:val="bottom"/>
          </w:tcPr>
          <w:p w:rsidP="004A67B0" w:rsidR="00F016DD" w:rsidRDefault="00F016DD" w:rsidRPr="00FA472B">
            <w:pPr>
              <w:adjustRightInd w:val="0"/>
              <w:spacing w:before="29" w:line="360" w:lineRule="auto"/>
              <w:ind w:left="17"/>
              <w:jc w:val="right"/>
              <w:rPr>
                <w:color w:val="000000"/>
                <w:sz w:val="24"/>
              </w:rPr>
            </w:pPr>
            <w:r w:rsidRPr="00FA472B">
              <w:rPr>
                <w:color w:val="000000"/>
                <w:sz w:val="24"/>
              </w:rPr>
              <w:t>6,238,650.68</w:t>
            </w:r>
          </w:p>
        </w:tc>
      </w:tr>
      <w:tr w:rsidR="00F016DD" w:rsidRPr="00FA472B" w:rsidTr="009A5C1D">
        <w:tc>
          <w:tcPr>
            <w:tcW w:type="dxa" w:w="3402"/>
          </w:tcPr>
          <w:p w:rsidP="00E205AA" w:rsidR="00F016DD" w:rsidRDefault="00F016DD" w:rsidRPr="00FA472B">
            <w:pPr>
              <w:adjustRightInd w:val="0"/>
              <w:spacing w:before="29" w:line="360" w:lineRule="auto"/>
              <w:ind w:left="17"/>
              <w:rPr>
                <w:kern w:val="0"/>
                <w:sz w:val="24"/>
              </w:rPr>
            </w:pPr>
            <w:r w:rsidRPr="00FA472B">
              <w:rPr>
                <w:kern w:val="0"/>
                <w:sz w:val="24"/>
              </w:rPr>
              <w:t>3.</w:t>
            </w:r>
            <w:r w:rsidRPr="00FA472B">
              <w:rPr>
                <w:kern w:val="0"/>
                <w:sz w:val="24"/>
              </w:rPr>
              <w:t>加权平均基金份额本期利润</w:t>
            </w:r>
          </w:p>
        </w:tc>
        <w:tc>
          <w:tcPr>
            <w:tcW w:type="dxa" w:w="2481"/>
            <w:vAlign w:val="bottom"/>
          </w:tcPr>
          <w:p w:rsidP="004A67B0" w:rsidR="00F016DD" w:rsidRDefault="00F016DD" w:rsidRPr="00FA472B">
            <w:pPr>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0.0944</w:t>
            </w:r>
          </w:p>
        </w:tc>
        <w:tc>
          <w:tcPr>
            <w:tcW w:type="dxa" w:w="2481"/>
            <w:vAlign w:val="bottom"/>
          </w:tcPr>
          <w:p w:rsidP="004A67B0" w:rsidR="00F016DD" w:rsidRDefault="00F016DD" w:rsidRPr="00FA472B">
            <w:pPr>
              <w:adjustRightInd w:val="0"/>
              <w:spacing w:before="29" w:line="360" w:lineRule="auto"/>
              <w:ind w:left="17"/>
              <w:jc w:val="right"/>
              <w:rPr>
                <w:color w:val="000000"/>
                <w:sz w:val="24"/>
              </w:rPr>
            </w:pPr>
            <w:r w:rsidRPr="00FA472B">
              <w:rPr>
                <w:color w:val="000000"/>
                <w:sz w:val="24"/>
              </w:rPr>
              <w:t>0.0778</w:t>
            </w:r>
          </w:p>
        </w:tc>
      </w:tr>
      <w:tr w:rsidR="00F016DD" w:rsidRPr="00FA472B" w:rsidTr="009A5C1D">
        <w:tc>
          <w:tcPr>
            <w:tcW w:type="dxa" w:w="3402"/>
          </w:tcPr>
          <w:p w:rsidP="00E205AA" w:rsidR="00F016DD" w:rsidRDefault="00F016DD" w:rsidRPr="00FA472B">
            <w:pPr>
              <w:adjustRightInd w:val="0"/>
              <w:spacing w:before="29" w:line="360" w:lineRule="auto"/>
              <w:ind w:left="17"/>
              <w:rPr>
                <w:kern w:val="0"/>
                <w:sz w:val="24"/>
              </w:rPr>
            </w:pPr>
            <w:r w:rsidRPr="00FA472B">
              <w:rPr>
                <w:kern w:val="0"/>
                <w:sz w:val="24"/>
              </w:rPr>
              <w:t>4.</w:t>
            </w:r>
            <w:r w:rsidRPr="00FA472B">
              <w:rPr>
                <w:kern w:val="0"/>
                <w:sz w:val="24"/>
              </w:rPr>
              <w:t>期末基金资产净值</w:t>
            </w:r>
          </w:p>
        </w:tc>
        <w:tc>
          <w:tcPr>
            <w:tcW w:type="dxa" w:w="2481"/>
          </w:tcPr>
          <w:p w:rsidP="004A67B0" w:rsidR="00F016DD" w:rsidRDefault="00F016DD" w:rsidRPr="00FA472B">
            <w:pPr>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972,940,805.25</w:t>
            </w:r>
          </w:p>
        </w:tc>
        <w:tc>
          <w:tcPr>
            <w:tcW w:type="dxa" w:w="2481"/>
          </w:tcPr>
          <w:p w:rsidP="004A67B0" w:rsidR="00F016DD" w:rsidRDefault="00F016DD" w:rsidRPr="00FA472B">
            <w:pPr>
              <w:adjustRightInd w:val="0"/>
              <w:spacing w:before="29" w:line="360" w:lineRule="auto"/>
              <w:ind w:left="17"/>
              <w:jc w:val="right"/>
              <w:rPr>
                <w:color w:val="000000"/>
                <w:sz w:val="24"/>
              </w:rPr>
            </w:pPr>
            <w:r w:rsidRPr="00FA472B">
              <w:rPr>
                <w:color w:val="000000"/>
                <w:sz w:val="24"/>
              </w:rPr>
              <w:t>143,735,396.83</w:t>
            </w:r>
          </w:p>
        </w:tc>
      </w:tr>
      <w:tr w:rsidR="00F016DD" w:rsidRPr="00FA472B" w:rsidTr="009A5C1D">
        <w:trPr>
          <w:trHeight w:val="158"/>
        </w:trPr>
        <w:tc>
          <w:tcPr>
            <w:tcW w:type="dxa" w:w="3402"/>
          </w:tcPr>
          <w:p w:rsidP="00E205AA" w:rsidR="00F016DD" w:rsidRDefault="00F016DD" w:rsidRPr="00FA472B">
            <w:pPr>
              <w:adjustRightInd w:val="0"/>
              <w:spacing w:before="29" w:line="360" w:lineRule="auto"/>
              <w:ind w:left="17"/>
              <w:rPr>
                <w:kern w:val="0"/>
                <w:sz w:val="24"/>
              </w:rPr>
            </w:pPr>
            <w:r w:rsidRPr="00FA472B">
              <w:rPr>
                <w:kern w:val="0"/>
                <w:sz w:val="24"/>
              </w:rPr>
              <w:lastRenderedPageBreak/>
              <w:t>5.</w:t>
            </w:r>
            <w:r w:rsidRPr="00FA472B">
              <w:rPr>
                <w:kern w:val="0"/>
                <w:sz w:val="24"/>
              </w:rPr>
              <w:t>期末基金份额净值</w:t>
            </w:r>
          </w:p>
        </w:tc>
        <w:tc>
          <w:tcPr>
            <w:tcW w:type="dxa" w:w="2481"/>
          </w:tcPr>
          <w:p w:rsidP="004A67B0" w:rsidR="00F016DD" w:rsidRDefault="00F016DD" w:rsidRPr="00FA472B">
            <w:pPr>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1.367</w:t>
            </w:r>
          </w:p>
        </w:tc>
        <w:tc>
          <w:tcPr>
            <w:tcW w:type="dxa" w:w="2481"/>
          </w:tcPr>
          <w:p w:rsidP="004A67B0" w:rsidR="00F016DD" w:rsidRDefault="00F016DD" w:rsidRPr="00FA472B">
            <w:pPr>
              <w:adjustRightInd w:val="0"/>
              <w:spacing w:before="29" w:line="360" w:lineRule="auto"/>
              <w:ind w:left="17"/>
              <w:jc w:val="right"/>
              <w:rPr>
                <w:color w:val="000000"/>
                <w:sz w:val="24"/>
              </w:rPr>
            </w:pPr>
            <w:r w:rsidRPr="00FA472B">
              <w:rPr>
                <w:color w:val="000000"/>
                <w:sz w:val="24"/>
              </w:rPr>
              <w:t>1.353</w:t>
            </w:r>
          </w:p>
        </w:tc>
      </w:tr>
    </w:tbl>
    <w:p>
      <w:pPr>
        <w:spacing w:line="360" w:lineRule="auto"/>
        <w:ind w:firstLine="480" w:firstLineChars="200"/>
        <w:rPr>
          <w:color w:val="000000"/>
          <w:sz w:val="24"/>
        </w:rPr>
      </w:pPr>
      <w:r>
        <w:rPr>
          <w:color w:val="000000"/>
          <w:sz w:val="24"/>
        </w:rPr>
        <w:t>注：1.所述基金业绩指标不包括持有人认购或交易基金的各项费用，计入费用后实际收益水平要低于所列数字。</w:t>
      </w:r>
    </w:p>
    <w:p w:rsidP="00C30CFF" w:rsidR="00F016DD" w:rsidRDefault="00F016DD" w:rsidRPr="00C30CFF">
      <w:pPr>
        <w:spacing w:line="360" w:lineRule="auto"/>
        <w:ind w:firstLine="480" w:firstLineChars="200"/>
        <w:rPr>
          <w:color w:val="000000"/>
          <w:sz w:val="24"/>
        </w:rPr>
      </w:pPr>
      <w:r w:rsidRPr="00C30CFF">
        <w:rPr>
          <w:color w:val="000000"/>
          <w:sz w:val="24"/>
        </w:rPr>
        <w:t/>
      </w:r>
      <w:proofErr w:type="spellStart"/>
      <w:proofErr w:type="gramStart"/>
      <w:r w:rsidRPr="00C30CFF">
        <w:rPr>
          <w:color w:val="000000"/>
          <w:sz w:val="24"/>
        </w:rPr>
        <w:t/>
      </w:r>
      <w:proofErr w:type="spellEnd"/>
      <w:proofErr w:type="gramEnd"/>
      <w:r w:rsidRPr="00C30CFF">
        <w:rPr>
          <w:color w:val="000000"/>
          <w:sz w:val="24"/>
        </w:rPr>
        <w:t>2.本期已实现收益指基金本期利息收入、投资收益、其他收入（不含公允价值变动收益）扣除相关费用后的余额，本期利润为本期已实现收益加上本期公允价值变动收益。</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 xml:space="preserve">3.2 </w:t>
      </w:r>
      <w:r w:rsidRPr="0078105B">
        <w:rPr>
          <w:rFonts w:ascii="宋体" w:cs="Arial" w:hAnsi="宋体" w:hint="eastAsia"/>
          <w:b/>
          <w:color w:val="000000"/>
          <w:kern w:val="0"/>
          <w:sz w:val="24"/>
        </w:rPr>
        <w:t>基金净值表现</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3.2.1</w:t>
      </w:r>
      <w:r w:rsidRPr="0078105B">
        <w:rPr>
          <w:rFonts w:ascii="宋体" w:cs="Arial" w:hAnsi="宋体" w:hint="eastAsia"/>
          <w:b/>
          <w:color w:val="000000"/>
          <w:kern w:val="0"/>
          <w:sz w:val="24"/>
        </w:rPr>
        <w:t>本报告</w:t>
      </w:r>
      <w:proofErr w:type="gramStart"/>
      <w:r w:rsidRPr="0078105B">
        <w:rPr>
          <w:rFonts w:ascii="宋体" w:cs="Arial" w:hAnsi="宋体" w:hint="eastAsia"/>
          <w:b/>
          <w:color w:val="000000"/>
          <w:kern w:val="0"/>
          <w:sz w:val="24"/>
        </w:rPr>
        <w:t>期基金</w:t>
      </w:r>
      <w:proofErr w:type="gramEnd"/>
      <w:r w:rsidRPr="0078105B">
        <w:rPr>
          <w:rFonts w:ascii="宋体" w:cs="Arial" w:hAnsi="宋体" w:hint="eastAsia"/>
          <w:b/>
          <w:color w:val="000000"/>
          <w:kern w:val="0"/>
          <w:sz w:val="24"/>
        </w:rPr>
        <w:t>份额净值增长率及其与同期业绩比较基准收益率的比较</w:t>
      </w:r>
    </w:p>
    <w:p w:rsidP="00174038" w:rsidR="00F016DD" w:rsidRDefault="00F016DD" w:rsidRPr="0078105B">
      <w:pPr>
        <w:spacing w:line="360" w:lineRule="auto"/>
        <w:ind w:firstLine="361" w:firstLineChars="150"/>
        <w:rPr>
          <w:rFonts w:ascii="宋体"/>
          <w:b/>
          <w:sz w:val="24"/>
        </w:rPr>
      </w:pPr>
      <w:r w:rsidRPr="0078105B">
        <w:rPr>
          <w:rFonts w:ascii="宋体" w:cs="Arial"/>
          <w:b/>
          <w:color w:val="000000"/>
          <w:kern w:val="0"/>
          <w:sz w:val="24"/>
        </w:rPr>
        <w:t/>
      </w:r>
      <w:proofErr w:type="gramStart"/>
      <w:r w:rsidRPr="0078105B">
        <w:rPr>
          <w:rFonts w:ascii="宋体" w:cs="Arial" w:hAnsi="宋体"/>
          <w:b/>
          <w:color w:val="000000"/>
          <w:kern w:val="0"/>
          <w:sz w:val="24"/>
        </w:rPr>
        <w:t/>
      </w:r>
      <w:proofErr w:type="spellStart"/>
      <w:r w:rsidRPr="0078105B">
        <w:rPr>
          <w:rFonts w:ascii="宋体" w:cs="Arial" w:hAnsi="宋体"/>
          <w:b/>
          <w:color w:val="000000"/>
          <w:kern w:val="0"/>
          <w:sz w:val="24"/>
        </w:rPr>
        <w:t/>
      </w:r>
      <w:proofErr w:type="spellEnd"/>
      <w:r w:rsidRPr="0078105B">
        <w:rPr>
          <w:rFonts w:ascii="宋体" w:cs="Arial" w:hAnsi="宋体"/>
          <w:b/>
          <w:color w:val="000000"/>
          <w:kern w:val="0"/>
          <w:sz w:val="24"/>
        </w:rPr>
        <w:t/>
      </w:r>
      <w:proofErr w:type="gramEnd"/>
      <w:r w:rsidRPr="0078105B">
        <w:rPr>
          <w:rFonts w:ascii="宋体" w:cs="Arial" w:hAnsi="宋体"/>
          <w:b/>
          <w:color w:val="000000"/>
          <w:kern w:val="0"/>
          <w:sz w:val="24"/>
        </w:rPr>
        <w:t>易方达瑞选混合I</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1290"/>
        <w:gridCol w:w="1291"/>
        <w:gridCol w:w="1291"/>
        <w:gridCol w:w="1291"/>
        <w:gridCol w:w="1291"/>
        <w:gridCol w:w="1291"/>
        <w:gridCol w:w="1291"/>
      </w:tblGrid>
      <w:tr w:rsidR="00F016DD" w:rsidRPr="0078105B" w:rsidTr="00414367">
        <w:tc>
          <w:tcPr>
            <w:tcW w:type="dxa" w:w="1290"/>
            <w:vAlign w:val="center"/>
          </w:tcPr>
          <w:p w:rsidP="00F4518C" w:rsidR="00F016DD" w:rsidRDefault="00F016DD" w:rsidRPr="00FA472B">
            <w:pPr>
              <w:snapToGrid w:val="0"/>
              <w:spacing w:line="288" w:lineRule="auto"/>
              <w:jc w:val="center"/>
              <w:rPr>
                <w:color w:val="000000"/>
                <w:sz w:val="24"/>
              </w:rPr>
            </w:pPr>
            <w:r w:rsidRPr="00FA472B">
              <w:rPr>
                <w:color w:val="000000"/>
                <w:sz w:val="24"/>
              </w:rPr>
              <w:t>阶段</w:t>
            </w:r>
            <w:r w:rsidRPr="00FA472B">
              <w:rPr>
                <w:color w:val="000000"/>
                <w:sz w:val="24"/>
              </w:rPr>
              <w:t/>
            </w:r>
            <w:proofErr w:type="spellStart"/>
            <w:r w:rsidRPr="00FA472B">
              <w:rPr>
                <w:color w:val="000000"/>
                <w:sz w:val="24"/>
              </w:rPr>
              <w:t/>
            </w:r>
            <w:proofErr w:type="spellEnd"/>
            <w:r w:rsidRPr="00FA472B">
              <w:rPr>
                <w:color w:val="000000"/>
                <w:sz w:val="24"/>
              </w:rPr>
              <w:t/>
            </w:r>
          </w:p>
        </w:tc>
        <w:tc>
          <w:tcPr>
            <w:tcW w:type="dxa" w:w="1291"/>
            <w:vAlign w:val="center"/>
          </w:tcPr>
          <w:p w:rsidP="00F4518C" w:rsidR="00F016DD" w:rsidRDefault="00F016DD" w:rsidRPr="00FA472B">
            <w:pPr>
              <w:snapToGrid w:val="0"/>
              <w:spacing w:line="288" w:lineRule="auto"/>
              <w:jc w:val="center"/>
              <w:rPr>
                <w:color w:val="000000"/>
                <w:sz w:val="24"/>
              </w:rPr>
            </w:pPr>
            <w:r w:rsidRPr="00FA472B">
              <w:rPr>
                <w:color w:val="000000"/>
                <w:sz w:val="24"/>
              </w:rPr>
              <w:t>净值增长率</w:t>
            </w:r>
            <w:r w:rsidRPr="00414367">
              <w:rPr>
                <w:rFonts w:ascii="宋体" w:cs="宋体" w:hAnsi="宋体" w:hint="eastAsia"/>
                <w:color w:val="000000"/>
                <w:sz w:val="24"/>
              </w:rPr>
              <w:t>①</w:t>
            </w:r>
          </w:p>
        </w:tc>
        <w:tc>
          <w:tcPr>
            <w:tcW w:type="dxa" w:w="1291"/>
            <w:vAlign w:val="center"/>
          </w:tcPr>
          <w:p w:rsidP="00F4518C" w:rsidR="00F016DD" w:rsidRDefault="00F016DD" w:rsidRPr="00FA472B">
            <w:pPr>
              <w:snapToGrid w:val="0"/>
              <w:spacing w:line="288" w:lineRule="auto"/>
              <w:jc w:val="center"/>
              <w:rPr>
                <w:color w:val="000000"/>
                <w:sz w:val="24"/>
              </w:rPr>
            </w:pPr>
            <w:r w:rsidRPr="00FA472B">
              <w:rPr>
                <w:color w:val="000000"/>
                <w:sz w:val="24"/>
              </w:rPr>
              <w:t>净值增长率标准差</w:t>
            </w:r>
            <w:r w:rsidRPr="00414367">
              <w:rPr>
                <w:rFonts w:ascii="宋体" w:cs="宋体" w:hAnsi="宋体" w:hint="eastAsia"/>
                <w:color w:val="000000"/>
                <w:sz w:val="24"/>
              </w:rPr>
              <w:t>②</w:t>
            </w:r>
          </w:p>
        </w:tc>
        <w:tc>
          <w:tcPr>
            <w:tcW w:type="dxa" w:w="1291"/>
            <w:vAlign w:val="center"/>
          </w:tcPr>
          <w:p w:rsidP="00F4518C" w:rsidR="00F016DD" w:rsidRDefault="00F016DD" w:rsidRPr="00FA472B">
            <w:pPr>
              <w:snapToGrid w:val="0"/>
              <w:spacing w:line="288" w:lineRule="auto"/>
              <w:jc w:val="center"/>
              <w:rPr>
                <w:color w:val="000000"/>
                <w:sz w:val="24"/>
              </w:rPr>
            </w:pPr>
            <w:r w:rsidRPr="00FA472B">
              <w:rPr>
                <w:color w:val="000000"/>
                <w:sz w:val="24"/>
              </w:rPr>
              <w:t>业绩比较基准收益率</w:t>
            </w:r>
            <w:r w:rsidRPr="00414367">
              <w:rPr>
                <w:rFonts w:ascii="宋体" w:cs="宋体" w:hAnsi="宋体" w:hint="eastAsia"/>
                <w:color w:val="000000"/>
                <w:sz w:val="24"/>
              </w:rPr>
              <w:t>③</w:t>
            </w:r>
          </w:p>
        </w:tc>
        <w:tc>
          <w:tcPr>
            <w:tcW w:type="dxa" w:w="1291"/>
            <w:vAlign w:val="center"/>
          </w:tcPr>
          <w:p w:rsidP="00F4518C" w:rsidR="00F016DD" w:rsidRDefault="00F016DD" w:rsidRPr="00FA472B">
            <w:pPr>
              <w:snapToGrid w:val="0"/>
              <w:spacing w:line="288" w:lineRule="auto"/>
              <w:jc w:val="center"/>
              <w:rPr>
                <w:color w:val="000000"/>
                <w:sz w:val="24"/>
              </w:rPr>
            </w:pPr>
            <w:r w:rsidRPr="00FA472B">
              <w:rPr>
                <w:color w:val="000000"/>
                <w:sz w:val="24"/>
              </w:rPr>
              <w:t>业绩比较基准收益率标准差</w:t>
            </w:r>
            <w:r w:rsidRPr="00414367">
              <w:rPr>
                <w:rFonts w:ascii="宋体" w:cs="宋体" w:hAnsi="宋体" w:hint="eastAsia"/>
                <w:color w:val="000000"/>
                <w:sz w:val="24"/>
              </w:rPr>
              <w:t>④</w:t>
            </w:r>
          </w:p>
        </w:tc>
        <w:tc>
          <w:tcPr>
            <w:tcW w:type="dxa" w:w="1291"/>
            <w:vAlign w:val="center"/>
          </w:tcPr>
          <w:p w:rsidP="00F4518C" w:rsidR="00F016DD" w:rsidRDefault="00F016DD" w:rsidRPr="00FA472B">
            <w:pPr>
              <w:snapToGrid w:val="0"/>
              <w:spacing w:line="288" w:lineRule="auto"/>
              <w:jc w:val="center"/>
              <w:rPr>
                <w:color w:val="000000"/>
                <w:sz w:val="24"/>
              </w:rPr>
            </w:pPr>
            <w:r w:rsidRPr="00414367">
              <w:rPr>
                <w:rFonts w:ascii="宋体" w:cs="宋体" w:hAnsi="宋体" w:hint="eastAsia"/>
                <w:color w:val="000000"/>
                <w:sz w:val="24"/>
              </w:rPr>
              <w:t>①</w:t>
            </w:r>
            <w:r w:rsidRPr="00FA472B">
              <w:rPr>
                <w:color w:val="000000"/>
                <w:sz w:val="24"/>
              </w:rPr>
              <w:t>－</w:t>
            </w:r>
            <w:r w:rsidRPr="00414367">
              <w:rPr>
                <w:rFonts w:ascii="宋体" w:cs="宋体" w:hAnsi="宋体" w:hint="eastAsia"/>
                <w:color w:val="000000"/>
                <w:sz w:val="24"/>
              </w:rPr>
              <w:t>③</w:t>
            </w:r>
          </w:p>
        </w:tc>
        <w:tc>
          <w:tcPr>
            <w:tcW w:type="dxa" w:w="1291"/>
            <w:vAlign w:val="center"/>
          </w:tcPr>
          <w:p w:rsidP="00F4518C" w:rsidR="00F016DD" w:rsidRDefault="00F016DD" w:rsidRPr="00FA472B">
            <w:pPr>
              <w:snapToGrid w:val="0"/>
              <w:spacing w:line="288" w:lineRule="auto"/>
              <w:jc w:val="center"/>
              <w:rPr>
                <w:color w:val="000000"/>
                <w:sz w:val="24"/>
              </w:rPr>
            </w:pPr>
            <w:r w:rsidRPr="00414367">
              <w:rPr>
                <w:rFonts w:ascii="宋体" w:cs="宋体" w:hAnsi="宋体" w:hint="eastAsia"/>
                <w:color w:val="000000"/>
                <w:sz w:val="24"/>
              </w:rPr>
              <w:t>②</w:t>
            </w:r>
            <w:r w:rsidRPr="00FA472B">
              <w:rPr>
                <w:color w:val="000000"/>
                <w:sz w:val="24"/>
              </w:rPr>
              <w:t>－</w:t>
            </w:r>
            <w:r w:rsidRPr="00414367">
              <w:rPr>
                <w:rFonts w:ascii="宋体" w:cs="宋体" w:hAnsi="宋体" w:hint="eastAsia"/>
                <w:color w:val="000000"/>
                <w:sz w:val="24"/>
              </w:rPr>
              <w:t>④</w:t>
            </w:r>
          </w:p>
        </w:tc>
      </w:tr>
      <w:tr>
        <w:tc>
          <w:tcPr>
            <w:vAlign w:val="center"/>
          </w:tcPr>
          <w:p>
            <w:pPr>
              <w:jc w:val="left"/>
            </w:pPr>
            <w:r>
              <w:rPr>
                <w:color w:val="000000"/>
                <w:sz w:val="24"/>
              </w:rPr>
              <w:t>过去三个月</w:t>
            </w:r>
          </w:p>
        </w:tc>
        <w:tc>
          <w:tcPr>
            <w:vAlign w:val="center"/>
          </w:tcPr>
          <w:p>
            <w:pPr>
              <w:jc w:val="center"/>
            </w:pPr>
            <w:r>
              <w:rPr>
                <w:color w:val="000000"/>
                <w:sz w:val="24"/>
              </w:rPr>
              <w:t>7.13%</w:t>
            </w:r>
          </w:p>
        </w:tc>
        <w:tc>
          <w:tcPr>
            <w:vAlign w:val="center"/>
          </w:tcPr>
          <w:p>
            <w:pPr>
              <w:jc w:val="center"/>
            </w:pPr>
            <w:r>
              <w:rPr>
                <w:color w:val="000000"/>
                <w:sz w:val="24"/>
              </w:rPr>
              <w:t>0.40%</w:t>
            </w:r>
          </w:p>
        </w:tc>
        <w:tc>
          <w:tcPr>
            <w:vAlign w:val="center"/>
          </w:tcPr>
          <w:p>
            <w:pPr>
              <w:jc w:val="center"/>
            </w:pPr>
            <w:r>
              <w:rPr>
                <w:color w:val="000000"/>
                <w:sz w:val="24"/>
              </w:rPr>
              <w:t>0.88%</w:t>
            </w:r>
          </w:p>
        </w:tc>
        <w:tc>
          <w:tcPr>
            <w:vAlign w:val="center"/>
          </w:tcPr>
          <w:p>
            <w:pPr>
              <w:jc w:val="center"/>
            </w:pPr>
            <w:r>
              <w:rPr>
                <w:color w:val="000000"/>
                <w:sz w:val="24"/>
              </w:rPr>
              <w:t>0.01%</w:t>
            </w:r>
          </w:p>
        </w:tc>
        <w:tc>
          <w:tcPr>
            <w:vAlign w:val="center"/>
          </w:tcPr>
          <w:p>
            <w:pPr>
              <w:jc w:val="center"/>
            </w:pPr>
            <w:r>
              <w:rPr>
                <w:color w:val="000000"/>
                <w:sz w:val="24"/>
              </w:rPr>
              <w:t>6.25%</w:t>
            </w:r>
          </w:p>
        </w:tc>
        <w:tc>
          <w:tcPr>
            <w:vAlign w:val="center"/>
          </w:tcPr>
          <w:p>
            <w:pPr>
              <w:jc w:val="center"/>
            </w:pPr>
            <w:r>
              <w:rPr>
                <w:color w:val="000000"/>
                <w:sz w:val="24"/>
              </w:rPr>
              <w:t>0.39%</w:t>
            </w:r>
          </w:p>
        </w:tc>
      </w:tr>
      <w:tr>
        <w:tc>
          <w:tcPr>
            <w:vAlign w:val="center"/>
          </w:tcPr>
          <w:p>
            <w:pPr>
              <w:jc w:val="left"/>
            </w:pPr>
            <w:r>
              <w:rPr>
                <w:color w:val="000000"/>
                <w:sz w:val="24"/>
              </w:rPr>
              <w:t>过去六个月</w:t>
            </w:r>
          </w:p>
        </w:tc>
        <w:tc>
          <w:tcPr>
            <w:vAlign w:val="center"/>
          </w:tcPr>
          <w:p>
            <w:pPr>
              <w:jc w:val="center"/>
            </w:pPr>
            <w:r>
              <w:rPr>
                <w:color w:val="000000"/>
                <w:sz w:val="24"/>
              </w:rPr>
              <w:t>11.68%</w:t>
            </w:r>
          </w:p>
        </w:tc>
        <w:tc>
          <w:tcPr>
            <w:vAlign w:val="center"/>
          </w:tcPr>
          <w:p>
            <w:pPr>
              <w:jc w:val="center"/>
            </w:pPr>
            <w:r>
              <w:rPr>
                <w:color w:val="000000"/>
                <w:sz w:val="24"/>
              </w:rPr>
              <w:t>0.60%</w:t>
            </w:r>
          </w:p>
        </w:tc>
        <w:tc>
          <w:tcPr>
            <w:vAlign w:val="center"/>
          </w:tcPr>
          <w:p>
            <w:pPr>
              <w:jc w:val="center"/>
            </w:pPr>
            <w:r>
              <w:rPr>
                <w:color w:val="000000"/>
                <w:sz w:val="24"/>
              </w:rPr>
              <w:t>1.77%</w:t>
            </w:r>
          </w:p>
        </w:tc>
        <w:tc>
          <w:tcPr>
            <w:vAlign w:val="center"/>
          </w:tcPr>
          <w:p>
            <w:pPr>
              <w:jc w:val="center"/>
            </w:pPr>
            <w:r>
              <w:rPr>
                <w:color w:val="000000"/>
                <w:sz w:val="24"/>
              </w:rPr>
              <w:t>0.01%</w:t>
            </w:r>
          </w:p>
        </w:tc>
        <w:tc>
          <w:tcPr>
            <w:vAlign w:val="center"/>
          </w:tcPr>
          <w:p>
            <w:pPr>
              <w:jc w:val="center"/>
            </w:pPr>
            <w:r>
              <w:rPr>
                <w:color w:val="000000"/>
                <w:sz w:val="24"/>
              </w:rPr>
              <w:t>9.91%</w:t>
            </w:r>
          </w:p>
        </w:tc>
        <w:tc>
          <w:tcPr>
            <w:vAlign w:val="center"/>
          </w:tcPr>
          <w:p>
            <w:pPr>
              <w:jc w:val="center"/>
            </w:pPr>
            <w:r>
              <w:rPr>
                <w:color w:val="000000"/>
                <w:sz w:val="24"/>
              </w:rPr>
              <w:t>0.59%</w:t>
            </w:r>
          </w:p>
        </w:tc>
      </w:tr>
      <w:tr>
        <w:tc>
          <w:tcPr>
            <w:vAlign w:val="center"/>
          </w:tcPr>
          <w:p>
            <w:pPr>
              <w:jc w:val="left"/>
            </w:pPr>
            <w:r>
              <w:rPr>
                <w:color w:val="000000"/>
                <w:sz w:val="24"/>
              </w:rPr>
              <w:t>过去一年</w:t>
            </w:r>
          </w:p>
        </w:tc>
        <w:tc>
          <w:tcPr>
            <w:vAlign w:val="center"/>
          </w:tcPr>
          <w:p>
            <w:pPr>
              <w:jc w:val="center"/>
            </w:pPr>
            <w:r>
              <w:rPr>
                <w:color w:val="000000"/>
                <w:sz w:val="24"/>
              </w:rPr>
              <w:t>23.13%</w:t>
            </w:r>
          </w:p>
        </w:tc>
        <w:tc>
          <w:tcPr>
            <w:vAlign w:val="center"/>
          </w:tcPr>
          <w:p>
            <w:pPr>
              <w:jc w:val="center"/>
            </w:pPr>
            <w:r>
              <w:rPr>
                <w:color w:val="000000"/>
                <w:sz w:val="24"/>
              </w:rPr>
              <w:t>0.48%</w:t>
            </w:r>
          </w:p>
        </w:tc>
        <w:tc>
          <w:tcPr>
            <w:vAlign w:val="center"/>
          </w:tcPr>
          <w:p>
            <w:pPr>
              <w:jc w:val="center"/>
            </w:pPr>
            <w:r>
              <w:rPr>
                <w:color w:val="000000"/>
                <w:sz w:val="24"/>
              </w:rPr>
              <w:t>3.56%</w:t>
            </w:r>
          </w:p>
        </w:tc>
        <w:tc>
          <w:tcPr>
            <w:vAlign w:val="center"/>
          </w:tcPr>
          <w:p>
            <w:pPr>
              <w:jc w:val="center"/>
            </w:pPr>
            <w:r>
              <w:rPr>
                <w:color w:val="000000"/>
                <w:sz w:val="24"/>
              </w:rPr>
              <w:t>0.01%</w:t>
            </w:r>
          </w:p>
        </w:tc>
        <w:tc>
          <w:tcPr>
            <w:vAlign w:val="center"/>
          </w:tcPr>
          <w:p>
            <w:pPr>
              <w:jc w:val="center"/>
            </w:pPr>
            <w:r>
              <w:rPr>
                <w:color w:val="000000"/>
                <w:sz w:val="24"/>
              </w:rPr>
              <w:t>19.57%</w:t>
            </w:r>
          </w:p>
        </w:tc>
        <w:tc>
          <w:tcPr>
            <w:vAlign w:val="center"/>
          </w:tcPr>
          <w:p>
            <w:pPr>
              <w:jc w:val="center"/>
            </w:pPr>
            <w:r>
              <w:rPr>
                <w:color w:val="000000"/>
                <w:sz w:val="24"/>
              </w:rPr>
              <w:t>0.47%</w:t>
            </w:r>
          </w:p>
        </w:tc>
      </w:tr>
      <w:tr>
        <w:tc>
          <w:tcPr>
            <w:vAlign w:val="center"/>
          </w:tcPr>
          <w:p>
            <w:pPr>
              <w:jc w:val="left"/>
            </w:pPr>
            <w:r>
              <w:rPr>
                <w:color w:val="000000"/>
                <w:sz w:val="24"/>
              </w:rPr>
              <w:t>过去三年</w:t>
            </w:r>
          </w:p>
        </w:tc>
        <w:tc>
          <w:tcPr>
            <w:vAlign w:val="center"/>
          </w:tcPr>
          <w:p>
            <w:pPr>
              <w:jc w:val="center"/>
            </w:pPr>
            <w:r>
              <w:rPr>
                <w:color w:val="000000"/>
                <w:sz w:val="24"/>
              </w:rPr>
              <w:t>45.71%</w:t>
            </w:r>
          </w:p>
        </w:tc>
        <w:tc>
          <w:tcPr>
            <w:vAlign w:val="center"/>
          </w:tcPr>
          <w:p>
            <w:pPr>
              <w:jc w:val="center"/>
            </w:pPr>
            <w:r>
              <w:rPr>
                <w:color w:val="000000"/>
                <w:sz w:val="24"/>
              </w:rPr>
              <w:t>0.42%</w:t>
            </w:r>
          </w:p>
        </w:tc>
        <w:tc>
          <w:tcPr>
            <w:vAlign w:val="center"/>
          </w:tcPr>
          <w:p>
            <w:pPr>
              <w:jc w:val="center"/>
            </w:pPr>
            <w:r>
              <w:rPr>
                <w:color w:val="000000"/>
                <w:sz w:val="24"/>
              </w:rPr>
              <w:t>10.66%</w:t>
            </w:r>
          </w:p>
        </w:tc>
        <w:tc>
          <w:tcPr>
            <w:vAlign w:val="center"/>
          </w:tcPr>
          <w:p>
            <w:pPr>
              <w:jc w:val="center"/>
            </w:pPr>
            <w:r>
              <w:rPr>
                <w:color w:val="000000"/>
                <w:sz w:val="24"/>
              </w:rPr>
              <w:t>0.01%</w:t>
            </w:r>
          </w:p>
        </w:tc>
        <w:tc>
          <w:tcPr>
            <w:vAlign w:val="center"/>
          </w:tcPr>
          <w:p>
            <w:pPr>
              <w:jc w:val="center"/>
            </w:pPr>
            <w:r>
              <w:rPr>
                <w:color w:val="000000"/>
                <w:sz w:val="24"/>
              </w:rPr>
              <w:t>35.05%</w:t>
            </w:r>
          </w:p>
        </w:tc>
        <w:tc>
          <w:tcPr>
            <w:vAlign w:val="center"/>
          </w:tcPr>
          <w:p>
            <w:pPr>
              <w:jc w:val="center"/>
            </w:pPr>
            <w:r>
              <w:rPr>
                <w:color w:val="000000"/>
                <w:sz w:val="24"/>
              </w:rPr>
              <w:t>0.41%</w:t>
            </w:r>
          </w:p>
        </w:tc>
      </w:tr>
      <w:tr>
        <w:tc>
          <w:tcPr>
            <w:vAlign w:val="center"/>
          </w:tcPr>
          <w:p>
            <w:pPr>
              <w:jc w:val="left"/>
            </w:pPr>
            <w:r>
              <w:rPr>
                <w:color w:val="000000"/>
                <w:sz w:val="24"/>
              </w:rPr>
              <w:t>过去五年</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r>
      <w:tr>
        <w:tc>
          <w:tcPr>
            <w:vAlign w:val="center"/>
          </w:tcPr>
          <w:p>
            <w:pPr>
              <w:jc w:val="left"/>
            </w:pPr>
            <w:r>
              <w:rPr>
                <w:color w:val="000000"/>
                <w:sz w:val="24"/>
              </w:rPr>
              <w:t>自基金合同生效起至今</w:t>
            </w:r>
          </w:p>
        </w:tc>
        <w:tc>
          <w:tcPr>
            <w:vAlign w:val="center"/>
          </w:tcPr>
          <w:p>
            <w:pPr>
              <w:jc w:val="center"/>
            </w:pPr>
            <w:r>
              <w:rPr>
                <w:color w:val="000000"/>
                <w:sz w:val="24"/>
              </w:rPr>
              <w:t>60.71%</w:t>
            </w:r>
          </w:p>
        </w:tc>
        <w:tc>
          <w:tcPr>
            <w:vAlign w:val="center"/>
          </w:tcPr>
          <w:p>
            <w:pPr>
              <w:jc w:val="center"/>
            </w:pPr>
            <w:r>
              <w:rPr>
                <w:color w:val="000000"/>
                <w:sz w:val="24"/>
              </w:rPr>
              <w:t>0.35%</w:t>
            </w:r>
          </w:p>
        </w:tc>
        <w:tc>
          <w:tcPr>
            <w:vAlign w:val="center"/>
          </w:tcPr>
          <w:p>
            <w:pPr>
              <w:jc w:val="center"/>
            </w:pPr>
            <w:r>
              <w:rPr>
                <w:color w:val="000000"/>
                <w:sz w:val="24"/>
              </w:rPr>
              <w:t>16.27%</w:t>
            </w:r>
          </w:p>
        </w:tc>
        <w:tc>
          <w:tcPr>
            <w:vAlign w:val="center"/>
          </w:tcPr>
          <w:p>
            <w:pPr>
              <w:jc w:val="center"/>
            </w:pPr>
            <w:r>
              <w:rPr>
                <w:color w:val="000000"/>
                <w:sz w:val="24"/>
              </w:rPr>
              <w:t>0.01%</w:t>
            </w:r>
          </w:p>
        </w:tc>
        <w:tc>
          <w:tcPr>
            <w:vAlign w:val="center"/>
          </w:tcPr>
          <w:p>
            <w:pPr>
              <w:jc w:val="center"/>
            </w:pPr>
            <w:r>
              <w:rPr>
                <w:color w:val="000000"/>
                <w:sz w:val="24"/>
              </w:rPr>
              <w:t>44.44%</w:t>
            </w:r>
          </w:p>
        </w:tc>
        <w:tc>
          <w:tcPr>
            <w:vAlign w:val="center"/>
          </w:tcPr>
          <w:p>
            <w:pPr>
              <w:jc w:val="center"/>
            </w:pPr>
            <w:r>
              <w:rPr>
                <w:color w:val="000000"/>
                <w:sz w:val="24"/>
              </w:rPr>
              <w:t>0.34%</w:t>
            </w:r>
          </w:p>
        </w:tc>
      </w:tr>
    </w:tbl>
    <w:p w:rsidP="00174038" w:rsidR="00F016DD" w:rsidRDefault="00F016DD" w:rsidRPr="0078105B">
      <w:pPr>
        <w:adjustRightInd w:val="0"/>
        <w:spacing w:line="360" w:lineRule="auto"/>
        <w:ind w:firstLine="361" w:firstLineChars="150"/>
        <w:rPr>
          <w:rFonts w:ascii="宋体" w:cs="Arial"/>
          <w:b/>
          <w:color w:val="000000"/>
          <w:kern w:val="0"/>
          <w:sz w:val="24"/>
        </w:rPr>
      </w:pPr>
      <w:r w:rsidRPr="0078105B">
        <w:rPr>
          <w:rFonts w:ascii="宋体" w:cs="Arial"/>
          <w:b/>
          <w:color w:val="000000"/>
          <w:kern w:val="0"/>
          <w:sz w:val="24"/>
        </w:rPr>
        <w:t/>
      </w:r>
      <w:proofErr w:type="gramStart"/>
      <w:r w:rsidRPr="0078105B">
        <w:rPr>
          <w:rFonts w:ascii="宋体" w:cs="Arial" w:hAnsi="宋体"/>
          <w:b/>
          <w:color w:val="000000"/>
          <w:kern w:val="0"/>
          <w:sz w:val="24"/>
        </w:rPr>
        <w:t/>
      </w:r>
      <w:proofErr w:type="gramEnd"/>
      <w:r w:rsidRPr="0078105B">
        <w:rPr>
          <w:rFonts w:ascii="宋体" w:cs="Arial" w:hAnsi="宋体"/>
          <w:b/>
          <w:color w:val="000000"/>
          <w:kern w:val="0"/>
          <w:sz w:val="24"/>
        </w:rPr>
        <w:t>易方达瑞选混合E</w:t>
      </w:r>
    </w:p>
    <w:tbl>
      <w:tblPr>
        <w:tblW w:type="auto"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1290"/>
        <w:gridCol w:w="1291"/>
        <w:gridCol w:w="1291"/>
        <w:gridCol w:w="1291"/>
        <w:gridCol w:w="1291"/>
        <w:gridCol w:w="1291"/>
        <w:gridCol w:w="1291"/>
      </w:tblGrid>
      <w:tr w:rsidR="00F016DD" w:rsidRPr="0078105B" w:rsidTr="00F4518C">
        <w:tc>
          <w:tcPr>
            <w:tcW w:type="dxa" w:w="1290"/>
            <w:vAlign w:val="center"/>
          </w:tcPr>
          <w:p w:rsidP="00F4518C" w:rsidR="00F016DD" w:rsidRDefault="00F016DD" w:rsidRPr="00FA472B">
            <w:pPr>
              <w:snapToGrid w:val="0"/>
              <w:spacing w:line="288" w:lineRule="auto"/>
              <w:jc w:val="center"/>
              <w:rPr>
                <w:color w:val="000000"/>
                <w:sz w:val="24"/>
              </w:rPr>
            </w:pPr>
            <w:r w:rsidRPr="00FA472B">
              <w:rPr>
                <w:color w:val="000000"/>
                <w:sz w:val="24"/>
              </w:rPr>
              <w:t>阶段</w:t>
            </w:r>
            <w:r w:rsidRPr="00FA472B">
              <w:rPr>
                <w:color w:val="000000"/>
                <w:sz w:val="24"/>
              </w:rPr>
              <w:t/>
            </w:r>
            <w:proofErr w:type="spellStart"/>
            <w:r w:rsidRPr="00FA472B">
              <w:rPr>
                <w:color w:val="000000"/>
                <w:sz w:val="24"/>
              </w:rPr>
              <w:t/>
            </w:r>
            <w:proofErr w:type="spellEnd"/>
            <w:r w:rsidRPr="00FA472B">
              <w:rPr>
                <w:color w:val="000000"/>
                <w:sz w:val="24"/>
              </w:rPr>
              <w:t/>
            </w:r>
          </w:p>
        </w:tc>
        <w:tc>
          <w:tcPr>
            <w:tcW w:type="dxa" w:w="1291"/>
            <w:vAlign w:val="center"/>
          </w:tcPr>
          <w:p w:rsidP="00F4518C" w:rsidR="00F016DD" w:rsidRDefault="00F016DD" w:rsidRPr="00FA472B">
            <w:pPr>
              <w:snapToGrid w:val="0"/>
              <w:spacing w:line="288" w:lineRule="auto"/>
              <w:jc w:val="center"/>
              <w:rPr>
                <w:color w:val="000000"/>
                <w:sz w:val="24"/>
                <w:highlight w:val="green"/>
              </w:rPr>
            </w:pPr>
            <w:r w:rsidRPr="00FA472B">
              <w:rPr>
                <w:color w:val="000000"/>
                <w:sz w:val="24"/>
              </w:rPr>
              <w:t>净值增长率</w:t>
            </w:r>
            <w:r w:rsidRPr="00414367">
              <w:rPr>
                <w:rFonts w:ascii="宋体" w:cs="宋体" w:hAnsi="宋体" w:hint="eastAsia"/>
                <w:color w:val="000000"/>
                <w:sz w:val="24"/>
              </w:rPr>
              <w:t>①</w:t>
            </w:r>
          </w:p>
        </w:tc>
        <w:tc>
          <w:tcPr>
            <w:tcW w:type="dxa" w:w="1291"/>
            <w:vAlign w:val="center"/>
          </w:tcPr>
          <w:p w:rsidP="00F4518C" w:rsidR="00F016DD" w:rsidRDefault="00F016DD" w:rsidRPr="00FA472B">
            <w:pPr>
              <w:snapToGrid w:val="0"/>
              <w:spacing w:line="288" w:lineRule="auto"/>
              <w:jc w:val="center"/>
              <w:rPr>
                <w:color w:val="000000"/>
                <w:sz w:val="24"/>
                <w:highlight w:val="green"/>
              </w:rPr>
            </w:pPr>
            <w:r w:rsidRPr="00FA472B">
              <w:rPr>
                <w:color w:val="000000"/>
                <w:sz w:val="24"/>
              </w:rPr>
              <w:t>净值增长率标准差</w:t>
            </w:r>
            <w:r w:rsidRPr="00414367">
              <w:rPr>
                <w:rFonts w:ascii="宋体" w:cs="宋体" w:hAnsi="宋体" w:hint="eastAsia"/>
                <w:color w:val="000000"/>
                <w:sz w:val="24"/>
              </w:rPr>
              <w:t>②</w:t>
            </w:r>
          </w:p>
        </w:tc>
        <w:tc>
          <w:tcPr>
            <w:tcW w:type="dxa" w:w="1291"/>
            <w:vAlign w:val="center"/>
          </w:tcPr>
          <w:p w:rsidP="00F4518C" w:rsidR="00F016DD" w:rsidRDefault="00F016DD" w:rsidRPr="00FA472B">
            <w:pPr>
              <w:snapToGrid w:val="0"/>
              <w:spacing w:line="288" w:lineRule="auto"/>
              <w:jc w:val="center"/>
              <w:rPr>
                <w:color w:val="000000"/>
                <w:sz w:val="24"/>
              </w:rPr>
            </w:pPr>
            <w:r w:rsidRPr="00FA472B">
              <w:rPr>
                <w:color w:val="000000"/>
                <w:sz w:val="24"/>
              </w:rPr>
              <w:t>业绩比较基准收益率</w:t>
            </w:r>
            <w:r w:rsidRPr="00414367">
              <w:rPr>
                <w:rFonts w:ascii="宋体" w:cs="宋体" w:hAnsi="宋体" w:hint="eastAsia"/>
                <w:color w:val="000000"/>
                <w:sz w:val="24"/>
              </w:rPr>
              <w:t>③</w:t>
            </w:r>
          </w:p>
        </w:tc>
        <w:tc>
          <w:tcPr>
            <w:tcW w:type="dxa" w:w="1291"/>
            <w:vAlign w:val="center"/>
          </w:tcPr>
          <w:p w:rsidP="00F4518C" w:rsidR="00F016DD" w:rsidRDefault="00F016DD" w:rsidRPr="00FA472B">
            <w:pPr>
              <w:snapToGrid w:val="0"/>
              <w:spacing w:line="288" w:lineRule="auto"/>
              <w:jc w:val="center"/>
              <w:rPr>
                <w:color w:val="000000"/>
                <w:sz w:val="24"/>
              </w:rPr>
            </w:pPr>
            <w:r w:rsidRPr="00FA472B">
              <w:rPr>
                <w:color w:val="000000"/>
                <w:sz w:val="24"/>
              </w:rPr>
              <w:t>业绩比较基准收益率标准差</w:t>
            </w:r>
            <w:r w:rsidRPr="00414367">
              <w:rPr>
                <w:rFonts w:ascii="宋体" w:cs="宋体" w:hAnsi="宋体" w:hint="eastAsia"/>
                <w:color w:val="000000"/>
                <w:sz w:val="24"/>
              </w:rPr>
              <w:t>④</w:t>
            </w:r>
          </w:p>
        </w:tc>
        <w:tc>
          <w:tcPr>
            <w:tcW w:type="dxa" w:w="1291"/>
            <w:vAlign w:val="center"/>
          </w:tcPr>
          <w:p w:rsidP="00F4518C" w:rsidR="00F016DD" w:rsidRDefault="00F016DD" w:rsidRPr="00FA472B">
            <w:pPr>
              <w:snapToGrid w:val="0"/>
              <w:spacing w:line="288" w:lineRule="auto"/>
              <w:jc w:val="center"/>
              <w:rPr>
                <w:color w:val="000000"/>
                <w:sz w:val="24"/>
              </w:rPr>
            </w:pPr>
            <w:r w:rsidRPr="00414367">
              <w:rPr>
                <w:rFonts w:ascii="宋体" w:cs="宋体" w:hAnsi="宋体" w:hint="eastAsia"/>
                <w:color w:val="000000"/>
                <w:sz w:val="24"/>
              </w:rPr>
              <w:t>①</w:t>
            </w:r>
            <w:r w:rsidRPr="00FA472B">
              <w:rPr>
                <w:color w:val="000000"/>
                <w:sz w:val="24"/>
              </w:rPr>
              <w:t>－</w:t>
            </w:r>
            <w:r w:rsidRPr="00414367">
              <w:rPr>
                <w:rFonts w:ascii="宋体" w:cs="宋体" w:hAnsi="宋体" w:hint="eastAsia"/>
                <w:color w:val="000000"/>
                <w:sz w:val="24"/>
              </w:rPr>
              <w:t>③</w:t>
            </w:r>
          </w:p>
        </w:tc>
        <w:tc>
          <w:tcPr>
            <w:tcW w:type="dxa" w:w="1291"/>
            <w:vAlign w:val="center"/>
          </w:tcPr>
          <w:p w:rsidP="00F4518C" w:rsidR="00F016DD" w:rsidRDefault="00F016DD" w:rsidRPr="00FA472B">
            <w:pPr>
              <w:snapToGrid w:val="0"/>
              <w:spacing w:line="288" w:lineRule="auto"/>
              <w:jc w:val="center"/>
              <w:rPr>
                <w:color w:val="000000"/>
                <w:sz w:val="24"/>
              </w:rPr>
            </w:pPr>
            <w:r w:rsidRPr="00414367">
              <w:rPr>
                <w:rFonts w:ascii="宋体" w:cs="宋体" w:hAnsi="宋体" w:hint="eastAsia"/>
                <w:color w:val="000000"/>
                <w:sz w:val="24"/>
              </w:rPr>
              <w:t>②</w:t>
            </w:r>
            <w:r w:rsidRPr="00FA472B">
              <w:rPr>
                <w:color w:val="000000"/>
                <w:sz w:val="24"/>
              </w:rPr>
              <w:t>－</w:t>
            </w:r>
            <w:r w:rsidRPr="00414367">
              <w:rPr>
                <w:rFonts w:ascii="宋体" w:cs="宋体" w:hAnsi="宋体" w:hint="eastAsia"/>
                <w:color w:val="000000"/>
                <w:sz w:val="24"/>
              </w:rPr>
              <w:t>④</w:t>
            </w:r>
          </w:p>
        </w:tc>
      </w:tr>
      <w:tr>
        <w:tc>
          <w:tcPr>
            <w:vAlign w:val="center"/>
          </w:tcPr>
          <w:p>
            <w:pPr>
              <w:jc w:val="left"/>
            </w:pPr>
            <w:r>
              <w:rPr>
                <w:color w:val="000000"/>
                <w:sz w:val="24"/>
              </w:rPr>
              <w:t>过去三个月</w:t>
            </w:r>
          </w:p>
        </w:tc>
        <w:tc>
          <w:tcPr>
            <w:vAlign w:val="center"/>
          </w:tcPr>
          <w:p>
            <w:pPr>
              <w:jc w:val="center"/>
            </w:pPr>
            <w:r>
              <w:rPr>
                <w:color w:val="000000"/>
                <w:sz w:val="24"/>
              </w:rPr>
              <w:t>7.13%</w:t>
            </w:r>
          </w:p>
        </w:tc>
        <w:tc>
          <w:tcPr>
            <w:vAlign w:val="center"/>
          </w:tcPr>
          <w:p>
            <w:pPr>
              <w:jc w:val="center"/>
            </w:pPr>
            <w:r>
              <w:rPr>
                <w:color w:val="000000"/>
                <w:sz w:val="24"/>
              </w:rPr>
              <w:t>0.40%</w:t>
            </w:r>
          </w:p>
        </w:tc>
        <w:tc>
          <w:tcPr>
            <w:vAlign w:val="center"/>
          </w:tcPr>
          <w:p>
            <w:pPr>
              <w:jc w:val="center"/>
            </w:pPr>
            <w:r>
              <w:rPr>
                <w:color w:val="000000"/>
                <w:sz w:val="24"/>
              </w:rPr>
              <w:t>0.88%</w:t>
            </w:r>
          </w:p>
        </w:tc>
        <w:tc>
          <w:tcPr>
            <w:vAlign w:val="center"/>
          </w:tcPr>
          <w:p>
            <w:pPr>
              <w:jc w:val="center"/>
            </w:pPr>
            <w:r>
              <w:rPr>
                <w:color w:val="000000"/>
                <w:sz w:val="24"/>
              </w:rPr>
              <w:t>0.01%</w:t>
            </w:r>
          </w:p>
        </w:tc>
        <w:tc>
          <w:tcPr>
            <w:vAlign w:val="center"/>
          </w:tcPr>
          <w:p>
            <w:pPr>
              <w:jc w:val="center"/>
            </w:pPr>
            <w:r>
              <w:rPr>
                <w:color w:val="000000"/>
                <w:sz w:val="24"/>
              </w:rPr>
              <w:t>6.25%</w:t>
            </w:r>
          </w:p>
        </w:tc>
        <w:tc>
          <w:tcPr>
            <w:vAlign w:val="center"/>
          </w:tcPr>
          <w:p>
            <w:pPr>
              <w:jc w:val="center"/>
            </w:pPr>
            <w:r>
              <w:rPr>
                <w:color w:val="000000"/>
                <w:sz w:val="24"/>
              </w:rPr>
              <w:t>0.39%</w:t>
            </w:r>
          </w:p>
        </w:tc>
      </w:tr>
      <w:tr>
        <w:tc>
          <w:tcPr>
            <w:vAlign w:val="center"/>
          </w:tcPr>
          <w:p>
            <w:pPr>
              <w:jc w:val="left"/>
            </w:pPr>
            <w:r>
              <w:rPr>
                <w:color w:val="000000"/>
                <w:sz w:val="24"/>
              </w:rPr>
              <w:t>过去六个月</w:t>
            </w:r>
          </w:p>
        </w:tc>
        <w:tc>
          <w:tcPr>
            <w:vAlign w:val="center"/>
          </w:tcPr>
          <w:p>
            <w:pPr>
              <w:jc w:val="center"/>
            </w:pPr>
            <w:r>
              <w:rPr>
                <w:color w:val="000000"/>
                <w:sz w:val="24"/>
              </w:rPr>
              <w:t>11.63%</w:t>
            </w:r>
          </w:p>
        </w:tc>
        <w:tc>
          <w:tcPr>
            <w:vAlign w:val="center"/>
          </w:tcPr>
          <w:p>
            <w:pPr>
              <w:jc w:val="center"/>
            </w:pPr>
            <w:r>
              <w:rPr>
                <w:color w:val="000000"/>
                <w:sz w:val="24"/>
              </w:rPr>
              <w:t>0.61%</w:t>
            </w:r>
          </w:p>
        </w:tc>
        <w:tc>
          <w:tcPr>
            <w:vAlign w:val="center"/>
          </w:tcPr>
          <w:p>
            <w:pPr>
              <w:jc w:val="center"/>
            </w:pPr>
            <w:r>
              <w:rPr>
                <w:color w:val="000000"/>
                <w:sz w:val="24"/>
              </w:rPr>
              <w:t>1.77%</w:t>
            </w:r>
          </w:p>
        </w:tc>
        <w:tc>
          <w:tcPr>
            <w:vAlign w:val="center"/>
          </w:tcPr>
          <w:p>
            <w:pPr>
              <w:jc w:val="center"/>
            </w:pPr>
            <w:r>
              <w:rPr>
                <w:color w:val="000000"/>
                <w:sz w:val="24"/>
              </w:rPr>
              <w:t>0.01%</w:t>
            </w:r>
          </w:p>
        </w:tc>
        <w:tc>
          <w:tcPr>
            <w:vAlign w:val="center"/>
          </w:tcPr>
          <w:p>
            <w:pPr>
              <w:jc w:val="center"/>
            </w:pPr>
            <w:r>
              <w:rPr>
                <w:color w:val="000000"/>
                <w:sz w:val="24"/>
              </w:rPr>
              <w:t>9.86%</w:t>
            </w:r>
          </w:p>
        </w:tc>
        <w:tc>
          <w:tcPr>
            <w:vAlign w:val="center"/>
          </w:tcPr>
          <w:p>
            <w:pPr>
              <w:jc w:val="center"/>
            </w:pPr>
            <w:r>
              <w:rPr>
                <w:color w:val="000000"/>
                <w:sz w:val="24"/>
              </w:rPr>
              <w:t>0.60%</w:t>
            </w:r>
          </w:p>
        </w:tc>
      </w:tr>
      <w:tr>
        <w:tc>
          <w:tcPr>
            <w:vAlign w:val="center"/>
          </w:tcPr>
          <w:p>
            <w:pPr>
              <w:jc w:val="left"/>
            </w:pPr>
            <w:r>
              <w:rPr>
                <w:color w:val="000000"/>
                <w:sz w:val="24"/>
              </w:rPr>
              <w:t>过去一年</w:t>
            </w:r>
          </w:p>
        </w:tc>
        <w:tc>
          <w:tcPr>
            <w:vAlign w:val="center"/>
          </w:tcPr>
          <w:p>
            <w:pPr>
              <w:jc w:val="center"/>
            </w:pPr>
            <w:r>
              <w:rPr>
                <w:color w:val="000000"/>
                <w:sz w:val="24"/>
              </w:rPr>
              <w:t>22.88%</w:t>
            </w:r>
          </w:p>
        </w:tc>
        <w:tc>
          <w:tcPr>
            <w:vAlign w:val="center"/>
          </w:tcPr>
          <w:p>
            <w:pPr>
              <w:jc w:val="center"/>
            </w:pPr>
            <w:r>
              <w:rPr>
                <w:color w:val="000000"/>
                <w:sz w:val="24"/>
              </w:rPr>
              <w:t>0.48%</w:t>
            </w:r>
          </w:p>
        </w:tc>
        <w:tc>
          <w:tcPr>
            <w:vAlign w:val="center"/>
          </w:tcPr>
          <w:p>
            <w:pPr>
              <w:jc w:val="center"/>
            </w:pPr>
            <w:r>
              <w:rPr>
                <w:color w:val="000000"/>
                <w:sz w:val="24"/>
              </w:rPr>
              <w:t>3.56%</w:t>
            </w:r>
          </w:p>
        </w:tc>
        <w:tc>
          <w:tcPr>
            <w:vAlign w:val="center"/>
          </w:tcPr>
          <w:p>
            <w:pPr>
              <w:jc w:val="center"/>
            </w:pPr>
            <w:r>
              <w:rPr>
                <w:color w:val="000000"/>
                <w:sz w:val="24"/>
              </w:rPr>
              <w:t>0.01%</w:t>
            </w:r>
          </w:p>
        </w:tc>
        <w:tc>
          <w:tcPr>
            <w:vAlign w:val="center"/>
          </w:tcPr>
          <w:p>
            <w:pPr>
              <w:jc w:val="center"/>
            </w:pPr>
            <w:r>
              <w:rPr>
                <w:color w:val="000000"/>
                <w:sz w:val="24"/>
              </w:rPr>
              <w:t>19.32%</w:t>
            </w:r>
          </w:p>
        </w:tc>
        <w:tc>
          <w:tcPr>
            <w:vAlign w:val="center"/>
          </w:tcPr>
          <w:p>
            <w:pPr>
              <w:jc w:val="center"/>
            </w:pPr>
            <w:r>
              <w:rPr>
                <w:color w:val="000000"/>
                <w:sz w:val="24"/>
              </w:rPr>
              <w:t>0.47%</w:t>
            </w:r>
          </w:p>
        </w:tc>
      </w:tr>
      <w:tr>
        <w:tc>
          <w:tcPr>
            <w:vAlign w:val="center"/>
          </w:tcPr>
          <w:p>
            <w:pPr>
              <w:jc w:val="left"/>
            </w:pPr>
            <w:r>
              <w:rPr>
                <w:color w:val="000000"/>
                <w:sz w:val="24"/>
              </w:rPr>
              <w:t>过去三年</w:t>
            </w:r>
          </w:p>
        </w:tc>
        <w:tc>
          <w:tcPr>
            <w:vAlign w:val="center"/>
          </w:tcPr>
          <w:p>
            <w:pPr>
              <w:jc w:val="center"/>
            </w:pPr>
            <w:r>
              <w:rPr>
                <w:color w:val="000000"/>
                <w:sz w:val="24"/>
              </w:rPr>
              <w:t>45.53%</w:t>
            </w:r>
          </w:p>
        </w:tc>
        <w:tc>
          <w:tcPr>
            <w:vAlign w:val="center"/>
          </w:tcPr>
          <w:p>
            <w:pPr>
              <w:jc w:val="center"/>
            </w:pPr>
            <w:r>
              <w:rPr>
                <w:color w:val="000000"/>
                <w:sz w:val="24"/>
              </w:rPr>
              <w:t>0.42%</w:t>
            </w:r>
          </w:p>
        </w:tc>
        <w:tc>
          <w:tcPr>
            <w:vAlign w:val="center"/>
          </w:tcPr>
          <w:p>
            <w:pPr>
              <w:jc w:val="center"/>
            </w:pPr>
            <w:r>
              <w:rPr>
                <w:color w:val="000000"/>
                <w:sz w:val="24"/>
              </w:rPr>
              <w:t>10.66%</w:t>
            </w:r>
          </w:p>
        </w:tc>
        <w:tc>
          <w:tcPr>
            <w:vAlign w:val="center"/>
          </w:tcPr>
          <w:p>
            <w:pPr>
              <w:jc w:val="center"/>
            </w:pPr>
            <w:r>
              <w:rPr>
                <w:color w:val="000000"/>
                <w:sz w:val="24"/>
              </w:rPr>
              <w:t>0.01%</w:t>
            </w:r>
          </w:p>
        </w:tc>
        <w:tc>
          <w:tcPr>
            <w:vAlign w:val="center"/>
          </w:tcPr>
          <w:p>
            <w:pPr>
              <w:jc w:val="center"/>
            </w:pPr>
            <w:r>
              <w:rPr>
                <w:color w:val="000000"/>
                <w:sz w:val="24"/>
              </w:rPr>
              <w:t>34.87%</w:t>
            </w:r>
          </w:p>
        </w:tc>
        <w:tc>
          <w:tcPr>
            <w:vAlign w:val="center"/>
          </w:tcPr>
          <w:p>
            <w:pPr>
              <w:jc w:val="center"/>
            </w:pPr>
            <w:r>
              <w:rPr>
                <w:color w:val="000000"/>
                <w:sz w:val="24"/>
              </w:rPr>
              <w:t>0.41%</w:t>
            </w:r>
          </w:p>
        </w:tc>
      </w:tr>
      <w:tr>
        <w:tc>
          <w:tcPr>
            <w:vAlign w:val="center"/>
          </w:tcPr>
          <w:p>
            <w:pPr>
              <w:jc w:val="left"/>
            </w:pPr>
            <w:r>
              <w:rPr>
                <w:color w:val="000000"/>
                <w:sz w:val="24"/>
              </w:rPr>
              <w:t>过去五年</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r>
      <w:tr>
        <w:tc>
          <w:tcPr>
            <w:vAlign w:val="center"/>
          </w:tcPr>
          <w:p>
            <w:pPr>
              <w:jc w:val="left"/>
            </w:pPr>
            <w:r>
              <w:rPr>
                <w:color w:val="000000"/>
                <w:sz w:val="24"/>
              </w:rPr>
              <w:t>自基金合同生效起至今</w:t>
            </w:r>
          </w:p>
        </w:tc>
        <w:tc>
          <w:tcPr>
            <w:vAlign w:val="center"/>
          </w:tcPr>
          <w:p>
            <w:pPr>
              <w:jc w:val="center"/>
            </w:pPr>
            <w:r>
              <w:rPr>
                <w:color w:val="000000"/>
                <w:sz w:val="24"/>
              </w:rPr>
              <w:t>59.06%</w:t>
            </w:r>
          </w:p>
        </w:tc>
        <w:tc>
          <w:tcPr>
            <w:vAlign w:val="center"/>
          </w:tcPr>
          <w:p>
            <w:pPr>
              <w:jc w:val="center"/>
            </w:pPr>
            <w:r>
              <w:rPr>
                <w:color w:val="000000"/>
                <w:sz w:val="24"/>
              </w:rPr>
              <w:t>0.35%</w:t>
            </w:r>
          </w:p>
        </w:tc>
        <w:tc>
          <w:tcPr>
            <w:vAlign w:val="center"/>
          </w:tcPr>
          <w:p>
            <w:pPr>
              <w:jc w:val="center"/>
            </w:pPr>
            <w:r>
              <w:rPr>
                <w:color w:val="000000"/>
                <w:sz w:val="24"/>
              </w:rPr>
              <w:t>16.27%</w:t>
            </w:r>
          </w:p>
        </w:tc>
        <w:tc>
          <w:tcPr>
            <w:vAlign w:val="center"/>
          </w:tcPr>
          <w:p>
            <w:pPr>
              <w:jc w:val="center"/>
            </w:pPr>
            <w:r>
              <w:rPr>
                <w:color w:val="000000"/>
                <w:sz w:val="24"/>
              </w:rPr>
              <w:t>0.01%</w:t>
            </w:r>
          </w:p>
        </w:tc>
        <w:tc>
          <w:tcPr>
            <w:vAlign w:val="center"/>
          </w:tcPr>
          <w:p>
            <w:pPr>
              <w:jc w:val="center"/>
            </w:pPr>
            <w:r>
              <w:rPr>
                <w:color w:val="000000"/>
                <w:sz w:val="24"/>
              </w:rPr>
              <w:t>42.79%</w:t>
            </w:r>
          </w:p>
        </w:tc>
        <w:tc>
          <w:tcPr>
            <w:vAlign w:val="center"/>
          </w:tcPr>
          <w:p>
            <w:pPr>
              <w:jc w:val="center"/>
            </w:pPr>
            <w:r>
              <w:rPr>
                <w:color w:val="000000"/>
                <w:sz w:val="24"/>
              </w:rPr>
              <w:t>0.34%</w:t>
            </w:r>
          </w:p>
        </w:tc>
      </w:tr>
    </w:tbl>
    <w:p w:rsidP="00FC13C8" w:rsidR="00F016DD" w:rsidRDefault="00F016DD" w:rsidRPr="0078105B">
      <w:pPr>
        <w:spacing w:line="360" w:lineRule="auto"/>
        <w:rPr>
          <w:rFonts w:ascii="宋体" w:cs="Arial"/>
          <w:b/>
          <w:color w:val="000000"/>
          <w:kern w:val="0"/>
          <w:sz w:val="24"/>
        </w:rPr>
      </w:pPr>
      <w:r w:rsidRPr="0078105B">
        <w:rPr>
          <w:rFonts w:ascii="宋体" w:cs="Arial" w:hAnsi="宋体"/>
          <w:b/>
          <w:color w:val="000000"/>
          <w:kern w:val="0"/>
          <w:sz w:val="24"/>
        </w:rPr>
        <w:t>3.2.2</w:t>
      </w:r>
      <w:r w:rsidRPr="0078105B">
        <w:rPr>
          <w:rFonts w:ascii="宋体" w:cs="Arial" w:hAnsi="宋体" w:hint="eastAsia"/>
          <w:b/>
          <w:color w:val="000000"/>
          <w:kern w:val="0"/>
          <w:sz w:val="24"/>
        </w:rPr>
        <w:t xml:space="preserve">　</w:t>
      </w:r>
      <w:r w:rsidR="00AE2480" w:rsidRPr="00370BEA">
        <w:rPr>
          <w:rStyle w:val="af6"/>
          <w:rFonts w:hint="eastAsia"/>
          <w:color w:val="000000"/>
          <w:sz w:val="24"/>
          <w:shd w:color="auto" w:fill="FFFFFF" w:val="clear"/>
        </w:rPr>
        <w:t/>
      </w:r>
      <w:proofErr w:type="spellStart"/>
      <w:r w:rsidR="00AE2480" w:rsidRPr="00370BEA">
        <w:rPr>
          <w:rStyle w:val="af6"/>
          <w:rFonts w:hint="eastAsia"/>
          <w:color w:val="000000"/>
          <w:sz w:val="24"/>
          <w:shd w:color="auto" w:fill="FFFFFF" w:val="clear"/>
        </w:rPr>
        <w:t/>
      </w:r>
      <w:proofErr w:type="spellEnd"/>
      <w:r w:rsidR="00AE2480" w:rsidRPr="00370BEA">
        <w:rPr>
          <w:rStyle w:val="af6"/>
          <w:rFonts w:hint="eastAsia"/>
          <w:color w:val="000000"/>
          <w:sz w:val="24"/>
          <w:shd w:color="auto" w:fill="FFFFFF" w:val="clear"/>
        </w:rPr>
        <w:t>自基金合同生效以来</w:t>
      </w:r>
      <w:r w:rsidRPr="0078105B">
        <w:rPr>
          <w:rFonts w:ascii="宋体" w:hAnsi="宋体" w:hint="eastAsia"/>
          <w:b/>
          <w:color w:val="000000"/>
          <w:sz w:val="24"/>
        </w:rPr>
        <w:t>基金累计净值增长率变动及其与同期业绩比较基准收益率变动的比较</w:t>
      </w:r>
    </w:p>
    <w:p w:rsidP="00FC13C8" w:rsidR="00F016DD" w:rsidRDefault="00F016DD" w:rsidRPr="00FA472B">
      <w:pPr>
        <w:spacing w:line="360" w:lineRule="auto"/>
        <w:jc w:val="center"/>
        <w:rPr>
          <w:color w:val="000000"/>
          <w:sz w:val="24"/>
        </w:rPr>
      </w:pPr>
      <w:r w:rsidRPr="00FA472B">
        <w:rPr>
          <w:color w:val="000000"/>
          <w:sz w:val="24"/>
        </w:rPr>
        <w:t/>
      </w:r>
      <w:proofErr w:type="spellStart"/>
      <w:proofErr w:type="gramStart"/>
      <w:r w:rsidRPr="00FA472B">
        <w:rPr>
          <w:color w:val="000000"/>
          <w:sz w:val="24"/>
        </w:rPr>
        <w:t/>
      </w:r>
      <w:proofErr w:type="spellEnd"/>
      <w:proofErr w:type="gramEnd"/>
      <w:r w:rsidRPr="00FA472B">
        <w:rPr>
          <w:color w:val="000000"/>
          <w:sz w:val="24"/>
        </w:rPr>
        <w:t>易方达瑞选灵活配置混合型证券投资基金</w:t>
      </w:r>
    </w:p>
    <w:p w:rsidP="00526282" w:rsidR="00526282" w:rsidRDefault="00F016DD">
      <w:pPr>
        <w:pStyle w:val="a5"/>
        <w:snapToGrid w:val="0"/>
        <w:spacing w:line="360" w:lineRule="auto"/>
        <w:jc w:val="center"/>
        <w:rPr>
          <w:rFonts w:ascii="Times New Roman" w:eastAsiaTheme="minorEastAsia" w:hAnsi="Times New Roman"/>
          <w:color w:themeColor="text1" w:val="000000"/>
          <w:sz w:val="24"/>
          <w:szCs w:val="24"/>
        </w:rPr>
      </w:pPr>
      <w:r w:rsidRPr="00FA472B">
        <w:rPr>
          <w:rFonts w:ascii="Times New Roman" w:hAnsi="Times New Roman"/>
          <w:color w:val="000000"/>
          <w:sz w:val="24"/>
          <w:szCs w:val="24"/>
        </w:rPr>
        <w:t>累计净值增长率与业绩比较基准收益率的历史走势对比图</w:t>
      </w:r>
    </w:p>
    <w:p w:rsidP="00D477DB" w:rsidR="00F016DD" w:rsidRDefault="00526282" w:rsidRPr="00FA472B">
      <w:pPr>
        <w:pStyle w:val="a5"/>
        <w:snapToGrid w:val="0"/>
        <w:spacing w:line="360" w:lineRule="auto"/>
        <w:jc w:val="center"/>
        <w:rPr>
          <w:rFonts w:ascii="Times New Roman" w:hAnsi="Times New Roman"/>
          <w:sz w:val="24"/>
          <w:szCs w:val="24"/>
        </w:rPr>
      </w:pPr>
      <w:r w:rsidRPr="00526282">
        <w:rPr>
          <w:rFonts w:ascii="Times New Roman" w:hAnsi="Times New Roman"/>
          <w:sz w:val="24"/>
          <w:szCs w:val="24"/>
        </w:rPr>
        <w:t/>
      </w:r>
      <w:proofErr w:type="spellStart"/>
      <w:proofErr w:type="gramStart"/>
      <w:r w:rsidRPr="00526282">
        <w:rPr>
          <w:rFonts w:ascii="Times New Roman" w:hAnsi="Times New Roman"/>
          <w:sz w:val="24"/>
          <w:szCs w:val="24"/>
        </w:rPr>
        <w:t/>
      </w:r>
      <w:proofErr w:type="spellEnd"/>
      <w:r w:rsidRPr="00526282">
        <w:rPr>
          <w:rFonts w:ascii="Times New Roman" w:hAnsi="Times New Roman"/>
          <w:sz w:val="24"/>
          <w:szCs w:val="24"/>
        </w:rPr>
        <w:t/>
      </w:r>
      <w:proofErr w:type="gramEnd"/>
      <w:r w:rsidRPr="00526282">
        <w:rPr>
          <w:rFonts w:ascii="Times New Roman" w:hAnsi="Times New Roman"/>
          <w:sz w:val="24"/>
          <w:szCs w:val="24"/>
        </w:rPr>
        <w:t>（2015年12月2日至2020年6月30日）</w:t>
      </w:r>
    </w:p>
    <w:p w:rsidP="00526282" w:rsidR="00526282" w:rsidRDefault="00F016DD">
      <w:pPr>
        <w:snapToGrid w:val="0"/>
        <w:spacing w:line="360" w:lineRule="auto"/>
        <w:rPr>
          <w:rFonts w:eastAsiaTheme="minorEastAsia" w:hAnsiTheme="minorEastAsia"/>
          <w:color w:themeColor="text1" w:val="000000"/>
          <w:sz w:val="24"/>
        </w:rPr>
      </w:pPr>
      <w:r w:rsidRPr="00611CB2">
        <w:rPr>
          <w:color w:val="000000"/>
          <w:sz w:val="24"/>
        </w:rPr>
        <w:t/>
      </w:r>
      <w:proofErr w:type="gramStart"/>
      <w:r w:rsidRPr="00611CB2">
        <w:rPr>
          <w:color w:val="000000"/>
          <w:sz w:val="24"/>
        </w:rPr>
        <w:t/>
      </w:r>
      <w:proofErr w:type="spellStart"/>
      <w:r w:rsidRPr="00611CB2">
        <w:rPr>
          <w:color w:val="000000"/>
          <w:sz w:val="24"/>
        </w:rPr>
        <w:t/>
      </w:r>
      <w:proofErr w:type="spellEnd"/>
      <w:r w:rsidRPr="00611CB2">
        <w:rPr>
          <w:color w:val="000000"/>
          <w:sz w:val="24"/>
        </w:rPr>
        <w:t/>
      </w:r>
      <w:proofErr w:type="gramEnd"/>
      <w:r w:rsidRPr="00611CB2">
        <w:rPr>
          <w:color w:val="000000"/>
          <w:sz w:val="24"/>
        </w:rPr>
        <w:t>易方达瑞选混合I</w:t>
      </w:r>
    </w:p>
    <w:p w:rsidP="00FC7F43" w:rsidR="00F016DD" w:rsidRDefault="0001612A" w:rsidRPr="0078105B">
      <w:pPr>
        <w:pStyle w:val="20"/>
        <w:spacing w:line="288" w:lineRule="auto"/>
        <w:ind w:firstLine="0" w:firstLineChars="0"/>
        <w:jc w:val="center"/>
        <w:rPr>
          <w:color w:val="000000"/>
        </w:rPr>
      </w:pPr>
      <w:r>
        <w:rPr>
          <w:noProof/>
          <w:color w:val="000000"/>
        </w:rPr>
        <w:lastRenderedPageBreak/>
        <w:pict>
          <v:shapetype coordsize="21600,21600" filled="f" id="_x0000_t75" o:preferrelative="t" o:spt="75" path="m@4@5l@4@11@9@11@9@5xe"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aspectratio="t" v:ext="edit"/>
          </v:shapetype>
          <v:shape id="图片 2" o:spid="_x0000_i1025" style="width:435.75pt;height:258pt;visibility:visible" type="#_x0000_t75">
            <v:imagedata o:title="" r:id="rId10"/>
          </v:shape>
        </w:pict>
      </w:r>
    </w:p>
    <w:p w:rsidP="00526282" w:rsidR="00526282" w:rsidRDefault="00F016DD">
      <w:pPr>
        <w:snapToGrid w:val="0"/>
        <w:spacing w:before="312" w:beforeLines="100" w:line="360" w:lineRule="auto"/>
        <w:rPr>
          <w:rFonts w:eastAsiaTheme="minorEastAsia" w:hAnsiTheme="minorEastAsia"/>
          <w:color w:themeColor="text1" w:val="000000"/>
          <w:sz w:val="24"/>
        </w:rPr>
      </w:pPr>
      <w:r w:rsidRPr="00611CB2">
        <w:rPr>
          <w:color w:val="000000"/>
          <w:sz w:val="24"/>
        </w:rPr>
        <w:t/>
      </w:r>
      <w:proofErr w:type="gramStart"/>
      <w:r w:rsidRPr="00611CB2">
        <w:rPr>
          <w:color w:val="000000"/>
          <w:sz w:val="24"/>
        </w:rPr>
        <w:t/>
      </w:r>
      <w:proofErr w:type="gramEnd"/>
      <w:r w:rsidRPr="00611CB2">
        <w:rPr>
          <w:color w:val="000000"/>
          <w:sz w:val="24"/>
        </w:rPr>
        <w:t>易方达瑞选混合E</w:t>
      </w:r>
    </w:p>
    <w:p w:rsidP="00FC7F43" w:rsidR="00F016DD" w:rsidRDefault="0001612A" w:rsidRPr="0078105B">
      <w:pPr>
        <w:pStyle w:val="20"/>
        <w:spacing w:line="288" w:lineRule="auto"/>
        <w:ind w:firstLine="0" w:firstLineChars="0"/>
        <w:jc w:val="center"/>
        <w:rPr>
          <w:color w:val="000000"/>
        </w:rPr>
      </w:pPr>
      <w:r>
        <w:rPr>
          <w:noProof/>
          <w:color w:val="000000"/>
        </w:rPr>
        <w:pict>
          <v:shape id="图片 3" o:spid="_x0000_i1026" style="width:435.75pt;height:258pt;visibility:visible" type="#_x0000_t75">
            <v:imagedata o:title="" r:id="rId11"/>
          </v:shape>
        </w:pict>
      </w:r>
    </w:p>
    <w:p w:rsidP="00DF18FE" w:rsidR="00F016DD" w:rsidRDefault="00F016DD" w:rsidRPr="00DF18FE">
      <w:pPr>
        <w:spacing w:line="360" w:lineRule="auto"/>
        <w:ind w:firstLine="480" w:firstLineChars="200"/>
        <w:rPr>
          <w:color w:val="000000"/>
          <w:sz w:val="24"/>
        </w:rPr>
      </w:pPr>
      <w:r w:rsidRPr="00DF18FE">
        <w:rPr>
          <w:color w:val="000000"/>
          <w:sz w:val="24"/>
        </w:rPr>
        <w:lastRenderedPageBreak/>
        <w:t/>
      </w:r>
      <w:proofErr w:type="gramStart"/>
      <w:r w:rsidRPr="00DF18FE">
        <w:rPr>
          <w:color w:val="000000"/>
          <w:sz w:val="24"/>
        </w:rPr>
        <w:t/>
      </w:r>
      <w:proofErr w:type="gramEnd"/>
      <w:r w:rsidRPr="00DF18FE">
        <w:rPr>
          <w:color w:val="000000"/>
          <w:sz w:val="24"/>
        </w:rPr>
        <w:t>注：自基金合同生效至报告期末，I类基金份额净值增长率为60.71%，E类基金份额净值增长率为59.06%，同期业绩比较基准收益率为16.27%。</w:t>
      </w:r>
    </w:p>
    <w:p w:rsidP="006C5BC9" w:rsidR="00F016DD" w:rsidRDefault="00F016DD" w:rsidRPr="00FA472B">
      <w:pPr>
        <w:tabs>
          <w:tab w:pos="1800" w:val="left"/>
        </w:tabs>
        <w:spacing w:line="288" w:lineRule="auto"/>
        <w:rPr>
          <w:color w:val="000000"/>
          <w:sz w:val="24"/>
        </w:rPr>
      </w:pPr>
    </w:p>
    <w:p w:rsidP="00B54884" w:rsidR="00F016DD" w:rsidRDefault="00F016DD" w:rsidRPr="0078105B">
      <w:pPr>
        <w:pStyle w:val="1"/>
        <w:spacing w:after="312" w:afterLines="100" w:before="312" w:beforeLines="100" w:line="360" w:lineRule="auto"/>
        <w:jc w:val="center"/>
        <w:rPr>
          <w:rFonts w:ascii="宋体" w:cs="Arial"/>
          <w:color w:val="000000"/>
          <w:kern w:val="0"/>
          <w:sz w:val="24"/>
          <w:szCs w:val="24"/>
        </w:rPr>
      </w:pPr>
      <w:r w:rsidRPr="0078105B">
        <w:rPr>
          <w:rFonts w:ascii="宋体" w:cs="Arial" w:hAnsi="宋体" w:hint="eastAsia"/>
          <w:color w:val="000000"/>
          <w:kern w:val="0"/>
          <w:sz w:val="24"/>
          <w:szCs w:val="24"/>
        </w:rPr>
        <w:t>§</w:t>
      </w:r>
      <w:r w:rsidRPr="0078105B">
        <w:rPr>
          <w:rFonts w:ascii="宋体" w:cs="Arial" w:hAnsi="宋体"/>
          <w:color w:val="000000"/>
          <w:kern w:val="0"/>
          <w:sz w:val="24"/>
          <w:szCs w:val="24"/>
        </w:rPr>
        <w:t xml:space="preserve">4  </w:t>
      </w:r>
      <w:r w:rsidRPr="0078105B">
        <w:rPr>
          <w:rFonts w:ascii="宋体" w:cs="Arial" w:hAnsi="宋体" w:hint="eastAsia"/>
          <w:color w:val="000000"/>
          <w:kern w:val="0"/>
          <w:sz w:val="24"/>
          <w:szCs w:val="24"/>
        </w:rPr>
        <w:t>管理人报告</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 xml:space="preserve">4.1 </w:t>
      </w:r>
      <w:r w:rsidRPr="0078105B">
        <w:rPr>
          <w:rFonts w:ascii="宋体" w:cs="Arial" w:hAnsi="宋体" w:hint="eastAsia"/>
          <w:b/>
          <w:color w:val="000000"/>
          <w:kern w:val="0"/>
          <w:sz w:val="24"/>
        </w:rPr>
        <w:t>基金经理（或基金经理小组）简介</w:t>
      </w:r>
    </w:p>
    <w:tbl>
      <w:tblPr>
        <w:tblW w:type="dxa" w:w="8931"/>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567"/>
        <w:gridCol w:w="2835"/>
        <w:gridCol w:w="851"/>
        <w:gridCol w:w="850"/>
        <w:gridCol w:w="851"/>
        <w:gridCol w:w="2977"/>
      </w:tblGrid>
      <w:tr w:rsidR="00F016DD" w:rsidRPr="0078105B" w:rsidTr="00B54884">
        <w:trPr>
          <w:cantSplit/>
        </w:trPr>
        <w:tc>
          <w:tcPr>
            <w:tcW w:type="dxa" w:w="567"/>
            <w:vMerge w:val="restart"/>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姓名</w:t>
            </w:r>
          </w:p>
        </w:tc>
        <w:tc>
          <w:tcPr>
            <w:tcW w:type="dxa" w:w="2835"/>
            <w:vMerge w:val="restart"/>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职务</w:t>
            </w:r>
          </w:p>
        </w:tc>
        <w:tc>
          <w:tcPr>
            <w:tcW w:type="dxa" w:w="1701"/>
            <w:gridSpan w:val="2"/>
          </w:tcPr>
          <w:p w:rsidP="0058694E" w:rsidR="00F016DD" w:rsidRDefault="00F016DD" w:rsidRPr="00FA472B">
            <w:pPr>
              <w:autoSpaceDE w:val="0"/>
              <w:autoSpaceDN w:val="0"/>
              <w:adjustRightInd w:val="0"/>
              <w:spacing w:before="29" w:line="288" w:lineRule="auto"/>
              <w:ind w:left="15"/>
              <w:jc w:val="center"/>
              <w:rPr>
                <w:color w:val="000000"/>
                <w:kern w:val="0"/>
                <w:sz w:val="24"/>
              </w:rPr>
            </w:pPr>
            <w:proofErr w:type="gramStart"/>
            <w:r w:rsidRPr="00FA472B">
              <w:rPr>
                <w:color w:val="000000"/>
                <w:kern w:val="0"/>
                <w:sz w:val="24"/>
              </w:rPr>
              <w:t>任本基金</w:t>
            </w:r>
            <w:proofErr w:type="gramEnd"/>
            <w:r w:rsidRPr="00FA472B">
              <w:rPr>
                <w:color w:val="000000"/>
                <w:kern w:val="0"/>
                <w:sz w:val="24"/>
              </w:rPr>
              <w:t>的基金经理期限</w:t>
            </w:r>
          </w:p>
        </w:tc>
        <w:tc>
          <w:tcPr>
            <w:tcW w:type="dxa" w:w="851"/>
            <w:vMerge w:val="restart"/>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证券从业年限</w:t>
            </w:r>
          </w:p>
        </w:tc>
        <w:tc>
          <w:tcPr>
            <w:tcW w:type="dxa" w:w="2977"/>
            <w:vMerge w:val="restart"/>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说明</w:t>
            </w:r>
          </w:p>
        </w:tc>
      </w:tr>
      <w:tr w:rsidR="00F016DD" w:rsidRPr="0078105B" w:rsidTr="00B54884">
        <w:trPr>
          <w:cantSplit/>
        </w:trPr>
        <w:tc>
          <w:tcPr>
            <w:tcW w:type="dxa" w:w="567"/>
            <w:vMerge/>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p>
        </w:tc>
        <w:tc>
          <w:tcPr>
            <w:tcW w:type="dxa" w:w="2835"/>
            <w:vMerge/>
          </w:tcPr>
          <w:p w:rsidP="0058694E" w:rsidR="00F016DD" w:rsidRDefault="00F016DD" w:rsidRPr="00FA472B">
            <w:pPr>
              <w:autoSpaceDE w:val="0"/>
              <w:autoSpaceDN w:val="0"/>
              <w:adjustRightInd w:val="0"/>
              <w:spacing w:before="29" w:line="288" w:lineRule="auto"/>
              <w:ind w:left="15"/>
              <w:jc w:val="center"/>
              <w:rPr>
                <w:color w:val="000000"/>
                <w:kern w:val="0"/>
                <w:sz w:val="24"/>
              </w:rPr>
            </w:pPr>
          </w:p>
        </w:tc>
        <w:tc>
          <w:tcPr>
            <w:tcW w:type="dxa" w:w="851"/>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任职日期</w:t>
            </w:r>
          </w:p>
        </w:tc>
        <w:tc>
          <w:tcPr>
            <w:tcW w:type="dxa" w:w="850"/>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离任日期</w:t>
            </w:r>
          </w:p>
        </w:tc>
        <w:tc>
          <w:tcPr>
            <w:tcW w:type="dxa" w:w="851"/>
            <w:vMerge/>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p>
        </w:tc>
        <w:tc>
          <w:tcPr>
            <w:tcW w:type="dxa" w:w="2977"/>
            <w:vMerge/>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p>
        </w:tc>
      </w:tr>
      <w:tr>
        <w:tc>
          <w:tcPr>
            <w:vAlign w:val="center"/>
          </w:tcPr>
          <w:p>
            <w:pPr>
              <w:jc w:val="center"/>
            </w:pPr>
            <w:r>
              <w:rPr>
                <w:color w:val="000000"/>
                <w:sz w:val="24"/>
              </w:rPr>
              <w:t>韩阅川</w:t>
            </w:r>
          </w:p>
        </w:tc>
        <w:tc>
          <w:tcPr>
            <w:vAlign w:val="center"/>
          </w:tcPr>
          <w:p>
            <w:pPr>
              <w:jc w:val="left"/>
            </w:pPr>
            <w:r>
              <w:rPr>
                <w:color w:val="000000"/>
                <w:sz w:val="24"/>
              </w:rPr>
              <w:t>本基金的基金经理、易方达瑞景灵活配置混合型证券投资基金的基金经理、易方达新享灵活配置混合型证券投资基金的基金经理、易方达新鑫灵活配置混合型证券投资基金的基金经理、易方达新利灵活配置混合型证券投资基金的基金经理、易方达瑞祥灵活配置混合型证券投资基金的基金经理、易方达瑞兴灵活配置混合型证券投资基金的基金经理、易方达瑞智灵活配置混合型证券投资基金的基金经理、易方达新益灵活配置混合型证券投资基金的基金经理、易方达裕鑫债券型证券投资基金的基金经理、易方达瑞祺灵活配置混合型证券投资基金的基金经理、易方达瑞和灵活配置混合型证券投资基金的基金经理、易方达瑞信灵活配置混合型证券投资基金的基金经理、易方达鑫转招利混合型证券投资基金的基金经理、易方达鑫转添利混合型证券投资基金的基金经理、易方达瑞川灵活配置混合型发起式证券投资基金的基金经理、易方达丰惠混合型证券投资基金的基金经理、易方达新收益灵活配置混合型证券投资基金的基金经理助理</w:t>
            </w:r>
          </w:p>
        </w:tc>
        <w:tc>
          <w:tcPr>
            <w:vAlign w:val="center"/>
          </w:tcPr>
          <w:p>
            <w:pPr>
              <w:jc w:val="center"/>
            </w:pPr>
            <w:r>
              <w:rPr>
                <w:color w:val="000000"/>
                <w:sz w:val="24"/>
              </w:rPr>
              <w:t>2019-08-03</w:t>
            </w:r>
          </w:p>
        </w:tc>
        <w:tc>
          <w:tcPr>
            <w:vAlign w:val="center"/>
          </w:tcPr>
          <w:p>
            <w:pPr>
              <w:jc w:val="center"/>
            </w:pPr>
            <w:r>
              <w:rPr>
                <w:color w:val="000000"/>
                <w:sz w:val="24"/>
              </w:rPr>
              <w:t>-</w:t>
            </w:r>
          </w:p>
        </w:tc>
        <w:tc>
          <w:tcPr>
            <w:vAlign w:val="center"/>
          </w:tcPr>
          <w:p>
            <w:pPr>
              <w:jc w:val="center"/>
            </w:pPr>
            <w:r>
              <w:rPr>
                <w:color w:val="000000"/>
                <w:sz w:val="24"/>
              </w:rPr>
              <w:t>9年</w:t>
            </w:r>
          </w:p>
        </w:tc>
        <w:tc>
          <w:tcPr>
            <w:vAlign w:val="center"/>
          </w:tcPr>
          <w:p>
            <w:pPr>
              <w:jc w:val="both"/>
            </w:pPr>
            <w:r>
              <w:rPr>
                <w:color w:val="000000"/>
                <w:sz w:val="24"/>
              </w:rPr>
              <w:t>硕士研究生，具有基金从业资格。曾任嘉实基金管理有限公司固定收益部研究员、投资经理，易方达基金管理有限公司易方达新享灵活配置混合型证券投资基金基金经理助理、易方达新利灵活配置混合型证券投资基金基金经理助理、易方达瑞景灵活配置混合型证券投资基金基金经理助理、易方达瑞兴灵活配置混合型证券投资基金基金经理助理、易方达瑞祥灵活配置混合型证券投资基金基金经理助理、易方达瑞智灵活配置混合型证券投资基金基金经理助理、易方达新鑫灵活配置混合型证券投资基金基金经理助理、易方达瑞选灵活配置混合型证券投资基金基金经理助理、易方达新益灵活配置混合型证券投资基金基金经理助理、易方达裕鑫债券型证券投资基金基金经理助理、易方达瑞信灵活配置混合型证券投资基金基金经理助理、易方达瑞和灵活配置混合型证券投资基金基金经理助理。</w:t>
            </w:r>
          </w:p>
        </w:tc>
      </w:tr>
    </w:tbl>
    <w:p>
      <w:pPr>
        <w:spacing w:line="360" w:lineRule="auto"/>
        <w:ind w:firstLine="480" w:firstLineChars="200"/>
        <w:rPr>
          <w:color w:val="000000"/>
          <w:sz w:val="24"/>
        </w:rPr>
      </w:pPr>
      <w:r>
        <w:rPr>
          <w:color w:val="000000"/>
          <w:sz w:val="24"/>
        </w:rPr>
        <w:t>注：1.对基金的首任基金经理，其“任职日期”为基金合同生效日，“离任日期”为根据公司决定确定的解聘日期；对此后的非首任基金经理，“任职日期”和“离任日期”分别指根据公司决定确定的聘任日期和解聘日期。</w:t>
      </w:r>
    </w:p>
    <w:p w:rsidP="00DF18FE" w:rsidR="00F016DD" w:rsidRDefault="00F016DD" w:rsidRPr="00EA6415">
      <w:pPr>
        <w:spacing w:line="360" w:lineRule="auto"/>
        <w:ind w:firstLine="480" w:firstLineChars="200"/>
        <w:rPr>
          <w:color w:val="000000"/>
          <w:sz w:val="24"/>
        </w:rPr>
      </w:pPr>
      <w:r w:rsidRPr="00DF18FE">
        <w:rPr>
          <w:color w:val="000000"/>
          <w:sz w:val="24"/>
        </w:rPr>
        <w:t/>
      </w:r>
      <w:proofErr w:type="gramStart"/>
      <w:r w:rsidRPr="00DF18FE">
        <w:rPr>
          <w:color w:val="000000"/>
          <w:sz w:val="24"/>
        </w:rPr>
        <w:t/>
      </w:r>
      <w:proofErr w:type="gramEnd"/>
      <w:r w:rsidRPr="00DF18FE">
        <w:rPr>
          <w:color w:val="000000"/>
          <w:sz w:val="24"/>
        </w:rPr>
        <w:t>2.证券从业的含义遵从《证券业从业人员资格管理办法》的相关规定。</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4.2</w:t>
      </w:r>
      <w:r>
        <w:rPr>
          <w:rFonts w:cs="Arial" w:hint="eastAsia"/>
          <w:b/>
          <w:color w:val="000000"/>
          <w:kern w:val="0"/>
          <w:sz w:val="24"/>
        </w:rPr>
        <w:t>管理人对</w:t>
      </w:r>
      <w:r w:rsidRPr="00BB04BF">
        <w:rPr>
          <w:rFonts w:cs="Arial" w:hint="eastAsia"/>
          <w:b/>
          <w:color w:val="000000"/>
          <w:kern w:val="0"/>
          <w:sz w:val="24"/>
        </w:rPr>
        <w:t>报告期内本基金运作遵规守信情况</w:t>
      </w:r>
      <w:r>
        <w:rPr>
          <w:rFonts w:cs="Arial" w:hint="eastAsia"/>
          <w:b/>
          <w:color w:val="000000"/>
          <w:kern w:val="0"/>
          <w:sz w:val="24"/>
        </w:rPr>
        <w:t>的</w:t>
      </w:r>
      <w:r w:rsidRPr="00BB04BF">
        <w:rPr>
          <w:rFonts w:cs="Arial" w:hint="eastAsia"/>
          <w:b/>
          <w:color w:val="000000"/>
          <w:kern w:val="0"/>
          <w:sz w:val="24"/>
        </w:rPr>
        <w:t>说明</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 xml:space="preserve">4.3 </w:t>
      </w:r>
      <w:r w:rsidRPr="0078105B">
        <w:rPr>
          <w:rFonts w:ascii="宋体" w:cs="Arial" w:hAnsi="宋体" w:hint="eastAsia"/>
          <w:b/>
          <w:color w:val="000000"/>
          <w:kern w:val="0"/>
          <w:sz w:val="24"/>
        </w:rPr>
        <w:t>公平交易专项说明</w:t>
      </w:r>
    </w:p>
    <w:p w:rsidP="00FC13C8" w:rsidR="00F016DD" w:rsidRDefault="00F016DD" w:rsidRPr="00FA472B">
      <w:pPr>
        <w:spacing w:line="360" w:lineRule="auto"/>
        <w:rPr>
          <w:rFonts w:ascii="宋体" w:hAnsi="宋体"/>
          <w:sz w:val="24"/>
        </w:rPr>
      </w:pPr>
      <w:r w:rsidRPr="00FA472B">
        <w:rPr>
          <w:rFonts w:ascii="宋体" w:hAnsi="宋体"/>
          <w:sz w:val="24"/>
        </w:rPr>
        <w:t xml:space="preserve">4.3.1 </w:t>
      </w:r>
      <w:r w:rsidRPr="00FA472B">
        <w:rPr>
          <w:rFonts w:ascii="宋体" w:hAnsi="宋体" w:hint="eastAsia"/>
          <w:sz w:val="24"/>
        </w:rPr>
        <w:t>公平交易制度的执行情况</w:t>
      </w:r>
    </w:p>
    <w:p w:rsidP="00DF18FE" w:rsidR="00F016DD" w:rsidRDefault="00F016DD" w:rsidRPr="00EA6415">
      <w:pPr>
        <w:spacing w:line="360" w:lineRule="auto"/>
        <w:ind w:firstLine="480" w:firstLineChars="200"/>
        <w:rPr>
          <w:color w:val="000000"/>
          <w:sz w:val="24"/>
        </w:rPr>
      </w:pPr>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本基金管理人主要通过建立有纪律、规范化的投资研究和决策流程、交易流程，以及强化事后监控分析来确保公平对待不同投资组合，切实防范利益输送。本基金管理人制定了严格的投资权限管理制度、投资备选库管理制度和集中交易制度等，并重视交易执行环节的公平交易措施，以“时间优先、价格优先”作为执行指令的基本原则，通过投资交易系统中的公平交易模块，以尽可能确保公平对待各投资组合。本报告期内，公平交易制度总体执行情况良好。</w:t>
      </w:r>
    </w:p>
    <w:p w:rsidP="00FC13C8" w:rsidR="00F016DD" w:rsidRDefault="00F016DD" w:rsidRPr="00FA472B">
      <w:pPr>
        <w:spacing w:line="360" w:lineRule="auto"/>
        <w:rPr>
          <w:rFonts w:ascii="宋体" w:hAnsi="宋体"/>
          <w:sz w:val="24"/>
        </w:rPr>
      </w:pPr>
      <w:r w:rsidRPr="00FA472B">
        <w:rPr>
          <w:rFonts w:ascii="宋体" w:hAnsi="宋体"/>
          <w:sz w:val="24"/>
        </w:rPr>
        <w:lastRenderedPageBreak/>
        <w:t xml:space="preserve">4.3.2 </w:t>
      </w:r>
      <w:r w:rsidRPr="00FA472B">
        <w:rPr>
          <w:rFonts w:ascii="宋体" w:hAnsi="宋体" w:hint="eastAsia"/>
          <w:sz w:val="24"/>
        </w:rPr>
        <w:t>异常交易行为的专项说明</w:t>
      </w:r>
    </w:p>
    <w:p>
      <w:pPr>
        <w:spacing w:line="360" w:lineRule="auto"/>
        <w:ind w:firstLine="480" w:firstLineChars="200"/>
        <w:rPr>
          <w:color w:val="000000"/>
          <w:sz w:val="24"/>
        </w:rPr>
      </w:pPr>
      <w:r>
        <w:rPr>
          <w:color w:val="000000"/>
          <w:sz w:val="24"/>
        </w:rPr>
        <w:t>本报告期内，公司旗下所有投资组合参与的交易所公开竞价交易中，同日反向交易成交较少的单边交易量超过该证券当日成交量的5%的交易共42次，均为指数量化投资组合因投资策略需要和其他组合发生的反向交易。</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本报告期内，未发现本基金有可能导致不公平交易和利益输送的异常交易。</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 xml:space="preserve">4.4 </w:t>
      </w:r>
      <w:r w:rsidRPr="0078105B">
        <w:rPr>
          <w:rFonts w:ascii="宋体" w:cs="Arial" w:hAnsi="宋体" w:hint="eastAsia"/>
          <w:b/>
          <w:color w:val="000000"/>
          <w:kern w:val="0"/>
          <w:sz w:val="24"/>
        </w:rPr>
        <w:t>报告期内基金的投资策略和业绩表现说明</w:t>
      </w:r>
    </w:p>
    <w:p w:rsidP="00FC13C8" w:rsidR="00F016DD" w:rsidRDefault="00F016DD" w:rsidRPr="0078105B">
      <w:pPr>
        <w:spacing w:line="360" w:lineRule="auto"/>
        <w:rPr>
          <w:rFonts w:ascii="宋体"/>
          <w:sz w:val="24"/>
        </w:rPr>
      </w:pPr>
      <w:r w:rsidRPr="0078105B">
        <w:rPr>
          <w:rFonts w:ascii="宋体" w:hAnsi="宋体"/>
          <w:sz w:val="24"/>
        </w:rPr>
        <w:t>4.4.1</w:t>
      </w:r>
      <w:r w:rsidRPr="0078105B">
        <w:rPr>
          <w:rFonts w:ascii="宋体" w:hAnsi="宋体" w:hint="eastAsia"/>
          <w:sz w:val="24"/>
        </w:rPr>
        <w:t>报告期内基金投资策略和运作分析</w:t>
      </w:r>
    </w:p>
    <w:p>
      <w:pPr>
        <w:spacing w:line="360" w:lineRule="auto"/>
        <w:ind w:firstLine="480" w:firstLineChars="200"/>
        <w:rPr>
          <w:color w:val="000000"/>
          <w:sz w:val="24"/>
        </w:rPr>
      </w:pPr>
      <w:r>
        <w:rPr>
          <w:color w:val="000000"/>
          <w:sz w:val="24"/>
        </w:rPr>
        <w:t>债券市场方面，二季度收益率先下后上，整体波动很大。季度初，海内外疫情影响仍在持续，市场风险偏好仍处于相对低位。清明节期间央行实行定向降准、下调超额准备金利率等操作，资金面整体较为宽松，长端收益率震荡下行。但到5月上旬，货币政策进一步宽松不及预期叠加五一消费复苏经济修复延续，长端收益率开始上行。随后，社融放量强化经济修复预期，收益率进一步大幅上行，且短端上行幅度更大，曲线呈现出熊平趋势。进入6月，货币环境仍未好转，叠加首批1000亿元特别国债发行但央行无配套动作，市场情绪进一步悲观，继续推动长端收益率上行。直到半年末，央行适时开启逆回购呵护半年末流动性，市场情绪有所恢复，长端收益率趋于稳定。信用债走势与利率债类似，全季来看收益率整体大幅上行，长端信用利差整体走阔。</w:t>
      </w:r>
    </w:p>
    <w:p>
      <w:pPr>
        <w:spacing w:line="360" w:lineRule="auto"/>
        <w:ind w:firstLine="480" w:firstLineChars="200"/>
        <w:rPr>
          <w:color w:val="000000"/>
          <w:sz w:val="24"/>
        </w:rPr>
      </w:pPr>
      <w:r>
        <w:rPr>
          <w:color w:val="000000"/>
          <w:sz w:val="24"/>
        </w:rPr>
        <w:t>权益市场方面，二季度整体收涨，各类风格及指数品种均呈现较好的弹性。从一季度末开始，在海外金融风险期过后，国内及海外资本市场均有较强的表现，体现出风险偏好的快速提升。从国内市场来看，A股主要沿着业绩“确定性”的方向延伸，其中一季报超预期品种的超额收益尤为确定及显著，医药行业表现持续强势，机构配置持续维持高位。二季度初，伴随海外疫情逐渐消散，国内工业及服务业复工复产快速恢复，与稳增长相关的板块及部分恢复速度较快的可选消费板块表现强劲，其中食品饮料、水泥、半导体等表现突出。市场投资者情绪也呈现快速修复，主动管理基金申购再度回暖。进入5月，中美贸易摩擦再度有所升温，美国疫情进入二次爆发，致使TMT板块的风险偏好有小幅降温，但在海外市场持续强劲的背景下，北上资金不改前期持续流入的趋势，市场并未出现明显调整，保持着结构性行情的震荡格局。6月份以来，资本市场改革政策逐步推出，创业板注册制的快速推进、三板精选层基金的发布等，显著提升了权益市场的风险偏好，也催生二季度后期科技板块的强劲反弹。</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操作上，组合权益坚持自下而上选择个股的长期配置价值，逐步增加股票仓位，以提升组合弹性。债券方面，组合继续维持较高的杠杆和中性的久期水平，整体仍按照票息策略的偏绝对收益操作思路为主。此外，组合仍积极参与科创版打新。</w:t>
      </w:r>
    </w:p>
    <w:p w:rsidP="00FC13C8" w:rsidR="00F016DD" w:rsidRDefault="00F016DD" w:rsidRPr="0078105B">
      <w:pPr>
        <w:spacing w:line="360" w:lineRule="auto"/>
        <w:rPr>
          <w:rFonts w:ascii="宋体"/>
          <w:sz w:val="24"/>
        </w:rPr>
      </w:pPr>
      <w:r w:rsidRPr="0078105B">
        <w:rPr>
          <w:rFonts w:ascii="宋体" w:hAnsi="宋体"/>
          <w:sz w:val="24"/>
        </w:rPr>
        <w:t>4.4.2</w:t>
      </w:r>
      <w:r w:rsidRPr="0078105B">
        <w:rPr>
          <w:rFonts w:ascii="宋体" w:hAnsi="宋体" w:hint="eastAsia"/>
          <w:sz w:val="24"/>
        </w:rPr>
        <w:t>报告期内基金的业绩表现</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截至报告期末，本基金I类基金份额净值为1.367元，本报告期份额净值增长率为7.13%，同期业绩比较基准收益率为0.88%；E类基金份额净值为1.353元，本报告期份额净值增长率为7.13%，同期业绩比较基准收益率为0.88%。</w:t>
      </w:r>
    </w:p>
    <w:p w:rsidP="00B54884" w:rsidR="00F016DD" w:rsidRDefault="00F016DD" w:rsidRPr="0078105B">
      <w:pPr>
        <w:pStyle w:val="1"/>
        <w:spacing w:after="312" w:afterLines="100" w:before="312" w:beforeLines="100" w:line="360" w:lineRule="auto"/>
        <w:jc w:val="center"/>
        <w:rPr>
          <w:rFonts w:ascii="宋体" w:cs="Arial"/>
          <w:color w:val="000000"/>
          <w:kern w:val="0"/>
          <w:sz w:val="24"/>
          <w:szCs w:val="24"/>
        </w:rPr>
      </w:pPr>
      <w:r w:rsidRPr="0078105B">
        <w:rPr>
          <w:rFonts w:ascii="宋体" w:cs="Arial" w:hAnsi="宋体" w:hint="eastAsia"/>
          <w:color w:val="000000"/>
          <w:kern w:val="0"/>
          <w:sz w:val="24"/>
          <w:szCs w:val="24"/>
        </w:rPr>
        <w:t>§</w:t>
      </w:r>
      <w:r w:rsidRPr="0078105B">
        <w:rPr>
          <w:rFonts w:ascii="宋体" w:cs="Arial" w:hAnsi="宋体"/>
          <w:color w:val="000000"/>
          <w:kern w:val="0"/>
          <w:sz w:val="24"/>
          <w:szCs w:val="24"/>
        </w:rPr>
        <w:t xml:space="preserve">5  </w:t>
      </w:r>
      <w:r w:rsidRPr="0078105B">
        <w:rPr>
          <w:rFonts w:ascii="宋体" w:cs="Arial" w:hAnsi="宋体" w:hint="eastAsia"/>
          <w:color w:val="000000"/>
          <w:kern w:val="0"/>
          <w:sz w:val="24"/>
          <w:szCs w:val="24"/>
        </w:rPr>
        <w:t>投资组合报告</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 xml:space="preserve">5.1 </w:t>
      </w:r>
      <w:r w:rsidRPr="0078105B">
        <w:rPr>
          <w:rFonts w:ascii="宋体" w:cs="Arial" w:hAnsi="宋体" w:hint="eastAsia"/>
          <w:b/>
          <w:color w:val="000000"/>
          <w:kern w:val="0"/>
          <w:sz w:val="24"/>
        </w:rPr>
        <w:t>报告期末基金资产组合情况</w:t>
      </w:r>
    </w:p>
    <w:tbl>
      <w:tblPr>
        <w:tblW w:type="dxa" w:w="8897"/>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720"/>
        <w:gridCol w:w="3357"/>
        <w:gridCol w:w="2977"/>
        <w:gridCol w:w="1843"/>
      </w:tblGrid>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r w:rsidRPr="00FA472B">
              <w:rPr>
                <w:color w:val="000000"/>
                <w:sz w:val="24"/>
              </w:rPr>
              <w:t>序号</w:t>
            </w:r>
          </w:p>
        </w:tc>
        <w:tc>
          <w:tcPr>
            <w:tcW w:type="dxa" w:w="3357"/>
            <w:vAlign w:val="center"/>
          </w:tcPr>
          <w:p w:rsidP="00F4518C" w:rsidR="00F016DD" w:rsidRDefault="00F016DD" w:rsidRPr="00FA472B">
            <w:pPr>
              <w:spacing w:before="29" w:line="360" w:lineRule="auto"/>
              <w:ind w:left="17"/>
              <w:jc w:val="center"/>
              <w:rPr>
                <w:color w:val="000000"/>
                <w:sz w:val="24"/>
              </w:rPr>
            </w:pPr>
            <w:r w:rsidRPr="00FA472B">
              <w:rPr>
                <w:color w:val="000000"/>
                <w:sz w:val="24"/>
              </w:rPr>
              <w:t>项目</w:t>
            </w:r>
          </w:p>
        </w:tc>
        <w:tc>
          <w:tcPr>
            <w:tcW w:type="dxa" w:w="2977"/>
            <w:vAlign w:val="center"/>
          </w:tcPr>
          <w:p w:rsidP="00F4518C" w:rsidR="00F016DD" w:rsidRDefault="00F016DD" w:rsidRPr="00FA472B">
            <w:pPr>
              <w:spacing w:before="29" w:line="360" w:lineRule="auto"/>
              <w:ind w:left="17"/>
              <w:jc w:val="center"/>
              <w:rPr>
                <w:color w:val="000000"/>
                <w:sz w:val="24"/>
              </w:rPr>
            </w:pPr>
            <w:r w:rsidRPr="00FA472B">
              <w:rPr>
                <w:color w:val="000000"/>
                <w:sz w:val="24"/>
              </w:rPr>
              <w:t>金额</w:t>
            </w:r>
            <w:r w:rsidRPr="00FA472B">
              <w:rPr>
                <w:color w:val="000000"/>
                <w:sz w:val="24"/>
              </w:rPr>
              <w:t>(</w:t>
            </w:r>
            <w:r w:rsidRPr="00FA472B">
              <w:rPr>
                <w:color w:val="000000"/>
                <w:sz w:val="24"/>
              </w:rPr>
              <w:t>元</w:t>
            </w:r>
            <w:r w:rsidRPr="00FA472B">
              <w:rPr>
                <w:color w:val="000000"/>
                <w:sz w:val="24"/>
              </w:rPr>
              <w:t>)</w:t>
            </w:r>
          </w:p>
        </w:tc>
        <w:tc>
          <w:tcPr>
            <w:tcW w:type="dxa" w:w="1843"/>
            <w:vAlign w:val="center"/>
          </w:tcPr>
          <w:p w:rsidP="00F4518C" w:rsidR="00F016DD" w:rsidRDefault="00F016DD" w:rsidRPr="00FA472B">
            <w:pPr>
              <w:spacing w:before="29" w:line="360" w:lineRule="auto"/>
              <w:ind w:left="17"/>
              <w:jc w:val="center"/>
              <w:rPr>
                <w:color w:val="000000"/>
                <w:sz w:val="24"/>
              </w:rPr>
            </w:pPr>
            <w:r w:rsidRPr="00FA472B">
              <w:rPr>
                <w:color w:val="000000"/>
                <w:sz w:val="24"/>
              </w:rPr>
              <w:t>占基金总资产的比例</w:t>
            </w:r>
            <w:r w:rsidRPr="00FA472B">
              <w:rPr>
                <w:color w:val="000000"/>
                <w:sz w:val="24"/>
              </w:rPr>
              <w:t>(%)</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r w:rsidRPr="00FA472B">
              <w:rPr>
                <w:color w:val="000000"/>
                <w:sz w:val="24"/>
              </w:rPr>
              <w:t>1</w:t>
            </w:r>
          </w:p>
        </w:tc>
        <w:tc>
          <w:tcPr>
            <w:tcW w:type="dxa" w:w="3357"/>
            <w:vAlign w:val="center"/>
          </w:tcPr>
          <w:p w:rsidP="00F4518C" w:rsidR="00F016DD" w:rsidRDefault="00F016DD" w:rsidRPr="00FA472B">
            <w:pPr>
              <w:spacing w:before="29" w:line="360" w:lineRule="auto"/>
              <w:ind w:left="17"/>
              <w:jc w:val="left"/>
              <w:rPr>
                <w:sz w:val="24"/>
              </w:rPr>
            </w:pPr>
            <w:r w:rsidRPr="00FA472B">
              <w:rPr>
                <w:color w:val="000000"/>
                <w:sz w:val="24"/>
              </w:rPr>
              <w:t>权益投资</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352,000,272.33</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23.61</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p>
        </w:tc>
        <w:tc>
          <w:tcPr>
            <w:tcW w:type="dxa" w:w="3357"/>
            <w:vAlign w:val="center"/>
          </w:tcPr>
          <w:p w:rsidP="00F4518C" w:rsidR="00F016DD" w:rsidRDefault="00F016DD" w:rsidRPr="00FA472B">
            <w:pPr>
              <w:spacing w:before="29" w:line="360" w:lineRule="auto"/>
              <w:ind w:left="17"/>
              <w:jc w:val="left"/>
              <w:rPr>
                <w:sz w:val="24"/>
              </w:rPr>
            </w:pPr>
            <w:r w:rsidRPr="00FA472B">
              <w:rPr>
                <w:color w:val="000000"/>
                <w:sz w:val="24"/>
              </w:rPr>
              <w:t>其中：股票</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352,000,272.33</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23.61</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r w:rsidRPr="00FA472B">
              <w:rPr>
                <w:color w:val="000000"/>
                <w:sz w:val="24"/>
              </w:rPr>
              <w:t>2</w:t>
            </w:r>
          </w:p>
        </w:tc>
        <w:tc>
          <w:tcPr>
            <w:tcW w:type="dxa" w:w="3357"/>
            <w:vAlign w:val="center"/>
          </w:tcPr>
          <w:p w:rsidP="00F4518C" w:rsidR="00F016DD" w:rsidRDefault="00F016DD" w:rsidRPr="00FA472B">
            <w:pPr>
              <w:spacing w:before="29" w:line="360" w:lineRule="auto"/>
              <w:ind w:left="17"/>
              <w:jc w:val="left"/>
              <w:rPr>
                <w:sz w:val="24"/>
              </w:rPr>
            </w:pPr>
            <w:r w:rsidRPr="00FA472B">
              <w:rPr>
                <w:color w:val="000000"/>
                <w:sz w:val="24"/>
              </w:rPr>
              <w:t>固定收益投资</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1,103,216,480.12</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r w:rsidRPr="00FA472B">
              <w:rPr>
                <w:color w:val="000000"/>
                <w:sz w:val="24"/>
              </w:rPr>
              <w:lastRenderedPageBreak/>
              <w:t>73.98</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p>
        </w:tc>
        <w:tc>
          <w:tcPr>
            <w:tcW w:type="dxa" w:w="3357"/>
            <w:vAlign w:val="center"/>
          </w:tcPr>
          <w:p w:rsidP="00F4518C" w:rsidR="00F016DD" w:rsidRDefault="00F016DD" w:rsidRPr="00FA472B">
            <w:pPr>
              <w:spacing w:before="29" w:line="360" w:lineRule="auto"/>
              <w:ind w:left="17"/>
              <w:jc w:val="left"/>
              <w:rPr>
                <w:sz w:val="24"/>
              </w:rPr>
            </w:pPr>
            <w:r w:rsidRPr="00FA472B">
              <w:rPr>
                <w:color w:val="000000"/>
                <w:sz w:val="24"/>
              </w:rPr>
              <w:t>其中：债券</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1,083,216,480.12</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72.64</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p>
        </w:tc>
        <w:tc>
          <w:tcPr>
            <w:tcW w:type="dxa" w:w="3357"/>
            <w:vAlign w:val="center"/>
          </w:tcPr>
          <w:p w:rsidP="00F4518C" w:rsidR="00F016DD" w:rsidRDefault="00F016DD" w:rsidRPr="00FA472B">
            <w:pPr>
              <w:autoSpaceDE w:val="0"/>
              <w:autoSpaceDN w:val="0"/>
              <w:adjustRightInd w:val="0"/>
              <w:spacing w:before="29" w:line="360" w:lineRule="auto"/>
              <w:ind w:left="17"/>
              <w:jc w:val="left"/>
              <w:rPr>
                <w:color w:val="000000"/>
                <w:sz w:val="24"/>
              </w:rPr>
            </w:pPr>
            <w:r w:rsidRPr="00FA472B">
              <w:rPr>
                <w:color w:val="000000"/>
                <w:sz w:val="24"/>
              </w:rPr>
              <w:t>资产支持证券</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20,000,000.00</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1.34</w:t>
            </w:r>
          </w:p>
        </w:tc>
      </w:tr>
      <w:tr w:rsidR="00F016DD" w:rsidRPr="00264E55" w:rsidTr="00F4518C">
        <w:trPr>
          <w:jc w:val="center"/>
        </w:trPr>
        <w:tc>
          <w:tcPr>
            <w:tcW w:type="dxa" w:w="720"/>
          </w:tcPr>
          <w:p w:rsidP="00F4518C" w:rsidR="00F016DD" w:rsidRDefault="00F016DD" w:rsidRPr="00FA472B">
            <w:pPr>
              <w:spacing w:before="29" w:line="360" w:lineRule="auto"/>
              <w:ind w:left="17"/>
              <w:jc w:val="center"/>
              <w:rPr>
                <w:color w:val="000000"/>
                <w:sz w:val="24"/>
              </w:rPr>
            </w:pPr>
            <w:r w:rsidRPr="00FA472B">
              <w:rPr>
                <w:color w:val="000000"/>
                <w:sz w:val="24"/>
              </w:rPr>
              <w:t>3</w:t>
            </w:r>
          </w:p>
        </w:tc>
        <w:tc>
          <w:tcPr>
            <w:tcW w:type="dxa" w:w="3357"/>
          </w:tcPr>
          <w:p w:rsidP="00174038" w:rsidR="00F016DD" w:rsidRDefault="00F016DD" w:rsidRPr="00FA472B">
            <w:pPr>
              <w:spacing w:before="29" w:line="360" w:lineRule="auto"/>
              <w:ind w:left="105" w:leftChars="50"/>
              <w:rPr>
                <w:color w:val="000000"/>
                <w:sz w:val="24"/>
              </w:rPr>
            </w:pPr>
            <w:r w:rsidRPr="00FA472B">
              <w:rPr>
                <w:color w:val="000000"/>
                <w:sz w:val="24"/>
              </w:rPr>
              <w:t>贵金属投资</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r w:rsidRPr="00FA472B">
              <w:rPr>
                <w:color w:val="000000"/>
                <w:sz w:val="24"/>
              </w:rPr>
              <w:t>4</w:t>
            </w:r>
          </w:p>
        </w:tc>
        <w:tc>
          <w:tcPr>
            <w:tcW w:type="dxa" w:w="3357"/>
            <w:vAlign w:val="center"/>
          </w:tcPr>
          <w:p w:rsidP="00F4518C" w:rsidR="00F016DD" w:rsidRDefault="00F016DD" w:rsidRPr="00FA472B">
            <w:pPr>
              <w:spacing w:before="29" w:line="360" w:lineRule="auto"/>
              <w:ind w:left="17"/>
              <w:jc w:val="left"/>
              <w:rPr>
                <w:color w:val="000000"/>
                <w:sz w:val="24"/>
              </w:rPr>
            </w:pPr>
            <w:r w:rsidRPr="00FA472B">
              <w:rPr>
                <w:color w:val="000000"/>
                <w:sz w:val="24"/>
              </w:rPr>
              <w:t>金融衍生</w:t>
            </w:r>
            <w:proofErr w:type="gramStart"/>
            <w:r w:rsidRPr="00FA472B">
              <w:rPr>
                <w:color w:val="000000"/>
                <w:sz w:val="24"/>
              </w:rPr>
              <w:t>品投资</w:t>
            </w:r>
            <w:proofErr w:type="gramEnd"/>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r w:rsidRPr="00FA472B">
              <w:rPr>
                <w:color w:val="000000"/>
                <w:sz w:val="24"/>
              </w:rPr>
              <w:t>5</w:t>
            </w:r>
          </w:p>
        </w:tc>
        <w:tc>
          <w:tcPr>
            <w:tcW w:type="dxa" w:w="3357"/>
            <w:vAlign w:val="center"/>
          </w:tcPr>
          <w:p w:rsidP="00F4518C" w:rsidR="00F016DD" w:rsidRDefault="00F016DD" w:rsidRPr="00FA472B">
            <w:pPr>
              <w:spacing w:before="29" w:line="360" w:lineRule="auto"/>
              <w:ind w:left="17"/>
              <w:jc w:val="left"/>
              <w:rPr>
                <w:sz w:val="24"/>
              </w:rPr>
            </w:pPr>
            <w:r w:rsidRPr="00FA472B">
              <w:rPr>
                <w:color w:val="000000"/>
                <w:sz w:val="24"/>
              </w:rPr>
              <w:t>买入返售金融资产</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r w:rsidRPr="00FA472B">
              <w:rPr>
                <w:color w:val="000000"/>
                <w:sz w:val="24"/>
              </w:rPr>
              <w:lastRenderedPageBreak/>
              <w:t>-</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p>
        </w:tc>
        <w:tc>
          <w:tcPr>
            <w:tcW w:type="dxa" w:w="3357"/>
            <w:vAlign w:val="center"/>
          </w:tcPr>
          <w:p w:rsidP="00F4518C" w:rsidR="00F016DD" w:rsidRDefault="00F016DD" w:rsidRPr="00FA472B">
            <w:pPr>
              <w:spacing w:before="29" w:line="360" w:lineRule="auto"/>
              <w:ind w:left="17"/>
              <w:jc w:val="left"/>
              <w:rPr>
                <w:sz w:val="24"/>
              </w:rPr>
            </w:pPr>
            <w:r w:rsidRPr="00FA472B">
              <w:rPr>
                <w:color w:val="000000"/>
                <w:sz w:val="24"/>
              </w:rPr>
              <w:t>其中：买断式回购的买入返售金融资产</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r w:rsidRPr="00FA472B">
              <w:rPr>
                <w:color w:val="000000"/>
                <w:sz w:val="24"/>
              </w:rPr>
              <w:t>6</w:t>
            </w:r>
          </w:p>
        </w:tc>
        <w:tc>
          <w:tcPr>
            <w:tcW w:type="dxa" w:w="3357"/>
            <w:vAlign w:val="center"/>
          </w:tcPr>
          <w:p w:rsidP="00F4518C" w:rsidR="00F016DD" w:rsidRDefault="00F016DD" w:rsidRPr="00FA472B">
            <w:pPr>
              <w:spacing w:before="29" w:line="360" w:lineRule="auto"/>
              <w:ind w:left="17"/>
              <w:jc w:val="left"/>
              <w:rPr>
                <w:sz w:val="24"/>
              </w:rPr>
            </w:pPr>
            <w:r w:rsidRPr="00FA472B">
              <w:rPr>
                <w:color w:val="000000"/>
                <w:sz w:val="24"/>
              </w:rPr>
              <w:t>银行存款和结算备付金合计</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15,990,931.05</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1.07</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r w:rsidRPr="00FA472B">
              <w:rPr>
                <w:color w:val="000000"/>
                <w:sz w:val="24"/>
              </w:rPr>
              <w:t>7</w:t>
            </w:r>
          </w:p>
        </w:tc>
        <w:tc>
          <w:tcPr>
            <w:tcW w:type="dxa" w:w="3357"/>
            <w:vAlign w:val="center"/>
          </w:tcPr>
          <w:p w:rsidP="00F4518C" w:rsidR="00F016DD" w:rsidRDefault="00F016DD" w:rsidRPr="00FA472B">
            <w:pPr>
              <w:jc w:val="left"/>
              <w:rPr>
                <w:sz w:val="24"/>
              </w:rPr>
            </w:pPr>
            <w:r w:rsidRPr="00FA472B">
              <w:rPr>
                <w:color w:val="000000"/>
                <w:sz w:val="24"/>
              </w:rPr>
              <w:t>其他资产</w:t>
            </w:r>
          </w:p>
        </w:tc>
        <w:tc>
          <w:tcPr>
            <w:tcW w:type="dxa" w:w="2977"/>
            <w:vAlign w:val="center"/>
          </w:tcPr>
          <w:p w:rsidP="00F4518C" w:rsidR="00F016DD" w:rsidRDefault="00F016DD" w:rsidRPr="00FA472B">
            <w:pPr>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19,980,525.72</w:t>
            </w:r>
          </w:p>
        </w:tc>
        <w:tc>
          <w:tcPr>
            <w:tcW w:type="dxa" w:w="1843"/>
            <w:vAlign w:val="center"/>
          </w:tcPr>
          <w:p w:rsidP="00F4518C" w:rsidR="00F016DD" w:rsidRDefault="00F016DD" w:rsidRPr="00FA472B">
            <w:pPr>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1.34</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r w:rsidRPr="00FA472B">
              <w:rPr>
                <w:color w:val="000000"/>
                <w:sz w:val="24"/>
              </w:rPr>
              <w:t>8</w:t>
            </w:r>
          </w:p>
        </w:tc>
        <w:tc>
          <w:tcPr>
            <w:tcW w:type="dxa" w:w="3357"/>
            <w:vAlign w:val="center"/>
          </w:tcPr>
          <w:p w:rsidP="00F4518C" w:rsidR="00F016DD" w:rsidRDefault="00F016DD" w:rsidRPr="00FA472B">
            <w:pPr>
              <w:jc w:val="left"/>
              <w:rPr>
                <w:sz w:val="24"/>
              </w:rPr>
            </w:pPr>
            <w:r w:rsidRPr="00FA472B">
              <w:rPr>
                <w:color w:val="000000"/>
                <w:sz w:val="24"/>
              </w:rPr>
              <w:t>合计</w:t>
            </w:r>
          </w:p>
        </w:tc>
        <w:tc>
          <w:tcPr>
            <w:tcW w:type="dxa" w:w="2977"/>
            <w:vAlign w:val="center"/>
          </w:tcPr>
          <w:p w:rsidP="00F4518C" w:rsidR="00F016DD" w:rsidRDefault="00F016DD" w:rsidRPr="00FA472B">
            <w:pPr>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1,491,188,209.22</w:t>
            </w:r>
          </w:p>
        </w:tc>
        <w:tc>
          <w:tcPr>
            <w:tcW w:type="dxa" w:w="1843"/>
            <w:vAlign w:val="center"/>
          </w:tcPr>
          <w:p w:rsidP="00F4518C" w:rsidR="00F016DD" w:rsidRDefault="00F016DD" w:rsidRPr="00FA472B">
            <w:pPr>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100.00</w:t>
            </w:r>
          </w:p>
        </w:tc>
      </w:tr>
    </w:tbl>
    <w:p w:rsidP="00B54884" w:rsidR="00874AA3" w:rsidRDefault="00874AA3" w:rsidRPr="00C70969">
      <w:pPr>
        <w:autoSpaceDE w:val="0"/>
        <w:autoSpaceDN w:val="0"/>
        <w:adjustRightInd w:val="0"/>
        <w:spacing w:before="312" w:beforeLines="100" w:line="360" w:lineRule="auto"/>
        <w:jc w:val="left"/>
        <w:rPr>
          <w:rFonts w:eastAsiaTheme="minorEastAsia"/>
          <w:b/>
          <w:color w:themeColor="text1" w:val="000000"/>
          <w:kern w:val="0"/>
          <w:sz w:val="24"/>
        </w:rPr>
      </w:pPr>
      <w:r w:rsidRPr="00C70969">
        <w:rPr>
          <w:rFonts w:eastAsiaTheme="minorEastAsia"/>
          <w:b/>
          <w:color w:themeColor="text1" w:val="000000"/>
          <w:kern w:val="0"/>
          <w:sz w:val="24"/>
        </w:rPr>
        <w:t xml:space="preserve">5.2 </w:t>
      </w:r>
      <w:r w:rsidRPr="00C70969">
        <w:rPr>
          <w:rFonts w:eastAsiaTheme="minorEastAsia"/>
          <w:b/>
          <w:color w:themeColor="text1" w:val="000000"/>
          <w:kern w:val="0"/>
          <w:sz w:val="24"/>
        </w:rPr>
        <w:t>报告期末按行业分类的股票投资组合</w:t>
      </w:r>
    </w:p>
    <w:p w:rsidP="00874AA3" w:rsidR="00874AA3" w:rsidRDefault="00874AA3" w:rsidRPr="00C70969">
      <w:pPr>
        <w:rPr>
          <w:b/>
          <w:sz w:val="24"/>
        </w:rPr>
      </w:pPr>
      <w:r w:rsidRPr="00C70969">
        <w:rPr>
          <w:b/>
          <w:sz w:val="24"/>
        </w:rPr>
        <w:t xml:space="preserve"> </w:t>
      </w:r>
      <w:r w:rsidRPr="00C70969">
        <w:rPr>
          <w:b/>
          <w:color w:themeColor="text1" w:val="000000"/>
          <w:sz w:val="24"/>
        </w:rPr>
        <w:t/>
      </w:r>
      <w:proofErr w:type="spellStart"/>
      <w:r w:rsidRPr="00C70969">
        <w:rPr>
          <w:b/>
          <w:color w:themeColor="text1" w:val="000000"/>
          <w:sz w:val="24"/>
        </w:rPr>
        <w:t/>
      </w:r>
      <w:proofErr w:type="spellEnd"/>
      <w:r w:rsidRPr="00C70969">
        <w:rPr>
          <w:b/>
          <w:color w:themeColor="text1" w:val="000000"/>
          <w:sz w:val="24"/>
        </w:rPr>
        <w:t/>
      </w:r>
      <w:r w:rsidRPr="00C70969">
        <w:rPr>
          <w:rFonts w:eastAsiaTheme="minorEastAsia"/>
          <w:b/>
          <w:color w:themeColor="text1" w:val="000000"/>
          <w:kern w:val="0"/>
          <w:sz w:val="24"/>
        </w:rPr>
        <w:t>5.2.1</w:t>
      </w:r>
      <w:r w:rsidRPr="00C70969">
        <w:rPr>
          <w:rFonts w:eastAsiaTheme="minorEastAsia"/>
          <w:b/>
          <w:color w:themeColor="text1" w:val="000000"/>
          <w:kern w:val="0"/>
          <w:sz w:val="24"/>
        </w:rPr>
        <w:t>报告期末按行业分类的境内股票投资组合</w:t>
      </w:r>
    </w:p>
    <w:tbl>
      <w:tblPr>
        <w:tblW w:type="auto" w:w="0"/>
        <w:tblInd w:type="dxa" w:w="108"/>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CellMar>
          <w:left w:type="dxa" w:w="0"/>
          <w:right w:type="dxa" w:w="0"/>
        </w:tblCellMar>
        <w:tblLook w:firstColumn="0" w:firstRow="0" w:lastColumn="0" w:lastRow="0" w:noHBand="0" w:noVBand="0" w:val="0000"/>
      </w:tblPr>
      <w:tblGrid>
        <w:gridCol w:w="540"/>
        <w:gridCol w:w="3691"/>
        <w:gridCol w:w="2852"/>
        <w:gridCol w:w="1648"/>
      </w:tblGrid>
      <w:tr w:rsidR="00874AA3" w:rsidRPr="00C70969" w:rsidTr="0001612A">
        <w:trPr>
          <w:trHeight w:val="390"/>
        </w:trPr>
        <w:tc>
          <w:tcPr>
            <w:tcW w:type="dxa" w:w="540"/>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代码</w:t>
            </w: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行业类别</w:t>
            </w:r>
          </w:p>
        </w:tc>
        <w:tc>
          <w:tcPr>
            <w:tcW w:type="dxa" w:w="2852"/>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公允价值（元）</w:t>
            </w:r>
          </w:p>
        </w:tc>
        <w:tc>
          <w:tcPr>
            <w:tcW w:type="dxa" w:w="1648"/>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占基金资产净值比例（％）</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A</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农、林、牧、渔业</w:t>
            </w:r>
          </w:p>
        </w:tc>
        <w:tc>
          <w:tcPr>
            <w:tcW w:type="dxa" w:w="2852"/>
            <w:vAlign w:val="center"/>
          </w:tcPr>
          <w:p w:rsidP="0071134C" w:rsidR="00874AA3" w:rsidRDefault="00874AA3" w:rsidRPr="00C70969">
            <w:pPr>
              <w:autoSpaceDE w:val="0"/>
              <w:autoSpaceDN w:val="0"/>
              <w:adjustRightInd w:val="0"/>
              <w:spacing w:before="29" w:line="360" w:lineRule="auto"/>
              <w:ind w:left="15"/>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c>
          <w:tcPr>
            <w:tcW w:type="dxa" w:w="1648"/>
            <w:tcMar>
              <w:top w:type="dxa" w:w="15"/>
              <w:left w:type="dxa" w:w="15"/>
              <w:bottom w:type="dxa" w:w="0"/>
              <w:right w:type="dxa" w:w="15"/>
            </w:tcMar>
            <w:vAlign w:val="center"/>
          </w:tcPr>
          <w:p w:rsidP="0071134C" w:rsidR="00874AA3" w:rsidRDefault="00874AA3" w:rsidRPr="00C70969">
            <w:pPr>
              <w:autoSpaceDE w:val="0"/>
              <w:autoSpaceDN w:val="0"/>
              <w:adjustRightInd w:val="0"/>
              <w:spacing w:before="29" w:line="360" w:lineRule="auto"/>
              <w:ind w:left="15"/>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B</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采矿业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7,020,640.00</w:t>
            </w:r>
          </w:p>
          <w:p w:rsidP="0071134C" w:rsidR="00874AA3" w:rsidRDefault="00874AA3" w:rsidRPr="00C70969">
            <w:pPr>
              <w:jc w:val="right"/>
              <w:rPr>
                <w:rFonts w:eastAsiaTheme="minorEastAsia"/>
                <w:color w:themeColor="text1" w:val="000000"/>
                <w:sz w:val="24"/>
              </w:rPr>
            </w:pP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0.63</w:t>
            </w:r>
          </w:p>
          <w:p w:rsidP="0071134C" w:rsidR="00874AA3" w:rsidRDefault="00874AA3" w:rsidRPr="00C70969">
            <w:pPr>
              <w:jc w:val="right"/>
              <w:rPr>
                <w:rFonts w:eastAsiaTheme="minorEastAsia"/>
                <w:color w:themeColor="text1" w:val="000000"/>
                <w:sz w:val="24"/>
              </w:rPr>
            </w:pP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C</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制造业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283,491,666.90</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25.39</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D</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电力、热力、燃气及水生产和供应业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12,766.32</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0.00</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E</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建筑业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F</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批发和零售业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10,940,334.00</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0.98</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G</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交通运输、仓储和邮政业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5,593,327.12</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r w:rsidRPr="00C70969">
              <w:rPr>
                <w:rFonts w:eastAsiaTheme="minorEastAsia"/>
                <w:color w:themeColor="text1" w:val="000000"/>
                <w:sz w:val="24"/>
              </w:rPr>
              <w:lastRenderedPageBreak/>
              <w:t>0.50</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lastRenderedPageBreak/>
              <w:t>H</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住宿和餐饮业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I</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信息传输、软件和信息技术服务业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12,558,134.99</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1.12</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J</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金融业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20,059,100.00</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1.80</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K</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房地产业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L</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租赁和商务服务业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M</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科学研究和技术服务业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N</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水利、环境和公共设施管理业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O</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居民服务、修理和其他服务业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P</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教育</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r w:rsidRPr="00C70969">
              <w:rPr>
                <w:rFonts w:eastAsiaTheme="minorEastAsia"/>
                <w:color w:themeColor="text1" w:val="000000"/>
                <w:sz w:val="24"/>
              </w:rPr>
              <w:lastRenderedPageBreak/>
              <w:t/>
            </w:r>
            <w:proofErr w:type="spellEnd"/>
            <w:r w:rsidRPr="00C70969">
              <w:rPr>
                <w:rFonts w:eastAsiaTheme="minorEastAsia"/>
                <w:color w:themeColor="text1" w:val="000000"/>
                <w:sz w:val="24"/>
              </w:rPr>
              <w:t>-</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lastRenderedPageBreak/>
              <w:t>Q</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卫生和社会工作</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12,324,303.00</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1.10</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R</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文化、体育和娱乐业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S</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综合</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合计</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352,000,272.33</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31.52</w:t>
            </w:r>
          </w:p>
        </w:tc>
      </w:tr>
    </w:tbl>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 xml:space="preserve">5.3 </w:t>
      </w:r>
      <w:r w:rsidRPr="0078105B">
        <w:rPr>
          <w:rFonts w:ascii="宋体" w:cs="Arial" w:hAnsi="宋体" w:hint="eastAsia"/>
          <w:b/>
          <w:color w:val="000000"/>
          <w:kern w:val="0"/>
          <w:sz w:val="24"/>
        </w:rPr>
        <w:t>报告期末按公允价值占基金资产净值比例大小排序的前十名股票投资明细</w:t>
      </w:r>
    </w:p>
    <w:tbl>
      <w:tblPr>
        <w:tblW w:type="auto"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817"/>
        <w:gridCol w:w="1276"/>
        <w:gridCol w:w="1417"/>
        <w:gridCol w:w="1560"/>
        <w:gridCol w:w="2268"/>
        <w:gridCol w:w="1559"/>
      </w:tblGrid>
      <w:tr w:rsidR="00F016DD" w:rsidRPr="0078105B" w:rsidTr="00174038">
        <w:tc>
          <w:tcPr>
            <w:tcW w:type="dxa" w:w="817"/>
            <w:vAlign w:val="center"/>
          </w:tcPr>
          <w:p w:rsidP="000871DB" w:rsidR="00F016DD" w:rsidRDefault="00F016DD" w:rsidRPr="00FA472B">
            <w:pPr>
              <w:spacing w:before="29" w:line="360" w:lineRule="auto"/>
              <w:ind w:left="17"/>
              <w:jc w:val="center"/>
              <w:rPr>
                <w:color w:val="000000"/>
                <w:sz w:val="24"/>
              </w:rPr>
            </w:pPr>
            <w:r w:rsidRPr="00FA472B">
              <w:rPr>
                <w:color w:val="000000"/>
                <w:sz w:val="24"/>
              </w:rPr>
              <w:t>序号</w:t>
            </w:r>
          </w:p>
        </w:tc>
        <w:tc>
          <w:tcPr>
            <w:tcW w:type="dxa" w:w="1276"/>
            <w:vAlign w:val="center"/>
          </w:tcPr>
          <w:p w:rsidP="000871DB" w:rsidR="00F016DD" w:rsidRDefault="00F016DD" w:rsidRPr="00FA472B">
            <w:pPr>
              <w:spacing w:before="29" w:line="360" w:lineRule="auto"/>
              <w:ind w:left="17"/>
              <w:jc w:val="center"/>
              <w:rPr>
                <w:color w:val="000000"/>
                <w:sz w:val="24"/>
              </w:rPr>
            </w:pPr>
            <w:r w:rsidRPr="00FA472B">
              <w:rPr>
                <w:color w:val="000000"/>
                <w:sz w:val="24"/>
              </w:rPr>
              <w:t>股票代码</w:t>
            </w:r>
          </w:p>
        </w:tc>
        <w:tc>
          <w:tcPr>
            <w:tcW w:type="dxa" w:w="1417"/>
            <w:vAlign w:val="center"/>
          </w:tcPr>
          <w:p w:rsidP="000871DB" w:rsidR="00F016DD" w:rsidRDefault="00F016DD" w:rsidRPr="00FA472B">
            <w:pPr>
              <w:spacing w:before="29" w:line="360" w:lineRule="auto"/>
              <w:ind w:left="17"/>
              <w:jc w:val="center"/>
              <w:rPr>
                <w:color w:val="000000"/>
                <w:sz w:val="24"/>
              </w:rPr>
            </w:pPr>
            <w:r w:rsidRPr="00FA472B">
              <w:rPr>
                <w:color w:val="000000"/>
                <w:sz w:val="24"/>
              </w:rPr>
              <w:t>股票名称</w:t>
            </w:r>
          </w:p>
        </w:tc>
        <w:tc>
          <w:tcPr>
            <w:tcW w:type="dxa" w:w="1560"/>
            <w:vAlign w:val="center"/>
          </w:tcPr>
          <w:p w:rsidP="000871DB" w:rsidR="00F016DD" w:rsidRDefault="00F016DD" w:rsidRPr="00FA472B">
            <w:pPr>
              <w:spacing w:before="29" w:line="360" w:lineRule="auto"/>
              <w:ind w:left="17"/>
              <w:jc w:val="center"/>
              <w:rPr>
                <w:color w:val="000000"/>
                <w:sz w:val="24"/>
              </w:rPr>
            </w:pPr>
            <w:r w:rsidRPr="00FA472B">
              <w:rPr>
                <w:color w:val="000000"/>
                <w:sz w:val="24"/>
              </w:rPr>
              <w:t>数量</w:t>
            </w:r>
            <w:r w:rsidRPr="00FA472B">
              <w:rPr>
                <w:color w:val="000000"/>
                <w:sz w:val="24"/>
              </w:rPr>
              <w:t>(</w:t>
            </w:r>
            <w:r w:rsidRPr="00FA472B">
              <w:rPr>
                <w:color w:val="000000"/>
                <w:sz w:val="24"/>
              </w:rPr>
              <w:t>股</w:t>
            </w:r>
            <w:r w:rsidRPr="00FA472B">
              <w:rPr>
                <w:color w:val="000000"/>
                <w:sz w:val="24"/>
              </w:rPr>
              <w:t>)</w:t>
            </w:r>
          </w:p>
        </w:tc>
        <w:tc>
          <w:tcPr>
            <w:tcW w:type="dxa" w:w="2268"/>
            <w:vAlign w:val="center"/>
          </w:tcPr>
          <w:p w:rsidP="000871DB" w:rsidR="00F016DD" w:rsidRDefault="00F016DD" w:rsidRPr="00FA472B">
            <w:pPr>
              <w:autoSpaceDE w:val="0"/>
              <w:autoSpaceDN w:val="0"/>
              <w:adjustRightInd w:val="0"/>
              <w:spacing w:before="29" w:line="360" w:lineRule="auto"/>
              <w:ind w:left="17"/>
              <w:jc w:val="center"/>
              <w:rPr>
                <w:color w:val="000000"/>
                <w:sz w:val="24"/>
              </w:rPr>
            </w:pPr>
            <w:r w:rsidRPr="00FA472B">
              <w:rPr>
                <w:color w:val="000000"/>
                <w:sz w:val="24"/>
              </w:rPr>
              <w:t>公允价值</w:t>
            </w:r>
            <w:r w:rsidRPr="00FA472B">
              <w:rPr>
                <w:color w:val="000000"/>
                <w:sz w:val="24"/>
              </w:rPr>
              <w:t>(</w:t>
            </w:r>
            <w:r w:rsidRPr="00FA472B">
              <w:rPr>
                <w:color w:val="000000"/>
                <w:sz w:val="24"/>
              </w:rPr>
              <w:t>元</w:t>
            </w:r>
            <w:r w:rsidRPr="00FA472B">
              <w:rPr>
                <w:color w:val="000000"/>
                <w:sz w:val="24"/>
              </w:rPr>
              <w:t>)</w:t>
            </w:r>
          </w:p>
        </w:tc>
        <w:tc>
          <w:tcPr>
            <w:tcW w:type="dxa" w:w="1559"/>
            <w:vAlign w:val="center"/>
          </w:tcPr>
          <w:p w:rsidP="000871DB" w:rsidR="00F016DD" w:rsidRDefault="00F016DD" w:rsidRPr="00FA472B">
            <w:pPr>
              <w:spacing w:before="29" w:line="360" w:lineRule="auto"/>
              <w:ind w:left="17"/>
              <w:jc w:val="center"/>
              <w:rPr>
                <w:color w:val="000000"/>
                <w:sz w:val="24"/>
              </w:rPr>
            </w:pPr>
            <w:r w:rsidRPr="00FA472B">
              <w:rPr>
                <w:color w:val="000000"/>
                <w:sz w:val="24"/>
              </w:rPr>
              <w:t>占基金资产净值比例</w:t>
            </w:r>
            <w:r w:rsidRPr="00FA472B">
              <w:rPr>
                <w:color w:val="000000"/>
                <w:sz w:val="24"/>
              </w:rPr>
              <w:t>(</w:t>
            </w:r>
            <w:r w:rsidRPr="00FA472B">
              <w:rPr>
                <w:color w:val="000000"/>
                <w:sz w:val="24"/>
              </w:rPr>
              <w:t>％</w:t>
            </w:r>
            <w:r w:rsidRPr="00FA472B">
              <w:rPr>
                <w:color w:val="000000"/>
                <w:sz w:val="24"/>
              </w:rPr>
              <w:t>)</w:t>
            </w:r>
          </w:p>
        </w:tc>
      </w:tr>
      <w:tr>
        <w:tc>
          <w:tcPr>
            <w:vAlign w:val="center"/>
          </w:tcPr>
          <w:p>
            <w:pPr>
              <w:jc w:val="center"/>
            </w:pPr>
            <w:r>
              <w:rPr>
                <w:color w:val="000000"/>
                <w:sz w:val="24"/>
              </w:rPr>
              <w:t>1</w:t>
            </w:r>
          </w:p>
        </w:tc>
        <w:tc>
          <w:tcPr>
            <w:vAlign w:val="center"/>
          </w:tcPr>
          <w:p>
            <w:pPr>
              <w:jc w:val="center"/>
            </w:pPr>
            <w:r>
              <w:rPr>
                <w:color w:val="000000"/>
                <w:sz w:val="24"/>
              </w:rPr>
              <w:t>000858</w:t>
            </w:r>
          </w:p>
        </w:tc>
        <w:tc>
          <w:tcPr>
            <w:vAlign w:val="center"/>
          </w:tcPr>
          <w:p>
            <w:pPr>
              <w:jc w:val="center"/>
            </w:pPr>
            <w:r>
              <w:rPr>
                <w:color w:val="000000"/>
                <w:sz w:val="24"/>
              </w:rPr>
              <w:t>五粮液</w:t>
            </w:r>
          </w:p>
        </w:tc>
        <w:tc>
          <w:tcPr>
            <w:vAlign w:val="center"/>
          </w:tcPr>
          <w:p>
            <w:pPr>
              <w:jc w:val="right"/>
            </w:pPr>
            <w:r>
              <w:rPr>
                <w:color w:val="000000"/>
                <w:sz w:val="24"/>
              </w:rPr>
              <w:t>143,100</w:t>
            </w:r>
          </w:p>
        </w:tc>
        <w:tc>
          <w:tcPr>
            <w:vAlign w:val="center"/>
          </w:tcPr>
          <w:p>
            <w:pPr>
              <w:jc w:val="right"/>
            </w:pPr>
            <w:r>
              <w:rPr>
                <w:color w:val="000000"/>
                <w:sz w:val="24"/>
              </w:rPr>
              <w:t>24,487,272.00</w:t>
            </w:r>
          </w:p>
        </w:tc>
        <w:tc>
          <w:tcPr>
            <w:vAlign w:val="center"/>
          </w:tcPr>
          <w:p>
            <w:pPr>
              <w:jc w:val="right"/>
            </w:pPr>
            <w:r>
              <w:rPr>
                <w:color w:val="000000"/>
                <w:sz w:val="24"/>
              </w:rPr>
              <w:t>2.19</w:t>
            </w:r>
          </w:p>
        </w:tc>
      </w:tr>
      <w:tr>
        <w:tc>
          <w:tcPr>
            <w:vAlign w:val="center"/>
          </w:tcPr>
          <w:p>
            <w:pPr>
              <w:jc w:val="center"/>
            </w:pPr>
            <w:r>
              <w:rPr>
                <w:color w:val="000000"/>
                <w:sz w:val="24"/>
              </w:rPr>
              <w:t>2</w:t>
            </w:r>
          </w:p>
        </w:tc>
        <w:tc>
          <w:tcPr>
            <w:vAlign w:val="center"/>
          </w:tcPr>
          <w:p>
            <w:pPr>
              <w:jc w:val="center"/>
            </w:pPr>
            <w:r>
              <w:rPr>
                <w:color w:val="000000"/>
                <w:sz w:val="24"/>
              </w:rPr>
              <w:t>601799</w:t>
            </w:r>
          </w:p>
        </w:tc>
        <w:tc>
          <w:tcPr>
            <w:vAlign w:val="center"/>
          </w:tcPr>
          <w:p>
            <w:pPr>
              <w:jc w:val="center"/>
            </w:pPr>
            <w:r>
              <w:rPr>
                <w:color w:val="000000"/>
                <w:sz w:val="24"/>
              </w:rPr>
              <w:t>星宇股份</w:t>
            </w:r>
          </w:p>
        </w:tc>
        <w:tc>
          <w:tcPr>
            <w:vAlign w:val="center"/>
          </w:tcPr>
          <w:p>
            <w:pPr>
              <w:jc w:val="right"/>
            </w:pPr>
            <w:r>
              <w:rPr>
                <w:color w:val="000000"/>
                <w:sz w:val="24"/>
              </w:rPr>
              <w:t>187,843</w:t>
            </w:r>
          </w:p>
        </w:tc>
        <w:tc>
          <w:tcPr>
            <w:vAlign w:val="center"/>
          </w:tcPr>
          <w:p>
            <w:pPr>
              <w:jc w:val="right"/>
            </w:pPr>
            <w:r>
              <w:rPr>
                <w:color w:val="000000"/>
                <w:sz w:val="24"/>
              </w:rPr>
              <w:t>23,856,061.00</w:t>
            </w:r>
          </w:p>
        </w:tc>
        <w:tc>
          <w:tcPr>
            <w:vAlign w:val="center"/>
          </w:tcPr>
          <w:p>
            <w:pPr>
              <w:jc w:val="right"/>
            </w:pPr>
            <w:r>
              <w:rPr>
                <w:color w:val="000000"/>
                <w:sz w:val="24"/>
              </w:rPr>
              <w:t>2.14</w:t>
            </w:r>
          </w:p>
        </w:tc>
      </w:tr>
      <w:tr>
        <w:tc>
          <w:tcPr>
            <w:vAlign w:val="center"/>
          </w:tcPr>
          <w:p>
            <w:pPr>
              <w:jc w:val="center"/>
            </w:pPr>
            <w:r>
              <w:rPr>
                <w:color w:val="000000"/>
                <w:sz w:val="24"/>
              </w:rPr>
              <w:t>3</w:t>
            </w:r>
          </w:p>
        </w:tc>
        <w:tc>
          <w:tcPr>
            <w:vAlign w:val="center"/>
          </w:tcPr>
          <w:p>
            <w:pPr>
              <w:jc w:val="center"/>
            </w:pPr>
            <w:r>
              <w:rPr>
                <w:color w:val="000000"/>
                <w:sz w:val="24"/>
              </w:rPr>
              <w:t>300628</w:t>
            </w:r>
          </w:p>
        </w:tc>
        <w:tc>
          <w:tcPr>
            <w:vAlign w:val="center"/>
          </w:tcPr>
          <w:p>
            <w:pPr>
              <w:jc w:val="center"/>
            </w:pPr>
            <w:r>
              <w:rPr>
                <w:color w:val="000000"/>
                <w:sz w:val="24"/>
              </w:rPr>
              <w:t>亿联网络</w:t>
            </w:r>
          </w:p>
        </w:tc>
        <w:tc>
          <w:tcPr>
            <w:vAlign w:val="center"/>
          </w:tcPr>
          <w:p>
            <w:pPr>
              <w:jc w:val="right"/>
            </w:pPr>
            <w:r>
              <w:rPr>
                <w:color w:val="000000"/>
                <w:sz w:val="24"/>
              </w:rPr>
              <w:t>322,350</w:t>
            </w:r>
          </w:p>
        </w:tc>
        <w:tc>
          <w:tcPr>
            <w:vAlign w:val="center"/>
          </w:tcPr>
          <w:p>
            <w:pPr>
              <w:jc w:val="right"/>
            </w:pPr>
            <w:r>
              <w:rPr>
                <w:color w:val="000000"/>
                <w:sz w:val="24"/>
              </w:rPr>
              <w:t>22,003,611.00</w:t>
            </w:r>
          </w:p>
        </w:tc>
        <w:tc>
          <w:tcPr>
            <w:vAlign w:val="center"/>
          </w:tcPr>
          <w:p>
            <w:pPr>
              <w:jc w:val="right"/>
            </w:pPr>
            <w:r>
              <w:rPr>
                <w:color w:val="000000"/>
                <w:sz w:val="24"/>
              </w:rPr>
              <w:t>1.97</w:t>
            </w:r>
          </w:p>
        </w:tc>
      </w:tr>
      <w:tr>
        <w:tc>
          <w:tcPr>
            <w:vAlign w:val="center"/>
          </w:tcPr>
          <w:p>
            <w:pPr>
              <w:jc w:val="center"/>
            </w:pPr>
            <w:r>
              <w:rPr>
                <w:color w:val="000000"/>
                <w:sz w:val="24"/>
              </w:rPr>
              <w:t>4</w:t>
            </w:r>
          </w:p>
        </w:tc>
        <w:tc>
          <w:tcPr>
            <w:vAlign w:val="center"/>
          </w:tcPr>
          <w:p>
            <w:pPr>
              <w:jc w:val="center"/>
            </w:pPr>
            <w:r>
              <w:rPr>
                <w:color w:val="000000"/>
                <w:sz w:val="24"/>
              </w:rPr>
              <w:t>000651</w:t>
            </w:r>
          </w:p>
        </w:tc>
        <w:tc>
          <w:tcPr>
            <w:vAlign w:val="center"/>
          </w:tcPr>
          <w:p>
            <w:pPr>
              <w:jc w:val="center"/>
            </w:pPr>
            <w:r>
              <w:rPr>
                <w:color w:val="000000"/>
                <w:sz w:val="24"/>
              </w:rPr>
              <w:t>格力电器</w:t>
            </w:r>
          </w:p>
        </w:tc>
        <w:tc>
          <w:tcPr>
            <w:vAlign w:val="center"/>
          </w:tcPr>
          <w:p>
            <w:pPr>
              <w:jc w:val="right"/>
            </w:pPr>
            <w:r>
              <w:rPr>
                <w:color w:val="000000"/>
                <w:sz w:val="24"/>
              </w:rPr>
              <w:t>362,500</w:t>
            </w:r>
          </w:p>
        </w:tc>
        <w:tc>
          <w:tcPr>
            <w:vAlign w:val="center"/>
          </w:tcPr>
          <w:p>
            <w:pPr>
              <w:jc w:val="right"/>
            </w:pPr>
            <w:r>
              <w:rPr>
                <w:color w:val="000000"/>
                <w:sz w:val="24"/>
              </w:rPr>
              <w:t>20,506,625.00</w:t>
            </w:r>
          </w:p>
        </w:tc>
        <w:tc>
          <w:tcPr>
            <w:vAlign w:val="center"/>
          </w:tcPr>
          <w:p>
            <w:pPr>
              <w:jc w:val="right"/>
            </w:pPr>
            <w:r>
              <w:rPr>
                <w:color w:val="000000"/>
                <w:sz w:val="24"/>
              </w:rPr>
              <w:t>1.84</w:t>
            </w:r>
          </w:p>
        </w:tc>
      </w:tr>
      <w:tr>
        <w:tc>
          <w:tcPr>
            <w:vAlign w:val="center"/>
          </w:tcPr>
          <w:p>
            <w:pPr>
              <w:jc w:val="center"/>
            </w:pPr>
            <w:r>
              <w:rPr>
                <w:color w:val="000000"/>
                <w:sz w:val="24"/>
              </w:rPr>
              <w:t>5</w:t>
            </w:r>
          </w:p>
        </w:tc>
        <w:tc>
          <w:tcPr>
            <w:vAlign w:val="center"/>
          </w:tcPr>
          <w:p>
            <w:pPr>
              <w:jc w:val="center"/>
            </w:pPr>
            <w:r>
              <w:rPr>
                <w:color w:val="000000"/>
                <w:sz w:val="24"/>
              </w:rPr>
              <w:t>603179</w:t>
            </w:r>
          </w:p>
        </w:tc>
        <w:tc>
          <w:tcPr>
            <w:vAlign w:val="center"/>
          </w:tcPr>
          <w:p>
            <w:pPr>
              <w:jc w:val="center"/>
            </w:pPr>
            <w:r>
              <w:rPr>
                <w:color w:val="000000"/>
                <w:sz w:val="24"/>
              </w:rPr>
              <w:t>新泉股份</w:t>
            </w:r>
          </w:p>
        </w:tc>
        <w:tc>
          <w:tcPr>
            <w:vAlign w:val="center"/>
          </w:tcPr>
          <w:p>
            <w:pPr>
              <w:jc w:val="right"/>
            </w:pPr>
            <w:r>
              <w:rPr>
                <w:color w:val="000000"/>
                <w:sz w:val="24"/>
              </w:rPr>
              <w:t>856,890</w:t>
            </w:r>
          </w:p>
        </w:tc>
        <w:tc>
          <w:tcPr>
            <w:vAlign w:val="center"/>
          </w:tcPr>
          <w:p>
            <w:pPr>
              <w:jc w:val="right"/>
            </w:pPr>
            <w:r>
              <w:rPr>
                <w:color w:val="000000"/>
                <w:sz w:val="24"/>
              </w:rPr>
              <w:t>19,399,989.60</w:t>
            </w:r>
          </w:p>
        </w:tc>
        <w:tc>
          <w:tcPr>
            <w:vAlign w:val="center"/>
          </w:tcPr>
          <w:p>
            <w:pPr>
              <w:jc w:val="right"/>
            </w:pPr>
            <w:r>
              <w:rPr>
                <w:color w:val="000000"/>
                <w:sz w:val="24"/>
              </w:rPr>
              <w:t>1.74</w:t>
            </w:r>
          </w:p>
        </w:tc>
      </w:tr>
      <w:tr>
        <w:tc>
          <w:tcPr>
            <w:vAlign w:val="center"/>
          </w:tcPr>
          <w:p>
            <w:pPr>
              <w:jc w:val="center"/>
            </w:pPr>
            <w:r>
              <w:rPr>
                <w:color w:val="000000"/>
                <w:sz w:val="24"/>
              </w:rPr>
              <w:t>6</w:t>
            </w:r>
          </w:p>
        </w:tc>
        <w:tc>
          <w:tcPr>
            <w:vAlign w:val="center"/>
          </w:tcPr>
          <w:p>
            <w:pPr>
              <w:jc w:val="center"/>
            </w:pPr>
            <w:r>
              <w:rPr>
                <w:color w:val="000000"/>
                <w:sz w:val="24"/>
              </w:rPr>
              <w:t>300433</w:t>
            </w:r>
          </w:p>
        </w:tc>
        <w:tc>
          <w:tcPr>
            <w:vAlign w:val="center"/>
          </w:tcPr>
          <w:p>
            <w:pPr>
              <w:jc w:val="center"/>
            </w:pPr>
            <w:r>
              <w:rPr>
                <w:color w:val="000000"/>
                <w:sz w:val="24"/>
              </w:rPr>
              <w:t>蓝思科技</w:t>
            </w:r>
          </w:p>
        </w:tc>
        <w:tc>
          <w:tcPr>
            <w:vAlign w:val="center"/>
          </w:tcPr>
          <w:p>
            <w:pPr>
              <w:jc w:val="right"/>
            </w:pPr>
            <w:r>
              <w:rPr>
                <w:color w:val="000000"/>
                <w:sz w:val="24"/>
              </w:rPr>
              <w:t>502,504</w:t>
            </w:r>
          </w:p>
        </w:tc>
        <w:tc>
          <w:tcPr>
            <w:vAlign w:val="center"/>
          </w:tcPr>
          <w:p>
            <w:pPr>
              <w:jc w:val="right"/>
            </w:pPr>
            <w:r>
              <w:rPr>
                <w:color w:val="000000"/>
                <w:sz w:val="24"/>
              </w:rPr>
              <w:t>14,090,212.16</w:t>
            </w:r>
          </w:p>
        </w:tc>
        <w:tc>
          <w:tcPr>
            <w:vAlign w:val="center"/>
          </w:tcPr>
          <w:p>
            <w:pPr>
              <w:jc w:val="right"/>
            </w:pPr>
            <w:r>
              <w:rPr>
                <w:color w:val="000000"/>
                <w:sz w:val="24"/>
              </w:rPr>
              <w:t>1.26</w:t>
            </w:r>
          </w:p>
        </w:tc>
      </w:tr>
      <w:tr>
        <w:tc>
          <w:tcPr>
            <w:vAlign w:val="center"/>
          </w:tcPr>
          <w:p>
            <w:pPr>
              <w:jc w:val="center"/>
            </w:pPr>
            <w:r>
              <w:rPr>
                <w:color w:val="000000"/>
                <w:sz w:val="24"/>
              </w:rPr>
              <w:t>7</w:t>
            </w:r>
          </w:p>
        </w:tc>
        <w:tc>
          <w:tcPr>
            <w:vAlign w:val="center"/>
          </w:tcPr>
          <w:p>
            <w:pPr>
              <w:jc w:val="center"/>
            </w:pPr>
            <w:r>
              <w:rPr>
                <w:color w:val="000000"/>
                <w:sz w:val="24"/>
              </w:rPr>
              <w:t>002475</w:t>
            </w:r>
          </w:p>
        </w:tc>
        <w:tc>
          <w:tcPr>
            <w:vAlign w:val="center"/>
          </w:tcPr>
          <w:p>
            <w:pPr>
              <w:jc w:val="center"/>
            </w:pPr>
            <w:r>
              <w:rPr>
                <w:color w:val="000000"/>
                <w:sz w:val="24"/>
              </w:rPr>
              <w:t>立讯精密</w:t>
            </w:r>
          </w:p>
        </w:tc>
        <w:tc>
          <w:tcPr>
            <w:vAlign w:val="center"/>
          </w:tcPr>
          <w:p>
            <w:pPr>
              <w:jc w:val="right"/>
            </w:pPr>
            <w:r>
              <w:rPr>
                <w:color w:val="000000"/>
                <w:sz w:val="24"/>
              </w:rPr>
              <w:t>258,348</w:t>
            </w:r>
          </w:p>
        </w:tc>
        <w:tc>
          <w:tcPr>
            <w:vAlign w:val="center"/>
          </w:tcPr>
          <w:p>
            <w:pPr>
              <w:jc w:val="right"/>
            </w:pPr>
            <w:r>
              <w:rPr>
                <w:color w:val="000000"/>
                <w:sz w:val="24"/>
              </w:rPr>
              <w:t>13,266,169.80</w:t>
            </w:r>
          </w:p>
        </w:tc>
        <w:tc>
          <w:tcPr>
            <w:vAlign w:val="center"/>
          </w:tcPr>
          <w:p>
            <w:pPr>
              <w:jc w:val="right"/>
            </w:pPr>
            <w:r>
              <w:rPr>
                <w:color w:val="000000"/>
                <w:sz w:val="24"/>
              </w:rPr>
              <w:t>1.19</w:t>
            </w:r>
          </w:p>
        </w:tc>
      </w:tr>
      <w:tr>
        <w:tc>
          <w:tcPr>
            <w:vAlign w:val="center"/>
          </w:tcPr>
          <w:p>
            <w:pPr>
              <w:jc w:val="center"/>
            </w:pPr>
            <w:r>
              <w:rPr>
                <w:color w:val="000000"/>
                <w:sz w:val="24"/>
              </w:rPr>
              <w:t>8</w:t>
            </w:r>
          </w:p>
        </w:tc>
        <w:tc>
          <w:tcPr>
            <w:vAlign w:val="center"/>
          </w:tcPr>
          <w:p>
            <w:pPr>
              <w:jc w:val="center"/>
            </w:pPr>
            <w:r>
              <w:rPr>
                <w:color w:val="000000"/>
                <w:sz w:val="24"/>
              </w:rPr>
              <w:t>603806</w:t>
            </w:r>
          </w:p>
        </w:tc>
        <w:tc>
          <w:tcPr>
            <w:vAlign w:val="center"/>
          </w:tcPr>
          <w:p>
            <w:pPr>
              <w:jc w:val="center"/>
            </w:pPr>
            <w:r>
              <w:rPr>
                <w:color w:val="000000"/>
                <w:sz w:val="24"/>
              </w:rPr>
              <w:t>福斯特</w:t>
            </w:r>
          </w:p>
        </w:tc>
        <w:tc>
          <w:tcPr>
            <w:vAlign w:val="center"/>
          </w:tcPr>
          <w:p>
            <w:pPr>
              <w:jc w:val="right"/>
            </w:pPr>
            <w:r>
              <w:rPr>
                <w:color w:val="000000"/>
                <w:sz w:val="24"/>
              </w:rPr>
              <w:t>253,168</w:t>
            </w:r>
          </w:p>
        </w:tc>
        <w:tc>
          <w:tcPr>
            <w:vAlign w:val="center"/>
          </w:tcPr>
          <w:p>
            <w:pPr>
              <w:jc w:val="right"/>
            </w:pPr>
            <w:r>
              <w:rPr>
                <w:color w:val="000000"/>
                <w:sz w:val="24"/>
              </w:rPr>
              <w:t>12,635,614.88</w:t>
            </w:r>
          </w:p>
        </w:tc>
        <w:tc>
          <w:tcPr>
            <w:vAlign w:val="center"/>
          </w:tcPr>
          <w:p>
            <w:pPr>
              <w:jc w:val="right"/>
            </w:pPr>
            <w:r>
              <w:rPr>
                <w:color w:val="000000"/>
                <w:sz w:val="24"/>
              </w:rPr>
              <w:t>1.13</w:t>
            </w:r>
          </w:p>
        </w:tc>
      </w:tr>
      <w:tr>
        <w:tc>
          <w:tcPr>
            <w:vAlign w:val="center"/>
          </w:tcPr>
          <w:p>
            <w:pPr>
              <w:jc w:val="center"/>
            </w:pPr>
            <w:r>
              <w:rPr>
                <w:color w:val="000000"/>
                <w:sz w:val="24"/>
              </w:rPr>
              <w:t>9</w:t>
            </w:r>
          </w:p>
        </w:tc>
        <w:tc>
          <w:tcPr>
            <w:vAlign w:val="center"/>
          </w:tcPr>
          <w:p>
            <w:pPr>
              <w:jc w:val="center"/>
            </w:pPr>
            <w:r>
              <w:rPr>
                <w:color w:val="000000"/>
                <w:sz w:val="24"/>
              </w:rPr>
              <w:t>600763</w:t>
            </w:r>
          </w:p>
        </w:tc>
        <w:tc>
          <w:tcPr>
            <w:vAlign w:val="center"/>
          </w:tcPr>
          <w:p>
            <w:pPr>
              <w:jc w:val="center"/>
            </w:pPr>
            <w:r>
              <w:rPr>
                <w:color w:val="000000"/>
                <w:sz w:val="24"/>
              </w:rPr>
              <w:t>通策医疗</w:t>
            </w:r>
          </w:p>
        </w:tc>
        <w:tc>
          <w:tcPr>
            <w:vAlign w:val="center"/>
          </w:tcPr>
          <w:p>
            <w:pPr>
              <w:jc w:val="right"/>
            </w:pPr>
            <w:r>
              <w:rPr>
                <w:color w:val="000000"/>
                <w:sz w:val="24"/>
              </w:rPr>
              <w:t>73,900</w:t>
            </w:r>
          </w:p>
        </w:tc>
        <w:tc>
          <w:tcPr>
            <w:vAlign w:val="center"/>
          </w:tcPr>
          <w:p>
            <w:pPr>
              <w:jc w:val="right"/>
            </w:pPr>
            <w:r>
              <w:rPr>
                <w:color w:val="000000"/>
                <w:sz w:val="24"/>
              </w:rPr>
              <w:t>12,324,303.00</w:t>
            </w:r>
          </w:p>
        </w:tc>
        <w:tc>
          <w:tcPr>
            <w:vAlign w:val="center"/>
          </w:tcPr>
          <w:p>
            <w:pPr>
              <w:jc w:val="right"/>
            </w:pPr>
            <w:r>
              <w:rPr>
                <w:color w:val="000000"/>
                <w:sz w:val="24"/>
              </w:rPr>
              <w:t>1.10</w:t>
            </w:r>
          </w:p>
        </w:tc>
      </w:tr>
      <w:tr>
        <w:tc>
          <w:tcPr>
            <w:vAlign w:val="center"/>
          </w:tcPr>
          <w:p>
            <w:pPr>
              <w:jc w:val="center"/>
            </w:pPr>
            <w:r>
              <w:rPr>
                <w:color w:val="000000"/>
                <w:sz w:val="24"/>
              </w:rPr>
              <w:t>10</w:t>
            </w:r>
          </w:p>
        </w:tc>
        <w:tc>
          <w:tcPr>
            <w:vAlign w:val="center"/>
          </w:tcPr>
          <w:p>
            <w:pPr>
              <w:jc w:val="center"/>
            </w:pPr>
            <w:r>
              <w:rPr>
                <w:color w:val="000000"/>
                <w:sz w:val="24"/>
              </w:rPr>
              <w:t>601688</w:t>
            </w:r>
          </w:p>
        </w:tc>
        <w:tc>
          <w:tcPr>
            <w:vAlign w:val="center"/>
          </w:tcPr>
          <w:p>
            <w:pPr>
              <w:jc w:val="center"/>
            </w:pPr>
            <w:r>
              <w:rPr>
                <w:color w:val="000000"/>
                <w:sz w:val="24"/>
              </w:rPr>
              <w:t>华泰证券</w:t>
            </w:r>
          </w:p>
        </w:tc>
        <w:tc>
          <w:tcPr>
            <w:vAlign w:val="center"/>
          </w:tcPr>
          <w:p>
            <w:pPr>
              <w:jc w:val="right"/>
            </w:pPr>
            <w:r>
              <w:rPr>
                <w:color w:val="000000"/>
                <w:sz w:val="24"/>
              </w:rPr>
              <w:t>634,500</w:t>
            </w:r>
          </w:p>
        </w:tc>
        <w:tc>
          <w:tcPr>
            <w:vAlign w:val="center"/>
          </w:tcPr>
          <w:p>
            <w:pPr>
              <w:jc w:val="right"/>
            </w:pPr>
            <w:r>
              <w:rPr>
                <w:color w:val="000000"/>
                <w:sz w:val="24"/>
              </w:rPr>
              <w:t>11,928,600.00</w:t>
            </w:r>
          </w:p>
        </w:tc>
        <w:tc>
          <w:tcPr>
            <w:vAlign w:val="center"/>
          </w:tcPr>
          <w:p>
            <w:pPr>
              <w:jc w:val="right"/>
            </w:pPr>
            <w:r>
              <w:rPr>
                <w:color w:val="000000"/>
                <w:sz w:val="24"/>
              </w:rPr>
              <w:t>1.07</w:t>
            </w:r>
          </w:p>
        </w:tc>
      </w:tr>
    </w:tbl>
    <w:p w:rsidP="00B54884" w:rsidR="006A1153" w:rsidRDefault="00F016DD" w:rsidRPr="006A1153">
      <w:pPr>
        <w:autoSpaceDE w:val="0"/>
        <w:autoSpaceDN w:val="0"/>
        <w:adjustRightInd w:val="0"/>
        <w:spacing w:before="312" w:beforeLines="100" w:line="360" w:lineRule="auto"/>
        <w:jc w:val="left"/>
        <w:rPr>
          <w:rFonts w:eastAsiaTheme="minorEastAsia"/>
          <w:b/>
          <w:color w:themeColor="text1" w:val="000000"/>
          <w:kern w:val="0"/>
          <w:sz w:val="24"/>
        </w:rPr>
      </w:pPr>
      <w:r w:rsidRPr="0078105B">
        <w:rPr>
          <w:rFonts w:ascii="宋体" w:cs="Arial" w:hAnsi="宋体"/>
          <w:b/>
          <w:color w:val="000000"/>
          <w:kern w:val="0"/>
          <w:sz w:val="24"/>
        </w:rPr>
        <w:t xml:space="preserve">5.4 </w:t>
      </w:r>
      <w:r w:rsidRPr="0078105B">
        <w:rPr>
          <w:rFonts w:ascii="宋体" w:cs="Arial" w:hAnsi="宋体" w:hint="eastAsia"/>
          <w:b/>
          <w:color w:val="000000"/>
          <w:kern w:val="0"/>
          <w:sz w:val="24"/>
        </w:rPr>
        <w:t>报告期末按债券品种分类的债券投资组合</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1" w:val="04A0"/>
      </w:tblPr>
      <w:tblGrid>
        <w:gridCol w:w="817"/>
        <w:gridCol w:w="3260"/>
        <w:gridCol w:w="2835"/>
        <w:gridCol w:w="1616"/>
      </w:tblGrid>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序号</w:t>
            </w:r>
          </w:p>
        </w:tc>
        <w:tc>
          <w:tcPr>
            <w:tcW w:type="dxa" w:w="3260"/>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债券品种</w:t>
            </w: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
            </w:r>
          </w:p>
        </w:tc>
        <w:tc>
          <w:tcPr>
            <w:tcW w:type="dxa" w:w="2835"/>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公允价值</w:t>
            </w:r>
            <w:r w:rsidRPr="006A1153">
              <w:rPr>
                <w:rFonts w:eastAsiaTheme="minorEastAsia"/>
                <w:color w:themeColor="text1" w:val="000000"/>
                <w:sz w:val="24"/>
              </w:rPr>
              <w:t>(</w:t>
            </w:r>
            <w:r w:rsidRPr="006A1153">
              <w:rPr>
                <w:rFonts w:eastAsiaTheme="minorEastAsia"/>
                <w:color w:themeColor="text1" w:val="000000"/>
                <w:sz w:val="24"/>
              </w:rPr>
              <w:t>元</w:t>
            </w:r>
            <w:r w:rsidRPr="006A1153">
              <w:rPr>
                <w:rFonts w:eastAsiaTheme="minorEastAsia"/>
                <w:color w:themeColor="text1" w:val="000000"/>
                <w:sz w:val="24"/>
              </w:rPr>
              <w:t>)</w:t>
            </w:r>
          </w:p>
        </w:tc>
        <w:tc>
          <w:tcPr>
            <w:tcW w:type="dxa" w:w="1616"/>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占基金资产净值比例</w:t>
            </w:r>
            <w:r w:rsidRPr="006A1153">
              <w:rPr>
                <w:rFonts w:eastAsiaTheme="minorEastAsia"/>
                <w:color w:themeColor="text1" w:val="000000"/>
                <w:sz w:val="24"/>
              </w:rPr>
              <w:t>(</w:t>
            </w:r>
            <w:r w:rsidRPr="006A1153">
              <w:rPr>
                <w:rFonts w:eastAsiaTheme="minorEastAsia"/>
                <w:color w:themeColor="text1" w:val="000000"/>
                <w:sz w:val="24"/>
              </w:rPr>
              <w:t>％</w:t>
            </w:r>
            <w:r w:rsidRPr="006A1153">
              <w:rPr>
                <w:rFonts w:eastAsiaTheme="minorEastAsia"/>
                <w:color w:themeColor="text1" w:val="000000"/>
                <w:sz w:val="24"/>
              </w:rPr>
              <w:t>)</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1</w:t>
            </w: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国家债券</w:t>
            </w:r>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7,931,029.20</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0.71</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2</w:t>
            </w: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央行票据</w:t>
            </w:r>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3</w:t>
            </w: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金融债券</w:t>
            </w:r>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r w:rsidRPr="006A1153">
              <w:rPr>
                <w:rFonts w:eastAsiaTheme="minorEastAsia"/>
                <w:color w:themeColor="text1" w:val="000000"/>
                <w:sz w:val="24"/>
              </w:rPr>
              <w:lastRenderedPageBreak/>
              <w:t/>
            </w:r>
            <w:proofErr w:type="spellEnd"/>
            <w:r w:rsidRPr="006A1153">
              <w:rPr>
                <w:rFonts w:eastAsiaTheme="minorEastAsia"/>
                <w:color w:themeColor="text1" w:val="000000"/>
                <w:sz w:val="24"/>
              </w:rPr>
              <w:t>89,909,000.00</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lastRenderedPageBreak/>
              <w:t/>
            </w:r>
            <w:r w:rsidRPr="006A1153">
              <w:rPr>
                <w:rFonts w:eastAsiaTheme="minorEastAsia"/>
                <w:color w:themeColor="text1" w:val="000000"/>
                <w:sz w:val="24"/>
              </w:rPr>
              <w:lastRenderedPageBreak/>
              <w:t>8.05</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其中：政策性金融债</w:t>
            </w:r>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89,909,000.00</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8.05</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4</w:t>
            </w: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企业债券</w:t>
            </w:r>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306,601,461.20</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27.46</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5</w:t>
            </w: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企业短期融资</w:t>
            </w:r>
            <w:proofErr w:type="gramStart"/>
            <w:r w:rsidRPr="006A1153">
              <w:rPr>
                <w:rFonts w:eastAsiaTheme="minorEastAsia"/>
                <w:color w:themeColor="text1" w:val="000000"/>
                <w:sz w:val="24"/>
              </w:rPr>
              <w:t>券</w:t>
            </w:r>
            <w:proofErr w:type="gramEnd"/>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99,658,000.00</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8.92</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6</w:t>
            </w: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中期票据</w:t>
            </w:r>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526,186,000.00</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r w:rsidRPr="006A1153">
              <w:rPr>
                <w:rFonts w:eastAsiaTheme="minorEastAsia"/>
                <w:color w:themeColor="text1" w:val="000000"/>
                <w:sz w:val="24"/>
              </w:rPr>
              <w:lastRenderedPageBreak/>
              <w:t>47.12</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lastRenderedPageBreak/>
              <w:t>7</w:t>
            </w: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可转债</w:t>
            </w:r>
            <w:r w:rsidR="00524368" w:rsidRPr="00524368">
              <w:rPr>
                <w:rFonts w:eastAsiaTheme="minorEastAsia" w:hint="eastAsia"/>
                <w:color w:themeColor="text1" w:val="000000"/>
                <w:sz w:val="24"/>
              </w:rPr>
              <w:t>（可交换债）</w:t>
            </w:r>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52,930,989.72</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4.74</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8</w:t>
            </w: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同业存单</w:t>
            </w:r>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9</w:t>
            </w: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其他</w:t>
            </w:r>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10</w:t>
            </w: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合计</w:t>
            </w:r>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1,083,216,480.12</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r w:rsidRPr="006A1153">
              <w:rPr>
                <w:rFonts w:eastAsiaTheme="minorEastAsia"/>
                <w:color w:themeColor="text1" w:val="000000"/>
                <w:sz w:val="24"/>
              </w:rPr>
              <w:lastRenderedPageBreak/>
              <w:t/>
            </w:r>
            <w:proofErr w:type="spellEnd"/>
            <w:r w:rsidRPr="006A1153">
              <w:rPr>
                <w:rFonts w:eastAsiaTheme="minorEastAsia"/>
                <w:color w:themeColor="text1" w:val="000000"/>
                <w:sz w:val="24"/>
              </w:rPr>
              <w:t>97.00</w:t>
            </w:r>
          </w:p>
        </w:tc>
      </w:tr>
    </w:tbl>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 xml:space="preserve">5.5 </w:t>
      </w:r>
      <w:r w:rsidRPr="0078105B">
        <w:rPr>
          <w:rFonts w:ascii="宋体" w:cs="Arial" w:hAnsi="宋体" w:hint="eastAsia"/>
          <w:b/>
          <w:color w:val="000000"/>
          <w:kern w:val="0"/>
          <w:sz w:val="24"/>
        </w:rPr>
        <w:t>报告期末按公允价值占基金资产净值比例大小排</w:t>
      </w:r>
      <w:r>
        <w:rPr>
          <w:rFonts w:ascii="宋体" w:cs="Arial" w:hAnsi="宋体" w:hint="eastAsia"/>
          <w:b/>
          <w:color w:val="000000"/>
          <w:kern w:val="0"/>
          <w:sz w:val="24"/>
        </w:rPr>
        <w:t>序</w:t>
      </w:r>
      <w:r w:rsidRPr="0078105B">
        <w:rPr>
          <w:rFonts w:ascii="宋体" w:cs="Arial" w:hAnsi="宋体" w:hint="eastAsia"/>
          <w:b/>
          <w:color w:val="000000"/>
          <w:kern w:val="0"/>
          <w:sz w:val="24"/>
        </w:rPr>
        <w:t>的前五名债券投资明细</w:t>
      </w:r>
    </w:p>
    <w:tbl>
      <w:tblPr>
        <w:tblW w:type="auto" w:w="0"/>
        <w:tblInd w:type="dxa" w:w="15"/>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802"/>
        <w:gridCol w:w="1559"/>
        <w:gridCol w:w="1985"/>
        <w:gridCol w:w="1559"/>
        <w:gridCol w:w="2126"/>
        <w:gridCol w:w="990"/>
      </w:tblGrid>
      <w:tr w:rsidR="00F016DD" w:rsidRPr="0078105B" w:rsidTr="00CA7FF7">
        <w:tc>
          <w:tcPr>
            <w:tcW w:type="dxa" w:w="802"/>
            <w:vAlign w:val="center"/>
          </w:tcPr>
          <w:p w:rsidP="00F4518C"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序号</w:t>
            </w:r>
          </w:p>
        </w:tc>
        <w:tc>
          <w:tcPr>
            <w:tcW w:type="dxa" w:w="1559"/>
            <w:vAlign w:val="center"/>
          </w:tcPr>
          <w:p w:rsidP="00F4518C"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债券代码</w:t>
            </w:r>
          </w:p>
        </w:tc>
        <w:tc>
          <w:tcPr>
            <w:tcW w:type="dxa" w:w="1985"/>
            <w:vAlign w:val="center"/>
          </w:tcPr>
          <w:p w:rsidP="00F4518C"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债券名称</w:t>
            </w:r>
          </w:p>
        </w:tc>
        <w:tc>
          <w:tcPr>
            <w:tcW w:type="dxa" w:w="1559"/>
            <w:vAlign w:val="center"/>
          </w:tcPr>
          <w:p w:rsidP="00F4518C"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数量（张）</w:t>
            </w:r>
          </w:p>
        </w:tc>
        <w:tc>
          <w:tcPr>
            <w:tcW w:type="dxa" w:w="2126"/>
            <w:vAlign w:val="center"/>
          </w:tcPr>
          <w:p w:rsidP="00F4518C"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公允价值</w:t>
            </w:r>
            <w:r w:rsidRPr="00FA472B">
              <w:rPr>
                <w:color w:val="000000"/>
                <w:kern w:val="0"/>
                <w:sz w:val="24"/>
              </w:rPr>
              <w:t>(</w:t>
            </w:r>
            <w:r w:rsidRPr="00FA472B">
              <w:rPr>
                <w:color w:val="000000"/>
                <w:kern w:val="0"/>
                <w:sz w:val="24"/>
              </w:rPr>
              <w:t>元</w:t>
            </w:r>
            <w:r w:rsidRPr="00FA472B">
              <w:rPr>
                <w:color w:val="000000"/>
                <w:kern w:val="0"/>
                <w:sz w:val="24"/>
              </w:rPr>
              <w:t>)</w:t>
            </w:r>
          </w:p>
        </w:tc>
        <w:tc>
          <w:tcPr>
            <w:tcW w:type="dxa" w:w="990"/>
            <w:vAlign w:val="center"/>
          </w:tcPr>
          <w:p w:rsidP="00F4518C"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占基金资产净值比例（％）</w:t>
            </w:r>
          </w:p>
        </w:tc>
      </w:tr>
      <w:tr>
        <w:tc>
          <w:tcPr>
            <w:vAlign w:val="center"/>
          </w:tcPr>
          <w:p>
            <w:pPr>
              <w:jc w:val="center"/>
            </w:pPr>
            <w:r>
              <w:rPr>
                <w:color w:val="000000"/>
                <w:sz w:val="24"/>
              </w:rPr>
              <w:t>1</w:t>
            </w:r>
          </w:p>
        </w:tc>
        <w:tc>
          <w:tcPr>
            <w:vAlign w:val="center"/>
          </w:tcPr>
          <w:p>
            <w:pPr>
              <w:jc w:val="center"/>
            </w:pPr>
            <w:r>
              <w:rPr>
                <w:color w:val="000000"/>
                <w:sz w:val="24"/>
              </w:rPr>
              <w:t>1282414</w:t>
            </w:r>
          </w:p>
        </w:tc>
        <w:tc>
          <w:tcPr>
            <w:vAlign w:val="center"/>
          </w:tcPr>
          <w:p>
            <w:pPr>
              <w:jc w:val="center"/>
            </w:pPr>
            <w:r>
              <w:rPr>
                <w:color w:val="000000"/>
                <w:sz w:val="24"/>
              </w:rPr>
              <w:t>12国开投MTN2</w:t>
            </w:r>
          </w:p>
        </w:tc>
        <w:tc>
          <w:tcPr>
            <w:vAlign w:val="center"/>
          </w:tcPr>
          <w:p>
            <w:pPr>
              <w:jc w:val="right"/>
            </w:pPr>
            <w:r>
              <w:rPr>
                <w:color w:val="000000"/>
                <w:sz w:val="24"/>
              </w:rPr>
              <w:t>500,000</w:t>
            </w:r>
          </w:p>
        </w:tc>
        <w:tc>
          <w:tcPr>
            <w:vAlign w:val="center"/>
          </w:tcPr>
          <w:p>
            <w:pPr>
              <w:jc w:val="right"/>
            </w:pPr>
            <w:r>
              <w:rPr>
                <w:color w:val="000000"/>
                <w:sz w:val="24"/>
              </w:rPr>
              <w:t>52,670,000.00</w:t>
            </w:r>
          </w:p>
        </w:tc>
        <w:tc>
          <w:tcPr>
            <w:vAlign w:val="center"/>
          </w:tcPr>
          <w:p>
            <w:pPr>
              <w:jc w:val="right"/>
            </w:pPr>
            <w:r>
              <w:rPr>
                <w:color w:val="000000"/>
                <w:sz w:val="24"/>
              </w:rPr>
              <w:t>4.72</w:t>
            </w:r>
          </w:p>
        </w:tc>
      </w:tr>
      <w:tr>
        <w:tc>
          <w:tcPr>
            <w:vAlign w:val="center"/>
          </w:tcPr>
          <w:p>
            <w:pPr>
              <w:jc w:val="center"/>
            </w:pPr>
            <w:r>
              <w:rPr>
                <w:color w:val="000000"/>
                <w:sz w:val="24"/>
              </w:rPr>
              <w:t>2</w:t>
            </w:r>
          </w:p>
        </w:tc>
        <w:tc>
          <w:tcPr>
            <w:vAlign w:val="center"/>
          </w:tcPr>
          <w:p>
            <w:pPr>
              <w:jc w:val="center"/>
            </w:pPr>
            <w:r>
              <w:rPr>
                <w:color w:val="000000"/>
                <w:sz w:val="24"/>
              </w:rPr>
              <w:t>160206</w:t>
            </w:r>
          </w:p>
        </w:tc>
        <w:tc>
          <w:tcPr>
            <w:vAlign w:val="center"/>
          </w:tcPr>
          <w:p>
            <w:pPr>
              <w:jc w:val="center"/>
            </w:pPr>
            <w:r>
              <w:rPr>
                <w:color w:val="000000"/>
                <w:sz w:val="24"/>
              </w:rPr>
              <w:t>16国开06</w:t>
            </w:r>
          </w:p>
        </w:tc>
        <w:tc>
          <w:tcPr>
            <w:vAlign w:val="center"/>
          </w:tcPr>
          <w:p>
            <w:pPr>
              <w:jc w:val="right"/>
            </w:pPr>
            <w:r>
              <w:rPr>
                <w:color w:val="000000"/>
                <w:sz w:val="24"/>
              </w:rPr>
              <w:t>500,000</w:t>
            </w:r>
          </w:p>
        </w:tc>
        <w:tc>
          <w:tcPr>
            <w:vAlign w:val="center"/>
          </w:tcPr>
          <w:p>
            <w:pPr>
              <w:jc w:val="right"/>
            </w:pPr>
            <w:r>
              <w:rPr>
                <w:color w:val="000000"/>
                <w:sz w:val="24"/>
              </w:rPr>
              <w:t>50,245,000.00</w:t>
            </w:r>
          </w:p>
        </w:tc>
        <w:tc>
          <w:tcPr>
            <w:vAlign w:val="center"/>
          </w:tcPr>
          <w:p>
            <w:pPr>
              <w:jc w:val="right"/>
            </w:pPr>
            <w:r>
              <w:rPr>
                <w:color w:val="000000"/>
                <w:sz w:val="24"/>
              </w:rPr>
              <w:t>4.50</w:t>
            </w:r>
          </w:p>
        </w:tc>
      </w:tr>
      <w:tr>
        <w:tc>
          <w:tcPr>
            <w:vAlign w:val="center"/>
          </w:tcPr>
          <w:p>
            <w:pPr>
              <w:jc w:val="center"/>
            </w:pPr>
            <w:r>
              <w:rPr>
                <w:color w:val="000000"/>
                <w:sz w:val="24"/>
              </w:rPr>
              <w:t>3</w:t>
            </w:r>
          </w:p>
        </w:tc>
        <w:tc>
          <w:tcPr>
            <w:vAlign w:val="center"/>
          </w:tcPr>
          <w:p>
            <w:pPr>
              <w:jc w:val="center"/>
            </w:pPr>
            <w:r>
              <w:rPr>
                <w:color w:val="000000"/>
                <w:sz w:val="24"/>
              </w:rPr>
              <w:t>012001802</w:t>
            </w:r>
          </w:p>
        </w:tc>
        <w:tc>
          <w:tcPr>
            <w:vAlign w:val="center"/>
          </w:tcPr>
          <w:p>
            <w:pPr>
              <w:jc w:val="center"/>
            </w:pPr>
            <w:r>
              <w:rPr>
                <w:color w:val="000000"/>
                <w:sz w:val="24"/>
              </w:rPr>
              <w:t>20冀东水泥SCP003</w:t>
            </w:r>
          </w:p>
        </w:tc>
        <w:tc>
          <w:tcPr>
            <w:vAlign w:val="center"/>
          </w:tcPr>
          <w:p>
            <w:pPr>
              <w:jc w:val="right"/>
            </w:pPr>
            <w:r>
              <w:rPr>
                <w:color w:val="000000"/>
                <w:sz w:val="24"/>
              </w:rPr>
              <w:t>500,000</w:t>
            </w:r>
          </w:p>
        </w:tc>
        <w:tc>
          <w:tcPr>
            <w:vAlign w:val="center"/>
          </w:tcPr>
          <w:p>
            <w:pPr>
              <w:jc w:val="right"/>
            </w:pPr>
            <w:r>
              <w:rPr>
                <w:color w:val="000000"/>
                <w:sz w:val="24"/>
              </w:rPr>
              <w:t>49,725,000.00</w:t>
            </w:r>
          </w:p>
        </w:tc>
        <w:tc>
          <w:tcPr>
            <w:vAlign w:val="center"/>
          </w:tcPr>
          <w:p>
            <w:pPr>
              <w:jc w:val="right"/>
            </w:pPr>
            <w:r>
              <w:rPr>
                <w:color w:val="000000"/>
                <w:sz w:val="24"/>
              </w:rPr>
              <w:t>4.45</w:t>
            </w:r>
          </w:p>
        </w:tc>
      </w:tr>
      <w:tr>
        <w:tc>
          <w:tcPr>
            <w:vAlign w:val="center"/>
          </w:tcPr>
          <w:p>
            <w:pPr>
              <w:jc w:val="center"/>
            </w:pPr>
            <w:r>
              <w:rPr>
                <w:color w:val="000000"/>
                <w:sz w:val="24"/>
              </w:rPr>
              <w:t>4</w:t>
            </w:r>
          </w:p>
        </w:tc>
        <w:tc>
          <w:tcPr>
            <w:vAlign w:val="center"/>
          </w:tcPr>
          <w:p>
            <w:pPr>
              <w:jc w:val="center"/>
            </w:pPr>
            <w:r>
              <w:rPr>
                <w:color w:val="000000"/>
                <w:sz w:val="24"/>
              </w:rPr>
              <w:t>042000172</w:t>
            </w:r>
          </w:p>
        </w:tc>
        <w:tc>
          <w:tcPr>
            <w:vAlign w:val="center"/>
          </w:tcPr>
          <w:p>
            <w:pPr>
              <w:jc w:val="center"/>
            </w:pPr>
            <w:r>
              <w:rPr>
                <w:color w:val="000000"/>
                <w:sz w:val="24"/>
              </w:rPr>
              <w:t>20邯郸交建CP002</w:t>
            </w:r>
          </w:p>
        </w:tc>
        <w:tc>
          <w:tcPr>
            <w:vAlign w:val="center"/>
          </w:tcPr>
          <w:p>
            <w:pPr>
              <w:jc w:val="right"/>
            </w:pPr>
            <w:r>
              <w:rPr>
                <w:color w:val="000000"/>
                <w:sz w:val="24"/>
              </w:rPr>
              <w:t>400,000</w:t>
            </w:r>
          </w:p>
        </w:tc>
        <w:tc>
          <w:tcPr>
            <w:vAlign w:val="center"/>
          </w:tcPr>
          <w:p>
            <w:pPr>
              <w:jc w:val="right"/>
            </w:pPr>
            <w:r>
              <w:rPr>
                <w:color w:val="000000"/>
                <w:sz w:val="24"/>
              </w:rPr>
              <w:t>39,940,000.00</w:t>
            </w:r>
          </w:p>
        </w:tc>
        <w:tc>
          <w:tcPr>
            <w:vAlign w:val="center"/>
          </w:tcPr>
          <w:p>
            <w:pPr>
              <w:jc w:val="right"/>
            </w:pPr>
            <w:r>
              <w:rPr>
                <w:color w:val="000000"/>
                <w:sz w:val="24"/>
              </w:rPr>
              <w:t>3.58</w:t>
            </w:r>
          </w:p>
        </w:tc>
      </w:tr>
      <w:tr>
        <w:tc>
          <w:tcPr>
            <w:vAlign w:val="center"/>
          </w:tcPr>
          <w:p>
            <w:pPr>
              <w:jc w:val="center"/>
            </w:pPr>
            <w:r>
              <w:rPr>
                <w:color w:val="000000"/>
                <w:sz w:val="24"/>
              </w:rPr>
              <w:t>5</w:t>
            </w:r>
          </w:p>
        </w:tc>
        <w:tc>
          <w:tcPr>
            <w:vAlign w:val="center"/>
          </w:tcPr>
          <w:p>
            <w:pPr>
              <w:jc w:val="center"/>
            </w:pPr>
            <w:r>
              <w:rPr>
                <w:color w:val="000000"/>
                <w:sz w:val="24"/>
              </w:rPr>
              <w:t>200206</w:t>
            </w:r>
          </w:p>
        </w:tc>
        <w:tc>
          <w:tcPr>
            <w:vAlign w:val="center"/>
          </w:tcPr>
          <w:p>
            <w:pPr>
              <w:jc w:val="center"/>
            </w:pPr>
            <w:r>
              <w:rPr>
                <w:color w:val="000000"/>
                <w:sz w:val="24"/>
              </w:rPr>
              <w:t>20国开06</w:t>
            </w:r>
          </w:p>
        </w:tc>
        <w:tc>
          <w:tcPr>
            <w:vAlign w:val="center"/>
          </w:tcPr>
          <w:p>
            <w:pPr>
              <w:jc w:val="right"/>
            </w:pPr>
            <w:r>
              <w:rPr>
                <w:color w:val="000000"/>
                <w:sz w:val="24"/>
              </w:rPr>
              <w:t>400,000</w:t>
            </w:r>
          </w:p>
        </w:tc>
        <w:tc>
          <w:tcPr>
            <w:vAlign w:val="center"/>
          </w:tcPr>
          <w:p>
            <w:pPr>
              <w:jc w:val="right"/>
            </w:pPr>
            <w:r>
              <w:rPr>
                <w:color w:val="000000"/>
                <w:sz w:val="24"/>
              </w:rPr>
              <w:t>39,664,000.00</w:t>
            </w:r>
          </w:p>
        </w:tc>
        <w:tc>
          <w:tcPr>
            <w:vAlign w:val="center"/>
          </w:tcPr>
          <w:p>
            <w:pPr>
              <w:jc w:val="right"/>
            </w:pPr>
            <w:r>
              <w:rPr>
                <w:color w:val="000000"/>
                <w:sz w:val="24"/>
              </w:rPr>
              <w:t>3.55</w:t>
            </w:r>
          </w:p>
        </w:tc>
      </w:tr>
    </w:tbl>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5.6</w:t>
      </w:r>
      <w:r w:rsidRPr="0078105B">
        <w:rPr>
          <w:rFonts w:ascii="宋体" w:cs="Arial" w:hAnsi="宋体" w:hint="eastAsia"/>
          <w:b/>
          <w:color w:val="000000"/>
          <w:kern w:val="0"/>
          <w:sz w:val="24"/>
        </w:rPr>
        <w:t xml:space="preserve">　报告期末按公允价值占基金资产净值比例大小排</w:t>
      </w:r>
      <w:r>
        <w:rPr>
          <w:rFonts w:ascii="宋体" w:cs="Arial" w:hAnsi="宋体" w:hint="eastAsia"/>
          <w:b/>
          <w:color w:val="000000"/>
          <w:kern w:val="0"/>
          <w:sz w:val="24"/>
        </w:rPr>
        <w:t>序</w:t>
      </w:r>
      <w:r w:rsidRPr="0078105B">
        <w:rPr>
          <w:rFonts w:ascii="宋体" w:cs="Arial" w:hAnsi="宋体" w:hint="eastAsia"/>
          <w:b/>
          <w:color w:val="000000"/>
          <w:kern w:val="0"/>
          <w:sz w:val="24"/>
        </w:rPr>
        <w:t>的前十名资产支持证券投资明细</w:t>
      </w:r>
    </w:p>
    <w:tbl>
      <w:tblPr>
        <w:tblW w:type="auto" w:w="0"/>
        <w:tblInd w:type="dxa" w:w="15"/>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ook w:firstColumn="1" w:firstRow="1" w:lastColumn="0" w:lastRow="0" w:noHBand="0" w:noVBand="0" w:val="00A0"/>
      </w:tblPr>
      <w:tblGrid>
        <w:gridCol w:w="1221"/>
        <w:gridCol w:w="1316"/>
        <w:gridCol w:w="1272"/>
        <w:gridCol w:w="1732"/>
        <w:gridCol w:w="1652"/>
        <w:gridCol w:w="1828"/>
      </w:tblGrid>
      <w:tr w:rsidR="00F016DD" w:rsidRPr="0078105B" w:rsidTr="00174038">
        <w:tc>
          <w:tcPr>
            <w:tcW w:type="dxa" w:w="1187"/>
            <w:vAlign w:val="center"/>
          </w:tcPr>
          <w:p w:rsidP="00F4518C"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序号</w:t>
            </w:r>
          </w:p>
        </w:tc>
        <w:tc>
          <w:tcPr>
            <w:tcW w:type="dxa" w:w="1329"/>
            <w:vAlign w:val="center"/>
          </w:tcPr>
          <w:p w:rsidP="00F4518C"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证券代码</w:t>
            </w:r>
          </w:p>
        </w:tc>
        <w:tc>
          <w:tcPr>
            <w:tcW w:type="dxa" w:w="1263"/>
            <w:vAlign w:val="center"/>
          </w:tcPr>
          <w:p w:rsidP="00F4518C"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证券名称</w:t>
            </w:r>
          </w:p>
        </w:tc>
        <w:tc>
          <w:tcPr>
            <w:tcW w:type="dxa" w:w="1815"/>
            <w:vAlign w:val="center"/>
          </w:tcPr>
          <w:p w:rsidP="00F4518C"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数量</w:t>
            </w:r>
            <w:r w:rsidRPr="00FA472B">
              <w:rPr>
                <w:color w:val="000000"/>
                <w:kern w:val="0"/>
                <w:sz w:val="24"/>
              </w:rPr>
              <w:t>(</w:t>
            </w:r>
            <w:r w:rsidRPr="00FA472B">
              <w:rPr>
                <w:color w:val="000000"/>
                <w:kern w:val="0"/>
                <w:sz w:val="24"/>
              </w:rPr>
              <w:t>份</w:t>
            </w:r>
            <w:r w:rsidRPr="00FA472B">
              <w:rPr>
                <w:color w:val="000000"/>
                <w:kern w:val="0"/>
                <w:sz w:val="24"/>
              </w:rPr>
              <w:t>)</w:t>
            </w:r>
          </w:p>
        </w:tc>
        <w:tc>
          <w:tcPr>
            <w:tcW w:type="dxa" w:w="1698"/>
            <w:vAlign w:val="center"/>
          </w:tcPr>
          <w:p w:rsidP="00F4518C"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公允价值</w:t>
            </w:r>
            <w:r w:rsidRPr="00FA472B">
              <w:rPr>
                <w:color w:val="000000"/>
                <w:kern w:val="0"/>
                <w:sz w:val="24"/>
              </w:rPr>
              <w:t>(</w:t>
            </w:r>
            <w:r w:rsidRPr="00FA472B">
              <w:rPr>
                <w:color w:val="000000"/>
                <w:kern w:val="0"/>
                <w:sz w:val="24"/>
              </w:rPr>
              <w:t>元</w:t>
            </w:r>
            <w:r w:rsidRPr="00FA472B">
              <w:rPr>
                <w:color w:val="000000"/>
                <w:kern w:val="0"/>
                <w:sz w:val="24"/>
              </w:rPr>
              <w:t>)</w:t>
            </w:r>
          </w:p>
        </w:tc>
        <w:tc>
          <w:tcPr>
            <w:tcW w:type="dxa" w:w="1729"/>
            <w:vAlign w:val="center"/>
          </w:tcPr>
          <w:p w:rsidP="00F4518C"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占基金资产净值比例（</w:t>
            </w:r>
            <w:r w:rsidRPr="00FA472B">
              <w:rPr>
                <w:color w:val="000000"/>
                <w:kern w:val="0"/>
                <w:sz w:val="24"/>
              </w:rPr>
              <w:t>%</w:t>
            </w:r>
            <w:r w:rsidRPr="00FA472B">
              <w:rPr>
                <w:color w:val="000000"/>
                <w:kern w:val="0"/>
                <w:sz w:val="24"/>
              </w:rPr>
              <w:t>）</w:t>
            </w:r>
          </w:p>
        </w:tc>
      </w:tr>
      <w:tr>
        <w:tc>
          <w:tcPr>
            <w:vAlign w:val="center"/>
          </w:tcPr>
          <w:p>
            <w:pPr>
              <w:jc w:val="center"/>
            </w:pPr>
            <w:r>
              <w:rPr>
                <w:color w:val="000000"/>
                <w:sz w:val="24"/>
              </w:rPr>
              <w:t>1</w:t>
            </w:r>
          </w:p>
        </w:tc>
        <w:tc>
          <w:tcPr>
            <w:vAlign w:val="center"/>
          </w:tcPr>
          <w:p>
            <w:pPr>
              <w:jc w:val="center"/>
            </w:pPr>
            <w:r>
              <w:rPr>
                <w:color w:val="000000"/>
                <w:sz w:val="24"/>
              </w:rPr>
              <w:t>168589</w:t>
            </w:r>
          </w:p>
        </w:tc>
        <w:tc>
          <w:tcPr>
            <w:vAlign w:val="center"/>
          </w:tcPr>
          <w:p>
            <w:pPr>
              <w:jc w:val="center"/>
            </w:pPr>
            <w:r>
              <w:rPr>
                <w:color w:val="000000"/>
                <w:sz w:val="24"/>
              </w:rPr>
              <w:t>天信7A</w:t>
            </w:r>
          </w:p>
        </w:tc>
        <w:tc>
          <w:tcPr>
            <w:vAlign w:val="center"/>
          </w:tcPr>
          <w:p>
            <w:pPr>
              <w:jc w:val="right"/>
            </w:pPr>
            <w:r>
              <w:rPr>
                <w:color w:val="000000"/>
                <w:sz w:val="24"/>
              </w:rPr>
              <w:t>100,000</w:t>
            </w:r>
          </w:p>
        </w:tc>
        <w:tc>
          <w:tcPr>
            <w:vAlign w:val="center"/>
          </w:tcPr>
          <w:p>
            <w:pPr>
              <w:jc w:val="right"/>
            </w:pPr>
            <w:r>
              <w:rPr>
                <w:color w:val="000000"/>
                <w:sz w:val="24"/>
              </w:rPr>
              <w:t>10,000,000.00</w:t>
            </w:r>
          </w:p>
        </w:tc>
        <w:tc>
          <w:tcPr>
            <w:vAlign w:val="center"/>
          </w:tcPr>
          <w:p>
            <w:pPr>
              <w:jc w:val="right"/>
            </w:pPr>
            <w:r>
              <w:rPr>
                <w:color w:val="000000"/>
                <w:sz w:val="24"/>
              </w:rPr>
              <w:t>0.90</w:t>
            </w:r>
          </w:p>
        </w:tc>
      </w:tr>
      <w:tr>
        <w:tc>
          <w:tcPr>
            <w:vAlign w:val="center"/>
          </w:tcPr>
          <w:p>
            <w:pPr>
              <w:jc w:val="center"/>
            </w:pPr>
            <w:r>
              <w:rPr>
                <w:color w:val="000000"/>
                <w:sz w:val="24"/>
              </w:rPr>
              <w:t>1</w:t>
            </w:r>
          </w:p>
        </w:tc>
        <w:tc>
          <w:tcPr>
            <w:vAlign w:val="center"/>
          </w:tcPr>
          <w:p>
            <w:pPr>
              <w:jc w:val="center"/>
            </w:pPr>
            <w:r>
              <w:rPr>
                <w:color w:val="000000"/>
                <w:sz w:val="24"/>
              </w:rPr>
              <w:t>168733</w:t>
            </w:r>
          </w:p>
        </w:tc>
        <w:tc>
          <w:tcPr>
            <w:vAlign w:val="center"/>
          </w:tcPr>
          <w:p>
            <w:pPr>
              <w:jc w:val="center"/>
            </w:pPr>
            <w:r>
              <w:rPr>
                <w:color w:val="000000"/>
                <w:sz w:val="24"/>
              </w:rPr>
              <w:t>申程01优</w:t>
            </w:r>
          </w:p>
        </w:tc>
        <w:tc>
          <w:tcPr>
            <w:vAlign w:val="center"/>
          </w:tcPr>
          <w:p>
            <w:pPr>
              <w:jc w:val="right"/>
            </w:pPr>
            <w:r>
              <w:rPr>
                <w:color w:val="000000"/>
                <w:sz w:val="24"/>
              </w:rPr>
              <w:t>100,000</w:t>
            </w:r>
          </w:p>
        </w:tc>
        <w:tc>
          <w:tcPr>
            <w:vAlign w:val="center"/>
          </w:tcPr>
          <w:p>
            <w:pPr>
              <w:jc w:val="right"/>
            </w:pPr>
            <w:r>
              <w:rPr>
                <w:color w:val="000000"/>
                <w:sz w:val="24"/>
              </w:rPr>
              <w:t>10,000,000.00</w:t>
            </w:r>
          </w:p>
        </w:tc>
        <w:tc>
          <w:tcPr>
            <w:vAlign w:val="center"/>
          </w:tcPr>
          <w:p>
            <w:pPr>
              <w:jc w:val="right"/>
            </w:pPr>
            <w:r>
              <w:rPr>
                <w:color w:val="000000"/>
                <w:sz w:val="24"/>
              </w:rPr>
              <w:t>0.90</w:t>
            </w:r>
          </w:p>
        </w:tc>
      </w:tr>
    </w:tbl>
    <w:p w:rsidP="006D462B" w:rsidR="00F016DD" w:rsidRDefault="00F016DD" w:rsidRPr="001D63BB">
      <w:pPr>
        <w:autoSpaceDE w:val="0"/>
        <w:autoSpaceDN w:val="0"/>
        <w:adjustRightInd w:val="0"/>
        <w:spacing w:line="360" w:lineRule="auto"/>
        <w:jc w:val="left"/>
        <w:rPr>
          <w:rFonts w:ascii="宋体"/>
          <w:b/>
          <w:bCs/>
          <w:color w:val="000000"/>
          <w:kern w:val="0"/>
          <w:sz w:val="24"/>
        </w:rPr>
      </w:pPr>
      <w:r w:rsidRPr="001B0A62">
        <w:rPr>
          <w:rFonts w:ascii="宋体"/>
          <w:b/>
          <w:bCs/>
          <w:color w:val="000000"/>
          <w:kern w:val="0"/>
          <w:sz w:val="24"/>
        </w:rPr>
        <w:t/>
      </w:r>
      <w:r w:rsidRPr="001B0A62">
        <w:rPr>
          <w:rFonts w:ascii="宋体" w:hAnsi="宋体"/>
          <w:b/>
          <w:bCs/>
          <w:color w:val="000000"/>
          <w:kern w:val="0"/>
          <w:sz w:val="24"/>
        </w:rPr>
        <w:t>5</w:t>
      </w:r>
      <w:proofErr w:type="gramStart"/>
      <w:r w:rsidRPr="001B0A62">
        <w:rPr>
          <w:rFonts w:ascii="宋体" w:hAnsi="宋体"/>
          <w:b/>
          <w:bCs/>
          <w:color w:val="000000"/>
          <w:kern w:val="0"/>
          <w:sz w:val="24"/>
        </w:rPr>
        <w:t>.</w:t>
      </w:r>
      <w:proofErr w:type="gramEnd"/>
      <w:r w:rsidRPr="001B0A62">
        <w:rPr>
          <w:rFonts w:ascii="宋体" w:hAnsi="宋体"/>
          <w:b/>
          <w:bCs/>
          <w:color w:val="000000"/>
          <w:kern w:val="0"/>
          <w:sz w:val="24"/>
        </w:rPr>
        <w:t/>
      </w:r>
      <w:r>
        <w:rPr>
          <w:rFonts w:ascii="宋体" w:hAnsi="宋体"/>
          <w:b/>
          <w:bCs/>
          <w:color w:val="000000"/>
          <w:kern w:val="0"/>
          <w:sz w:val="24"/>
        </w:rPr>
        <w:t/>
      </w:r>
      <w:r w:rsidRPr="001B0A62">
        <w:rPr>
          <w:rFonts w:ascii="宋体"/>
          <w:b/>
          <w:bCs/>
          <w:color w:val="000000"/>
          <w:kern w:val="0"/>
          <w:sz w:val="24"/>
        </w:rPr>
        <w:t>7</w:t>
      </w:r>
      <w:r w:rsidRPr="001D63BB">
        <w:rPr>
          <w:rFonts w:ascii="宋体" w:hAnsi="宋体" w:hint="eastAsia"/>
          <w:b/>
          <w:bCs/>
          <w:color w:val="000000"/>
          <w:kern w:val="0"/>
          <w:sz w:val="24"/>
        </w:rPr>
        <w:t>报告期末按公允价值占基金资产净值比例大小排序的前五名贵金属投资明细</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r w:rsidRPr="00DF18FE">
        <w:rPr>
          <w:color w:val="000000"/>
          <w:sz w:val="24"/>
        </w:rPr>
        <w:t/>
      </w:r>
      <w:proofErr w:type="spellEnd"/>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本基金本报告期末未持有贵金属。</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Pr>
          <w:rFonts w:ascii="宋体" w:cs="Arial"/>
          <w:b/>
          <w:color w:val="000000"/>
          <w:kern w:val="0"/>
          <w:sz w:val="24"/>
        </w:rPr>
        <w:t/>
      </w:r>
      <w:proofErr w:type="gramStart"/>
      <w:r>
        <w:rPr>
          <w:rFonts w:ascii="宋体" w:cs="Arial" w:hAnsi="宋体"/>
          <w:b/>
          <w:color w:val="000000"/>
          <w:kern w:val="0"/>
          <w:sz w:val="24"/>
        </w:rPr>
        <w:t/>
      </w:r>
      <w:proofErr w:type="gramEnd"/>
      <w:r>
        <w:rPr>
          <w:rFonts w:ascii="宋体" w:cs="Arial" w:hAnsi="宋体"/>
          <w:b/>
          <w:color w:val="000000"/>
          <w:kern w:val="0"/>
          <w:sz w:val="24"/>
        </w:rPr>
        <w:t>5</w:t>
      </w:r>
      <w:r w:rsidRPr="0078105B">
        <w:rPr>
          <w:rFonts w:ascii="宋体" w:cs="Arial"/>
          <w:b/>
          <w:color w:val="000000"/>
          <w:kern w:val="0"/>
          <w:sz w:val="24"/>
        </w:rPr>
        <w:t>.</w:t>
      </w:r>
      <w:r>
        <w:rPr>
          <w:rFonts w:ascii="宋体" w:cs="Arial"/>
          <w:b/>
          <w:color w:val="000000"/>
          <w:kern w:val="0"/>
          <w:sz w:val="24"/>
        </w:rPr>
        <w:t/>
      </w:r>
      <w:r>
        <w:rPr>
          <w:rFonts w:ascii="宋体" w:cs="Arial" w:hAnsi="宋体"/>
          <w:b/>
          <w:color w:val="000000"/>
          <w:kern w:val="0"/>
          <w:sz w:val="24"/>
        </w:rPr>
        <w:t>8</w:t>
      </w:r>
      <w:r w:rsidRPr="0078105B">
        <w:rPr>
          <w:rFonts w:ascii="宋体" w:cs="Arial" w:hAnsi="宋体" w:hint="eastAsia"/>
          <w:b/>
          <w:color w:val="000000"/>
          <w:kern w:val="0"/>
          <w:sz w:val="24"/>
        </w:rPr>
        <w:t>报告期末按公允价值占基金资产净值比例大小排</w:t>
      </w:r>
      <w:r>
        <w:rPr>
          <w:rFonts w:ascii="宋体" w:cs="Arial" w:hAnsi="宋体" w:hint="eastAsia"/>
          <w:b/>
          <w:color w:val="000000"/>
          <w:kern w:val="0"/>
          <w:sz w:val="24"/>
        </w:rPr>
        <w:t>序</w:t>
      </w:r>
      <w:r w:rsidRPr="0078105B">
        <w:rPr>
          <w:rFonts w:ascii="宋体" w:cs="Arial" w:hAnsi="宋体" w:hint="eastAsia"/>
          <w:b/>
          <w:color w:val="000000"/>
          <w:kern w:val="0"/>
          <w:sz w:val="24"/>
        </w:rPr>
        <w:t>的前五名权证投资明细</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r w:rsidRPr="00DF18FE">
        <w:rPr>
          <w:color w:val="000000"/>
          <w:sz w:val="24"/>
        </w:rPr>
        <w:t/>
      </w:r>
      <w:proofErr w:type="spellEnd"/>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本基金本报告期末未持有权证。</w:t>
      </w:r>
    </w:p>
    <w:p w:rsidP="001D5CD0" w:rsidR="00F016DD" w:rsidRDefault="00F016DD" w:rsidRPr="00E85E29">
      <w:pPr>
        <w:adjustRightInd w:val="0"/>
        <w:snapToGrid w:val="0"/>
        <w:spacing w:line="360" w:lineRule="auto"/>
        <w:rPr>
          <w:rFonts w:ascii="宋体"/>
          <w:b/>
          <w:sz w:val="24"/>
        </w:rPr>
      </w:pPr>
      <w:r w:rsidRPr="00E85E29">
        <w:rPr>
          <w:rFonts w:ascii="宋体"/>
          <w:b/>
          <w:sz w:val="24"/>
        </w:rPr>
        <w:t/>
      </w:r>
      <w:proofErr w:type="spellStart"/>
      <w:r w:rsidRPr="00E85E29">
        <w:rPr>
          <w:rFonts w:ascii="宋体" w:hAnsi="宋体"/>
          <w:b/>
          <w:sz w:val="24"/>
        </w:rPr>
        <w:t/>
      </w:r>
      <w:proofErr w:type="spellEnd"/>
      <w:r>
        <w:rPr>
          <w:rFonts w:ascii="宋体"/>
          <w:b/>
          <w:sz w:val="24"/>
        </w:rPr>
        <w:t/>
      </w:r>
      <w:proofErr w:type="gramStart"/>
      <w:r>
        <w:rPr>
          <w:rFonts w:ascii="宋体" w:hAnsi="宋体"/>
          <w:b/>
          <w:sz w:val="24"/>
        </w:rPr>
        <w:t/>
      </w:r>
      <w:proofErr w:type="gramEnd"/>
      <w:r>
        <w:rPr>
          <w:rFonts w:ascii="宋体" w:hAnsi="宋体"/>
          <w:b/>
          <w:sz w:val="24"/>
        </w:rPr>
        <w:t>5.</w:t>
      </w:r>
      <w:r w:rsidRPr="00E85E29">
        <w:rPr>
          <w:rFonts w:ascii="宋体"/>
          <w:b/>
          <w:sz w:val="24"/>
        </w:rPr>
        <w:t>9</w:t>
      </w:r>
      <w:r w:rsidRPr="00E85E29">
        <w:rPr>
          <w:rFonts w:ascii="宋体" w:hAnsi="宋体" w:hint="eastAsia"/>
          <w:b/>
          <w:sz w:val="24"/>
        </w:rPr>
        <w:t>报告期末本基金投资的股指期货交易情况说明</w:t>
      </w:r>
    </w:p>
    <w:p w:rsidP="001F60E9" w:rsidR="001F60E9" w:rsidRDefault="001F60E9">
      <w:pPr>
        <w:spacing w:line="360" w:lineRule="auto"/>
        <w:ind w:firstLine="480" w:firstLineChars="200"/>
        <w:rPr>
          <w:rFonts w:eastAsiaTheme="minorEastAsia"/>
          <w:color w:themeColor="text1" w:val="000000"/>
          <w:sz w:val="24"/>
        </w:rPr>
      </w:pPr>
      <w:r>
        <w:rPr>
          <w:color w:val="000000"/>
          <w:sz w:val="24"/>
        </w:rPr>
        <w:t/>
      </w:r>
      <w:proofErr w:type="spellStart"/>
      <w:r>
        <w:rPr>
          <w:color w:val="000000"/>
          <w:sz w:val="24"/>
        </w:rPr>
        <w:t/>
      </w:r>
      <w:proofErr w:type="spellEnd"/>
      <w:r>
        <w:rPr>
          <w:color w:val="000000"/>
          <w:sz w:val="24"/>
        </w:rPr>
        <w:t/>
      </w:r>
      <w:proofErr w:type="spellStart"/>
      <w:proofErr w:type="gramStart"/>
      <w:r>
        <w:rPr>
          <w:color w:val="000000"/>
          <w:sz w:val="24"/>
        </w:rPr>
        <w:t/>
      </w:r>
      <w:r>
        <w:rPr>
          <w:rFonts w:eastAsiaTheme="minorEastAsia"/>
          <w:color w:themeColor="text1" w:val="000000"/>
          <w:sz w:val="24"/>
        </w:rPr>
        <w:t/>
      </w:r>
      <w:proofErr w:type="spellEnd"/>
      <w:proofErr w:type="gramEnd"/>
      <w:r>
        <w:rPr>
          <w:rFonts w:eastAsiaTheme="minorEastAsia"/>
          <w:color w:themeColor="text1" w:val="000000"/>
          <w:sz w:val="24"/>
        </w:rPr>
        <w:t>本基金本报告期末未投资股指期货。</w:t>
      </w:r>
    </w:p>
    <w:p w:rsidP="001D5CD0" w:rsidR="00F016DD" w:rsidRDefault="00F016DD" w:rsidRPr="00E85E29">
      <w:pPr>
        <w:adjustRightInd w:val="0"/>
        <w:snapToGrid w:val="0"/>
        <w:spacing w:line="360" w:lineRule="auto"/>
        <w:rPr>
          <w:rFonts w:ascii="宋体"/>
          <w:b/>
          <w:sz w:val="24"/>
        </w:rPr>
      </w:pPr>
      <w:r w:rsidRPr="00E85E29">
        <w:rPr>
          <w:rFonts w:ascii="宋体"/>
          <w:b/>
          <w:sz w:val="24"/>
        </w:rPr>
        <w:t/>
      </w:r>
      <w:proofErr w:type="spellStart"/>
      <w:r w:rsidRPr="00E85E29">
        <w:rPr>
          <w:rFonts w:ascii="宋体" w:hAnsi="宋体"/>
          <w:b/>
          <w:sz w:val="24"/>
        </w:rPr>
        <w:t/>
      </w:r>
      <w:proofErr w:type="spellEnd"/>
      <w:r w:rsidRPr="00E85E29">
        <w:rPr>
          <w:rFonts w:ascii="宋体" w:hAnsi="宋体"/>
          <w:b/>
          <w:sz w:val="24"/>
        </w:rPr>
        <w:t/>
      </w:r>
      <w:proofErr w:type="gramStart"/>
      <w:r w:rsidRPr="00E85E29">
        <w:rPr>
          <w:rFonts w:ascii="宋体" w:hAnsi="宋体"/>
          <w:b/>
          <w:sz w:val="24"/>
        </w:rPr>
        <w:t/>
      </w:r>
      <w:proofErr w:type="gramEnd"/>
      <w:r w:rsidRPr="00E85E29">
        <w:rPr>
          <w:rFonts w:ascii="宋体" w:hAnsi="宋体"/>
          <w:b/>
          <w:sz w:val="24"/>
        </w:rPr>
        <w:t>5.10</w:t>
      </w:r>
      <w:r w:rsidRPr="00E85E29">
        <w:rPr>
          <w:rFonts w:ascii="宋体" w:hAnsi="宋体" w:hint="eastAsia"/>
          <w:b/>
          <w:sz w:val="24"/>
        </w:rPr>
        <w:t>报告期末本基金投资的国债期货交易情况说明</w:t>
      </w:r>
    </w:p>
    <w:p w:rsidP="00B249C0" w:rsidR="00B249C0" w:rsidRDefault="00B249C0">
      <w:pPr>
        <w:spacing w:line="360" w:lineRule="auto"/>
        <w:ind w:firstLine="480" w:firstLineChars="200"/>
      </w:pPr>
      <w:r>
        <w:rPr>
          <w:color w:val="000000"/>
          <w:sz w:val="24"/>
        </w:rPr>
        <w:t/>
      </w:r>
      <w:proofErr w:type="spellStart"/>
      <w:r>
        <w:rPr>
          <w:color w:val="000000"/>
          <w:sz w:val="24"/>
        </w:rPr>
        <w:t/>
      </w:r>
      <w:proofErr w:type="spellEnd"/>
      <w:r>
        <w:rPr>
          <w:color w:val="000000"/>
          <w:sz w:val="24"/>
        </w:rPr>
        <w:t/>
      </w:r>
      <w:proofErr w:type="spellStart"/>
      <w:proofErr w:type="gramStart"/>
      <w:r>
        <w:rPr>
          <w:color w:val="000000"/>
          <w:sz w:val="24"/>
        </w:rPr>
        <w:t/>
      </w:r>
      <w:proofErr w:type="spellEnd"/>
      <w:proofErr w:type="gramEnd"/>
      <w:r>
        <w:rPr>
          <w:color w:val="000000"/>
          <w:sz w:val="24"/>
        </w:rPr>
        <w:t>本基金本报告期末未投资国债期货。</w:t>
      </w:r>
    </w:p>
    <w:p w:rsidP="001D5CD0" w:rsidR="00F016DD" w:rsidRDefault="00F016DD" w:rsidRPr="00E85E29">
      <w:pPr>
        <w:autoSpaceDE w:val="0"/>
        <w:autoSpaceDN w:val="0"/>
        <w:adjustRightInd w:val="0"/>
        <w:spacing w:line="360" w:lineRule="auto"/>
        <w:jc w:val="left"/>
        <w:rPr>
          <w:rFonts w:ascii="宋体" w:cs="Arial"/>
          <w:b/>
          <w:kern w:val="0"/>
          <w:sz w:val="24"/>
        </w:rPr>
      </w:pPr>
      <w:r w:rsidRPr="00E85E29">
        <w:rPr>
          <w:rFonts w:ascii="宋体" w:cs="Arial"/>
          <w:b/>
          <w:kern w:val="0"/>
          <w:sz w:val="24"/>
        </w:rPr>
        <w:t/>
      </w:r>
      <w:proofErr w:type="gramStart"/>
      <w:r w:rsidRPr="00E85E29">
        <w:rPr>
          <w:rFonts w:ascii="宋体" w:cs="Arial" w:hAnsi="宋体"/>
          <w:b/>
          <w:kern w:val="0"/>
          <w:sz w:val="24"/>
        </w:rPr>
        <w:t/>
      </w:r>
      <w:proofErr w:type="gramEnd"/>
      <w:r w:rsidRPr="00E85E29">
        <w:rPr>
          <w:rFonts w:ascii="宋体" w:cs="Arial" w:hAnsi="宋体"/>
          <w:b/>
          <w:kern w:val="0"/>
          <w:sz w:val="24"/>
        </w:rPr>
        <w:t>5.11</w:t>
      </w:r>
      <w:r w:rsidRPr="00E85E29">
        <w:rPr>
          <w:rFonts w:ascii="宋体" w:cs="Arial" w:hAnsi="宋体" w:hint="eastAsia"/>
          <w:b/>
          <w:kern w:val="0"/>
          <w:sz w:val="24"/>
        </w:rPr>
        <w:t>投资组合报告附注</w:t>
      </w:r>
    </w:p>
    <w:p w:rsidP="006456D3" w:rsidR="00F016DD" w:rsidRDefault="00B63F2B" w:rsidRPr="00414367">
      <w:pPr>
        <w:widowControl/>
        <w:spacing w:line="360" w:lineRule="auto"/>
        <w:rPr>
          <w:color w:val="000000"/>
          <w:sz w:val="24"/>
        </w:rPr>
      </w:pPr>
      <w:r>
        <w:rPr>
          <w:rFonts w:hint="eastAsia"/>
          <w:color w:val="000000"/>
          <w:sz w:val="24"/>
        </w:rPr>
        <w:t/>
      </w:r>
      <w:proofErr w:type="spellStart"/>
      <w:r>
        <w:rPr>
          <w:rFonts w:hint="eastAsia"/>
          <w:color w:val="000000"/>
          <w:sz w:val="24"/>
        </w:rPr>
        <w:t/>
      </w:r>
      <w:proofErr w:type="spellEnd"/>
      <w:r>
        <w:rPr>
          <w:rFonts w:hint="eastAsia"/>
          <w:color w:val="000000"/>
          <w:sz w:val="24"/>
        </w:rPr>
        <w:t/>
      </w:r>
      <w:r w:rsidR="00F016DD" w:rsidRPr="00414367">
        <w:rPr>
          <w:color w:val="000000"/>
          <w:sz w:val="24"/>
        </w:rPr>
        <w:t/>
      </w:r>
      <w:proofErr w:type="gramStart"/>
      <w:r w:rsidR="00F016DD" w:rsidRPr="00414367">
        <w:rPr>
          <w:color w:val="000000"/>
          <w:sz w:val="24"/>
        </w:rPr>
        <w:t/>
      </w:r>
      <w:proofErr w:type="gramEnd"/>
      <w:r w:rsidR="00F016DD" w:rsidRPr="00414367">
        <w:rPr>
          <w:color w:val="000000"/>
          <w:sz w:val="24"/>
        </w:rPr>
        <w:t>5.11.1</w:t>
      </w:r>
      <w:r w:rsidR="00293065">
        <w:rPr>
          <w:rFonts w:hint="eastAsia"/>
          <w:color w:val="000000"/>
          <w:sz w:val="24"/>
        </w:rPr>
        <w:t xml:space="preserve"> </w:t>
      </w:r>
      <w:r w:rsidR="00F016DD" w:rsidRPr="00414367">
        <w:rPr>
          <w:color w:val="000000"/>
          <w:sz w:val="24"/>
        </w:rPr>
        <w:t>本基金投资的前十名证券的发行主体本期没有出现被监管部门立案调查，或在报告编制日前一年内受到公开谴责、处罚的情形。</w:t>
      </w:r>
    </w:p>
    <w:p w:rsidP="006456D3" w:rsidR="00F016DD" w:rsidRDefault="00B63F2B" w:rsidRPr="00414367">
      <w:pPr>
        <w:widowControl/>
        <w:spacing w:line="360" w:lineRule="auto"/>
        <w:rPr>
          <w:color w:val="000000"/>
          <w:sz w:val="24"/>
        </w:rPr>
      </w:pPr>
      <w:r>
        <w:rPr>
          <w:rFonts w:hint="eastAsia"/>
          <w:color w:val="000000"/>
          <w:sz w:val="24"/>
        </w:rPr>
        <w:t/>
      </w:r>
      <w:r w:rsidR="00F016DD" w:rsidRPr="00414367">
        <w:rPr>
          <w:color w:val="000000"/>
          <w:sz w:val="24"/>
        </w:rPr>
        <w:t/>
      </w:r>
      <w:proofErr w:type="gramStart"/>
      <w:r w:rsidR="00F016DD" w:rsidRPr="00414367">
        <w:rPr>
          <w:color w:val="000000"/>
          <w:sz w:val="24"/>
        </w:rPr>
        <w:t/>
      </w:r>
      <w:proofErr w:type="gramEnd"/>
      <w:r w:rsidR="00F016DD" w:rsidRPr="00414367">
        <w:rPr>
          <w:color w:val="000000"/>
          <w:sz w:val="24"/>
        </w:rPr>
        <w:t>5.11.2</w:t>
      </w:r>
      <w:r w:rsidR="00293065">
        <w:rPr>
          <w:rFonts w:hint="eastAsia"/>
          <w:color w:val="000000"/>
          <w:sz w:val="24"/>
        </w:rPr>
        <w:t xml:space="preserve"> </w:t>
      </w:r>
      <w:r w:rsidR="00F016DD" w:rsidRPr="00414367">
        <w:rPr>
          <w:color w:val="000000"/>
          <w:sz w:val="24"/>
        </w:rPr>
        <w:t>本基金投资的前十名股票没有超出基金合同规定的备选股票库。</w:t>
      </w:r>
    </w:p>
    <w:p w:rsidP="001D5CD0" w:rsidR="00F016DD" w:rsidRDefault="00F016DD" w:rsidRPr="00414367">
      <w:pPr>
        <w:autoSpaceDE w:val="0"/>
        <w:autoSpaceDN w:val="0"/>
        <w:adjustRightInd w:val="0"/>
        <w:spacing w:line="360" w:lineRule="auto"/>
        <w:rPr>
          <w:kern w:val="0"/>
          <w:sz w:val="24"/>
        </w:rPr>
      </w:pPr>
      <w:r w:rsidRPr="00414367">
        <w:rPr>
          <w:kern w:val="0"/>
          <w:sz w:val="24"/>
        </w:rPr>
        <w:t/>
      </w:r>
      <w:proofErr w:type="gramStart"/>
      <w:r w:rsidRPr="00414367">
        <w:rPr>
          <w:kern w:val="0"/>
          <w:sz w:val="24"/>
        </w:rPr>
        <w:t/>
      </w:r>
      <w:proofErr w:type="gramEnd"/>
      <w:r w:rsidRPr="00414367">
        <w:rPr>
          <w:kern w:val="0"/>
          <w:sz w:val="24"/>
        </w:rPr>
        <w:t>5.11.3</w:t>
      </w:r>
      <w:r w:rsidRPr="00414367">
        <w:rPr>
          <w:kern w:val="0"/>
          <w:sz w:val="24"/>
        </w:rPr>
        <w:t>其他资产构成</w:t>
      </w:r>
    </w:p>
    <w:tbl>
      <w:tblPr>
        <w:tblW w:type="auto" w:w="0"/>
        <w:tblInd w:type="dxa" w:w="15"/>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ook w:firstColumn="1" w:firstRow="1" w:lastColumn="0" w:lastRow="0" w:noHBand="0" w:noVBand="0" w:val="00A0"/>
      </w:tblPr>
      <w:tblGrid>
        <w:gridCol w:w="1235"/>
        <w:gridCol w:w="2761"/>
        <w:gridCol w:w="4808"/>
      </w:tblGrid>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7"/>
              <w:jc w:val="center"/>
              <w:rPr>
                <w:color w:val="000000"/>
                <w:kern w:val="0"/>
                <w:sz w:val="24"/>
              </w:rPr>
            </w:pPr>
            <w:r w:rsidRPr="00FA472B">
              <w:rPr>
                <w:color w:val="000000"/>
                <w:kern w:val="0"/>
                <w:sz w:val="24"/>
              </w:rPr>
              <w:t>序号</w:t>
            </w:r>
          </w:p>
        </w:tc>
        <w:tc>
          <w:tcPr>
            <w:tcW w:type="dxa" w:w="2761"/>
            <w:vAlign w:val="center"/>
          </w:tcPr>
          <w:p w:rsidP="00F4518C" w:rsidR="00F016DD" w:rsidRDefault="00F016DD" w:rsidRPr="00FA472B">
            <w:pPr>
              <w:autoSpaceDE w:val="0"/>
              <w:autoSpaceDN w:val="0"/>
              <w:adjustRightInd w:val="0"/>
              <w:spacing w:before="29" w:line="360" w:lineRule="auto"/>
              <w:ind w:left="17"/>
              <w:jc w:val="center"/>
              <w:rPr>
                <w:color w:val="000000"/>
                <w:kern w:val="0"/>
                <w:sz w:val="24"/>
              </w:rPr>
            </w:pPr>
            <w:r w:rsidRPr="00FA472B">
              <w:rPr>
                <w:color w:val="000000"/>
                <w:kern w:val="0"/>
                <w:sz w:val="24"/>
              </w:rPr>
              <w:t>名称</w:t>
            </w:r>
          </w:p>
        </w:tc>
        <w:tc>
          <w:tcPr>
            <w:tcW w:type="dxa" w:w="4808"/>
            <w:vAlign w:val="center"/>
          </w:tcPr>
          <w:p w:rsidP="00F4518C" w:rsidR="00F016DD" w:rsidRDefault="00F016DD" w:rsidRPr="00FA472B">
            <w:pPr>
              <w:autoSpaceDE w:val="0"/>
              <w:autoSpaceDN w:val="0"/>
              <w:adjustRightInd w:val="0"/>
              <w:spacing w:before="29" w:line="360" w:lineRule="auto"/>
              <w:ind w:left="17"/>
              <w:jc w:val="center"/>
              <w:rPr>
                <w:color w:val="000000"/>
                <w:kern w:val="0"/>
                <w:sz w:val="24"/>
              </w:rPr>
            </w:pPr>
            <w:r w:rsidRPr="00FA472B">
              <w:rPr>
                <w:color w:val="000000"/>
                <w:kern w:val="0"/>
                <w:sz w:val="24"/>
              </w:rPr>
              <w:t>金额</w:t>
            </w:r>
            <w:r w:rsidRPr="00FA472B">
              <w:rPr>
                <w:color w:val="000000"/>
                <w:kern w:val="0"/>
                <w:sz w:val="24"/>
              </w:rPr>
              <w:t>(</w:t>
            </w:r>
            <w:r w:rsidRPr="00FA472B">
              <w:rPr>
                <w:color w:val="000000"/>
                <w:kern w:val="0"/>
                <w:sz w:val="24"/>
              </w:rPr>
              <w:t>元</w:t>
            </w:r>
            <w:r w:rsidRPr="00FA472B">
              <w:rPr>
                <w:color w:val="000000"/>
                <w:kern w:val="0"/>
                <w:sz w:val="24"/>
              </w:rPr>
              <w:t>)</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kern w:val="0"/>
                <w:sz w:val="24"/>
              </w:rPr>
            </w:pPr>
            <w:r w:rsidRPr="00FA472B">
              <w:rPr>
                <w:color w:val="000000"/>
                <w:sz w:val="24"/>
              </w:rPr>
              <w:t>1</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kern w:val="0"/>
                <w:sz w:val="24"/>
              </w:rPr>
            </w:pPr>
            <w:r w:rsidRPr="00FA472B">
              <w:rPr>
                <w:color w:val="000000"/>
                <w:kern w:val="0"/>
                <w:sz w:val="24"/>
              </w:rPr>
              <w:t>存出保证金</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138,482.22</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sz w:val="24"/>
              </w:rPr>
            </w:pPr>
            <w:r w:rsidRPr="00FA472B">
              <w:rPr>
                <w:color w:val="000000"/>
                <w:sz w:val="24"/>
              </w:rPr>
              <w:t>2</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kern w:val="0"/>
                <w:sz w:val="24"/>
              </w:rPr>
            </w:pPr>
            <w:r w:rsidRPr="00FA472B">
              <w:rPr>
                <w:color w:val="000000"/>
                <w:kern w:val="0"/>
                <w:sz w:val="24"/>
              </w:rPr>
              <w:t>应收证券清算款</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3,994,262.74</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sz w:val="24"/>
              </w:rPr>
            </w:pPr>
            <w:r w:rsidRPr="00FA472B">
              <w:rPr>
                <w:color w:val="000000"/>
                <w:sz w:val="24"/>
              </w:rPr>
              <w:t>3</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kern w:val="0"/>
                <w:sz w:val="24"/>
              </w:rPr>
            </w:pPr>
            <w:r w:rsidRPr="00FA472B">
              <w:rPr>
                <w:color w:val="000000"/>
                <w:kern w:val="0"/>
                <w:sz w:val="24"/>
              </w:rPr>
              <w:t>应收股利</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sz w:val="24"/>
              </w:rPr>
            </w:pPr>
            <w:r w:rsidRPr="00FA472B">
              <w:rPr>
                <w:color w:val="000000"/>
                <w:sz w:val="24"/>
              </w:rPr>
              <w:lastRenderedPageBreak/>
              <w:t>4</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kern w:val="0"/>
                <w:sz w:val="24"/>
              </w:rPr>
            </w:pPr>
            <w:r w:rsidRPr="00FA472B">
              <w:rPr>
                <w:color w:val="000000"/>
                <w:kern w:val="0"/>
                <w:sz w:val="24"/>
              </w:rPr>
              <w:t>应收利息</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15,813,868.23</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sz w:val="24"/>
              </w:rPr>
            </w:pPr>
            <w:r w:rsidRPr="00FA472B">
              <w:rPr>
                <w:color w:val="000000"/>
                <w:sz w:val="24"/>
              </w:rPr>
              <w:t>5</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kern w:val="0"/>
                <w:sz w:val="24"/>
              </w:rPr>
            </w:pPr>
            <w:r w:rsidRPr="00FA472B">
              <w:rPr>
                <w:color w:val="000000"/>
                <w:kern w:val="0"/>
                <w:sz w:val="24"/>
              </w:rPr>
              <w:t>应收申购款</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33,912.53</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sz w:val="24"/>
              </w:rPr>
            </w:pPr>
            <w:r w:rsidRPr="00FA472B">
              <w:rPr>
                <w:color w:val="000000"/>
                <w:sz w:val="24"/>
              </w:rPr>
              <w:t>6</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kern w:val="0"/>
                <w:sz w:val="24"/>
              </w:rPr>
            </w:pPr>
            <w:r w:rsidRPr="00FA472B">
              <w:rPr>
                <w:color w:val="000000"/>
                <w:kern w:val="0"/>
                <w:sz w:val="24"/>
              </w:rPr>
              <w:t>其他应收款</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sz w:val="24"/>
              </w:rPr>
            </w:pPr>
            <w:r w:rsidRPr="00FA472B">
              <w:rPr>
                <w:color w:val="000000"/>
                <w:sz w:val="24"/>
              </w:rPr>
              <w:t>7</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sz w:val="24"/>
              </w:rPr>
            </w:pPr>
            <w:r w:rsidRPr="00FA472B">
              <w:rPr>
                <w:color w:val="000000"/>
                <w:sz w:val="24"/>
              </w:rPr>
              <w:t>待摊费用</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sz w:val="24"/>
              </w:rPr>
            </w:pPr>
            <w:r w:rsidRPr="00FA472B">
              <w:rPr>
                <w:color w:val="000000"/>
                <w:sz w:val="24"/>
              </w:rPr>
              <w:t>8</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kern w:val="0"/>
                <w:sz w:val="24"/>
              </w:rPr>
            </w:pPr>
            <w:r w:rsidRPr="00FA472B">
              <w:rPr>
                <w:color w:val="000000"/>
                <w:kern w:val="0"/>
                <w:sz w:val="24"/>
              </w:rPr>
              <w:t>其他</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sz w:val="24"/>
              </w:rPr>
            </w:pPr>
            <w:r w:rsidRPr="00FA472B">
              <w:rPr>
                <w:color w:val="000000"/>
                <w:sz w:val="24"/>
              </w:rPr>
              <w:t>9</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kern w:val="0"/>
                <w:sz w:val="24"/>
              </w:rPr>
            </w:pPr>
            <w:r w:rsidRPr="00FA472B">
              <w:rPr>
                <w:color w:val="000000"/>
                <w:kern w:val="0"/>
                <w:sz w:val="24"/>
              </w:rPr>
              <w:t>合计</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19,980,525.72</w:t>
            </w:r>
          </w:p>
        </w:tc>
      </w:tr>
    </w:tbl>
    <w:p w:rsidP="001D5CD0" w:rsidR="00F016DD" w:rsidRDefault="00F016DD" w:rsidRPr="00E7356F">
      <w:pPr>
        <w:autoSpaceDE w:val="0"/>
        <w:autoSpaceDN w:val="0"/>
        <w:adjustRightInd w:val="0"/>
        <w:spacing w:line="360" w:lineRule="auto"/>
        <w:jc w:val="left"/>
        <w:rPr>
          <w:rFonts w:ascii="宋体" w:cs="Arial"/>
          <w:kern w:val="0"/>
          <w:sz w:val="24"/>
        </w:rPr>
      </w:pPr>
      <w:r w:rsidRPr="00E7356F">
        <w:rPr>
          <w:rFonts w:ascii="宋体" w:cs="Arial"/>
          <w:kern w:val="0"/>
          <w:sz w:val="24"/>
        </w:rPr>
        <w:t/>
      </w:r>
      <w:proofErr w:type="gramStart"/>
      <w:r w:rsidRPr="00E7356F">
        <w:rPr>
          <w:rFonts w:ascii="宋体" w:cs="Arial" w:hAnsi="宋体"/>
          <w:kern w:val="0"/>
          <w:sz w:val="24"/>
        </w:rPr>
        <w:t/>
      </w:r>
      <w:proofErr w:type="gramEnd"/>
      <w:r w:rsidRPr="00E7356F">
        <w:rPr>
          <w:rFonts w:ascii="宋体" w:cs="Arial" w:hAnsi="宋体"/>
          <w:kern w:val="0"/>
          <w:sz w:val="24"/>
        </w:rPr>
        <w:t>5.11.4</w:t>
      </w:r>
      <w:r w:rsidRPr="00E7356F">
        <w:rPr>
          <w:rFonts w:ascii="宋体" w:cs="Arial" w:hAnsi="宋体" w:hint="eastAsia"/>
          <w:kern w:val="0"/>
          <w:sz w:val="24"/>
        </w:rPr>
        <w:t>报告期末持有的处于转股期的可转换债券明细</w:t>
      </w:r>
    </w:p>
    <w:tbl>
      <w:tblPr>
        <w:tblW w:type="auto" w:w="0"/>
        <w:tblInd w:type="dxa" w:w="15"/>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ook w:firstColumn="1" w:firstRow="1" w:lastColumn="0" w:lastRow="0" w:noHBand="0" w:noVBand="0" w:val="00A0"/>
      </w:tblPr>
      <w:tblGrid>
        <w:gridCol w:w="1080"/>
        <w:gridCol w:w="2624"/>
        <w:gridCol w:w="1766"/>
        <w:gridCol w:w="1832"/>
        <w:gridCol w:w="1719"/>
      </w:tblGrid>
      <w:tr w:rsidR="00F016DD" w:rsidRPr="00E85E29" w:rsidTr="00F4518C">
        <w:tc>
          <w:tcPr>
            <w:tcW w:type="dxa" w:w="944"/>
            <w:vAlign w:val="center"/>
          </w:tcPr>
          <w:p w:rsidP="00F4518C" w:rsidR="00F016DD" w:rsidRDefault="00F016DD" w:rsidRPr="00414367">
            <w:pPr>
              <w:spacing w:before="29" w:line="360" w:lineRule="auto"/>
              <w:ind w:left="17"/>
              <w:jc w:val="center"/>
              <w:rPr>
                <w:color w:val="000000"/>
                <w:sz w:val="24"/>
              </w:rPr>
            </w:pPr>
            <w:r w:rsidRPr="00414367">
              <w:rPr>
                <w:color w:val="000000"/>
                <w:sz w:val="24"/>
              </w:rPr>
              <w:t>序号</w:t>
            </w:r>
          </w:p>
        </w:tc>
        <w:tc>
          <w:tcPr>
            <w:tcW w:type="dxa" w:w="2568"/>
            <w:vAlign w:val="center"/>
          </w:tcPr>
          <w:p w:rsidP="00F4518C" w:rsidR="00F016DD" w:rsidRDefault="00F016DD" w:rsidRPr="00414367">
            <w:pPr>
              <w:spacing w:before="29" w:line="360" w:lineRule="auto"/>
              <w:ind w:left="17"/>
              <w:jc w:val="center"/>
              <w:rPr>
                <w:color w:val="000000"/>
                <w:sz w:val="24"/>
              </w:rPr>
            </w:pPr>
            <w:r w:rsidRPr="00414367">
              <w:rPr>
                <w:color w:val="000000"/>
                <w:sz w:val="24"/>
              </w:rPr>
              <w:t>债券代码</w:t>
            </w:r>
          </w:p>
        </w:tc>
        <w:tc>
          <w:tcPr>
            <w:tcW w:type="dxa" w:w="1665"/>
            <w:vAlign w:val="center"/>
          </w:tcPr>
          <w:p w:rsidP="00F4518C" w:rsidR="00F016DD" w:rsidRDefault="00F016DD" w:rsidRPr="00414367">
            <w:pPr>
              <w:spacing w:before="29" w:line="360" w:lineRule="auto"/>
              <w:ind w:left="17"/>
              <w:jc w:val="center"/>
              <w:rPr>
                <w:color w:val="000000"/>
                <w:sz w:val="24"/>
              </w:rPr>
            </w:pPr>
            <w:r w:rsidRPr="00414367">
              <w:rPr>
                <w:color w:val="000000"/>
                <w:sz w:val="24"/>
              </w:rPr>
              <w:t>债券名称</w:t>
            </w:r>
          </w:p>
        </w:tc>
        <w:tc>
          <w:tcPr>
            <w:tcW w:type="dxa" w:w="1727"/>
            <w:vAlign w:val="center"/>
          </w:tcPr>
          <w:p w:rsidP="00F4518C" w:rsidR="00F016DD" w:rsidRDefault="00F016DD" w:rsidRPr="00414367">
            <w:pPr>
              <w:spacing w:before="29" w:line="360" w:lineRule="auto"/>
              <w:ind w:left="17"/>
              <w:jc w:val="center"/>
              <w:rPr>
                <w:color w:val="000000"/>
                <w:sz w:val="24"/>
              </w:rPr>
            </w:pPr>
            <w:r w:rsidRPr="00414367">
              <w:rPr>
                <w:color w:val="000000"/>
                <w:sz w:val="24"/>
              </w:rPr>
              <w:t>公允价值</w:t>
            </w:r>
            <w:r w:rsidRPr="00414367">
              <w:rPr>
                <w:color w:val="000000"/>
                <w:sz w:val="24"/>
              </w:rPr>
              <w:t>(</w:t>
            </w:r>
            <w:r w:rsidRPr="00414367">
              <w:rPr>
                <w:color w:val="000000"/>
                <w:sz w:val="24"/>
              </w:rPr>
              <w:t>元</w:t>
            </w:r>
            <w:r w:rsidRPr="00414367">
              <w:rPr>
                <w:color w:val="000000"/>
                <w:sz w:val="24"/>
              </w:rPr>
              <w:t>)</w:t>
            </w:r>
          </w:p>
        </w:tc>
        <w:tc>
          <w:tcPr>
            <w:tcW w:type="dxa" w:w="1609"/>
            <w:vAlign w:val="center"/>
          </w:tcPr>
          <w:p w:rsidP="00F4518C" w:rsidR="00F016DD" w:rsidRDefault="00F016DD" w:rsidRPr="00414367">
            <w:pPr>
              <w:spacing w:before="29" w:line="360" w:lineRule="auto"/>
              <w:ind w:left="17"/>
              <w:jc w:val="center"/>
              <w:rPr>
                <w:color w:val="000000"/>
                <w:sz w:val="24"/>
              </w:rPr>
            </w:pPr>
            <w:r w:rsidRPr="00414367">
              <w:rPr>
                <w:color w:val="000000"/>
                <w:sz w:val="24"/>
              </w:rPr>
              <w:t>占基金资产净值比例</w:t>
            </w:r>
            <w:r w:rsidRPr="00414367">
              <w:rPr>
                <w:color w:val="000000"/>
                <w:sz w:val="24"/>
              </w:rPr>
              <w:t>(%)</w:t>
            </w:r>
          </w:p>
        </w:tc>
      </w:tr>
      <w:tr>
        <w:tc>
          <w:tcPr>
            <w:vAlign w:val="center"/>
          </w:tcPr>
          <w:p>
            <w:pPr>
              <w:jc w:val="center"/>
            </w:pPr>
            <w:r>
              <w:rPr>
                <w:color w:val="000000"/>
                <w:sz w:val="24"/>
              </w:rPr>
              <w:t>1</w:t>
            </w:r>
          </w:p>
        </w:tc>
        <w:tc>
          <w:tcPr>
            <w:vAlign w:val="center"/>
          </w:tcPr>
          <w:p>
            <w:pPr>
              <w:jc w:val="center"/>
            </w:pPr>
            <w:r>
              <w:rPr>
                <w:color w:val="000000"/>
                <w:sz w:val="24"/>
              </w:rPr>
              <w:t>128026</w:t>
            </w:r>
          </w:p>
        </w:tc>
        <w:tc>
          <w:tcPr>
            <w:vAlign w:val="center"/>
          </w:tcPr>
          <w:p>
            <w:pPr>
              <w:jc w:val="center"/>
            </w:pPr>
            <w:r>
              <w:rPr>
                <w:color w:val="000000"/>
                <w:sz w:val="24"/>
              </w:rPr>
              <w:t>众兴转债</w:t>
            </w:r>
          </w:p>
        </w:tc>
        <w:tc>
          <w:tcPr>
            <w:vAlign w:val="center"/>
          </w:tcPr>
          <w:p>
            <w:pPr>
              <w:jc w:val="right"/>
            </w:pPr>
            <w:r>
              <w:rPr>
                <w:color w:val="000000"/>
                <w:sz w:val="24"/>
              </w:rPr>
              <w:t>13,710,267.78</w:t>
            </w:r>
          </w:p>
        </w:tc>
        <w:tc>
          <w:tcPr>
            <w:vAlign w:val="center"/>
          </w:tcPr>
          <w:p>
            <w:pPr>
              <w:jc w:val="right"/>
            </w:pPr>
            <w:r>
              <w:rPr>
                <w:color w:val="000000"/>
                <w:sz w:val="24"/>
              </w:rPr>
              <w:t>1.23</w:t>
            </w:r>
          </w:p>
        </w:tc>
      </w:tr>
      <w:tr>
        <w:tc>
          <w:tcPr>
            <w:vAlign w:val="center"/>
          </w:tcPr>
          <w:p>
            <w:pPr>
              <w:jc w:val="center"/>
            </w:pPr>
            <w:r>
              <w:rPr>
                <w:color w:val="000000"/>
                <w:sz w:val="24"/>
              </w:rPr>
              <w:t>2</w:t>
            </w:r>
          </w:p>
        </w:tc>
        <w:tc>
          <w:tcPr>
            <w:vAlign w:val="center"/>
          </w:tcPr>
          <w:p>
            <w:pPr>
              <w:jc w:val="center"/>
            </w:pPr>
            <w:r>
              <w:rPr>
                <w:color w:val="000000"/>
                <w:sz w:val="24"/>
              </w:rPr>
              <w:t>128023</w:t>
            </w:r>
          </w:p>
        </w:tc>
        <w:tc>
          <w:tcPr>
            <w:vAlign w:val="center"/>
          </w:tcPr>
          <w:p>
            <w:pPr>
              <w:jc w:val="center"/>
            </w:pPr>
            <w:r>
              <w:rPr>
                <w:color w:val="000000"/>
                <w:sz w:val="24"/>
              </w:rPr>
              <w:t>亚太转债</w:t>
            </w:r>
          </w:p>
        </w:tc>
        <w:tc>
          <w:tcPr>
            <w:vAlign w:val="center"/>
          </w:tcPr>
          <w:p>
            <w:pPr>
              <w:jc w:val="right"/>
            </w:pPr>
            <w:r>
              <w:rPr>
                <w:color w:val="000000"/>
                <w:sz w:val="24"/>
              </w:rPr>
              <w:t>13,382,398.20</w:t>
            </w:r>
          </w:p>
        </w:tc>
        <w:tc>
          <w:tcPr>
            <w:vAlign w:val="center"/>
          </w:tcPr>
          <w:p>
            <w:pPr>
              <w:jc w:val="right"/>
            </w:pPr>
            <w:r>
              <w:rPr>
                <w:color w:val="000000"/>
                <w:sz w:val="24"/>
              </w:rPr>
              <w:t>1.20</w:t>
            </w:r>
          </w:p>
        </w:tc>
      </w:tr>
      <w:tr>
        <w:tc>
          <w:tcPr>
            <w:vAlign w:val="center"/>
          </w:tcPr>
          <w:p>
            <w:pPr>
              <w:jc w:val="center"/>
            </w:pPr>
            <w:r>
              <w:rPr>
                <w:color w:val="000000"/>
                <w:sz w:val="24"/>
              </w:rPr>
              <w:t>3</w:t>
            </w:r>
          </w:p>
        </w:tc>
        <w:tc>
          <w:tcPr>
            <w:vAlign w:val="center"/>
          </w:tcPr>
          <w:p>
            <w:pPr>
              <w:jc w:val="center"/>
            </w:pPr>
            <w:r>
              <w:rPr>
                <w:color w:val="000000"/>
                <w:sz w:val="24"/>
              </w:rPr>
              <w:t>128037</w:t>
            </w:r>
          </w:p>
        </w:tc>
        <w:tc>
          <w:tcPr>
            <w:vAlign w:val="center"/>
          </w:tcPr>
          <w:p>
            <w:pPr>
              <w:jc w:val="center"/>
            </w:pPr>
            <w:r>
              <w:rPr>
                <w:color w:val="000000"/>
                <w:sz w:val="24"/>
              </w:rPr>
              <w:t>岩土转债</w:t>
            </w:r>
          </w:p>
        </w:tc>
        <w:tc>
          <w:tcPr>
            <w:vAlign w:val="center"/>
          </w:tcPr>
          <w:p>
            <w:pPr>
              <w:jc w:val="right"/>
            </w:pPr>
            <w:r>
              <w:rPr>
                <w:color w:val="000000"/>
                <w:sz w:val="24"/>
              </w:rPr>
              <w:t>9,229,228.40</w:t>
            </w:r>
          </w:p>
        </w:tc>
        <w:tc>
          <w:tcPr>
            <w:vAlign w:val="center"/>
          </w:tcPr>
          <w:p>
            <w:pPr>
              <w:jc w:val="right"/>
            </w:pPr>
            <w:r>
              <w:rPr>
                <w:color w:val="000000"/>
                <w:sz w:val="24"/>
              </w:rPr>
              <w:t>0.83</w:t>
            </w:r>
          </w:p>
        </w:tc>
      </w:tr>
      <w:tr>
        <w:tc>
          <w:tcPr>
            <w:vAlign w:val="center"/>
          </w:tcPr>
          <w:p>
            <w:pPr>
              <w:jc w:val="center"/>
            </w:pPr>
            <w:r>
              <w:rPr>
                <w:color w:val="000000"/>
                <w:sz w:val="24"/>
              </w:rPr>
              <w:t>4</w:t>
            </w:r>
          </w:p>
        </w:tc>
        <w:tc>
          <w:tcPr>
            <w:vAlign w:val="center"/>
          </w:tcPr>
          <w:p>
            <w:pPr>
              <w:jc w:val="center"/>
            </w:pPr>
            <w:r>
              <w:rPr>
                <w:color w:val="000000"/>
                <w:sz w:val="24"/>
              </w:rPr>
              <w:t>127011</w:t>
            </w:r>
          </w:p>
        </w:tc>
        <w:tc>
          <w:tcPr>
            <w:vAlign w:val="center"/>
          </w:tcPr>
          <w:p>
            <w:pPr>
              <w:jc w:val="center"/>
            </w:pPr>
            <w:r>
              <w:rPr>
                <w:color w:val="000000"/>
                <w:sz w:val="24"/>
              </w:rPr>
              <w:t>中鼎转2</w:t>
            </w:r>
          </w:p>
        </w:tc>
        <w:tc>
          <w:tcPr>
            <w:vAlign w:val="center"/>
          </w:tcPr>
          <w:p>
            <w:pPr>
              <w:jc w:val="right"/>
            </w:pPr>
            <w:r>
              <w:rPr>
                <w:color w:val="000000"/>
                <w:sz w:val="24"/>
              </w:rPr>
              <w:t>6,301,904.40</w:t>
            </w:r>
          </w:p>
        </w:tc>
        <w:tc>
          <w:tcPr>
            <w:vAlign w:val="center"/>
          </w:tcPr>
          <w:p>
            <w:pPr>
              <w:jc w:val="right"/>
            </w:pPr>
            <w:r>
              <w:rPr>
                <w:color w:val="000000"/>
                <w:sz w:val="24"/>
              </w:rPr>
              <w:t>0.56</w:t>
            </w:r>
          </w:p>
        </w:tc>
      </w:tr>
      <w:tr>
        <w:tc>
          <w:tcPr>
            <w:vAlign w:val="center"/>
          </w:tcPr>
          <w:p>
            <w:pPr>
              <w:jc w:val="center"/>
            </w:pPr>
            <w:r>
              <w:rPr>
                <w:color w:val="000000"/>
                <w:sz w:val="24"/>
              </w:rPr>
              <w:t>5</w:t>
            </w:r>
          </w:p>
        </w:tc>
        <w:tc>
          <w:tcPr>
            <w:vAlign w:val="center"/>
          </w:tcPr>
          <w:p>
            <w:pPr>
              <w:jc w:val="center"/>
            </w:pPr>
            <w:r>
              <w:rPr>
                <w:color w:val="000000"/>
                <w:sz w:val="24"/>
              </w:rPr>
              <w:t>110062</w:t>
            </w:r>
          </w:p>
        </w:tc>
        <w:tc>
          <w:tcPr>
            <w:vAlign w:val="center"/>
          </w:tcPr>
          <w:p>
            <w:pPr>
              <w:jc w:val="center"/>
            </w:pPr>
            <w:r>
              <w:rPr>
                <w:color w:val="000000"/>
                <w:sz w:val="24"/>
              </w:rPr>
              <w:t>烽火转债</w:t>
            </w:r>
          </w:p>
        </w:tc>
        <w:tc>
          <w:tcPr>
            <w:vAlign w:val="center"/>
          </w:tcPr>
          <w:p>
            <w:pPr>
              <w:jc w:val="right"/>
            </w:pPr>
            <w:r>
              <w:rPr>
                <w:color w:val="000000"/>
                <w:sz w:val="24"/>
              </w:rPr>
              <w:t>3,213,776.70</w:t>
            </w:r>
          </w:p>
        </w:tc>
        <w:tc>
          <w:tcPr>
            <w:vAlign w:val="center"/>
          </w:tcPr>
          <w:p>
            <w:pPr>
              <w:jc w:val="right"/>
            </w:pPr>
            <w:r>
              <w:rPr>
                <w:color w:val="000000"/>
                <w:sz w:val="24"/>
              </w:rPr>
              <w:t>0.29</w:t>
            </w:r>
          </w:p>
        </w:tc>
      </w:tr>
      <w:tr>
        <w:tc>
          <w:tcPr>
            <w:vAlign w:val="center"/>
          </w:tcPr>
          <w:p>
            <w:pPr>
              <w:jc w:val="center"/>
            </w:pPr>
            <w:r>
              <w:rPr>
                <w:color w:val="000000"/>
                <w:sz w:val="24"/>
              </w:rPr>
              <w:t>6</w:t>
            </w:r>
          </w:p>
        </w:tc>
        <w:tc>
          <w:tcPr>
            <w:vAlign w:val="center"/>
          </w:tcPr>
          <w:p>
            <w:pPr>
              <w:jc w:val="center"/>
            </w:pPr>
            <w:r>
              <w:rPr>
                <w:color w:val="000000"/>
                <w:sz w:val="24"/>
              </w:rPr>
              <w:t>128030</w:t>
            </w:r>
          </w:p>
        </w:tc>
        <w:tc>
          <w:tcPr>
            <w:vAlign w:val="center"/>
          </w:tcPr>
          <w:p>
            <w:pPr>
              <w:jc w:val="center"/>
            </w:pPr>
            <w:r>
              <w:rPr>
                <w:color w:val="000000"/>
                <w:sz w:val="24"/>
              </w:rPr>
              <w:t>天康转债</w:t>
            </w:r>
          </w:p>
        </w:tc>
        <w:tc>
          <w:tcPr>
            <w:vAlign w:val="center"/>
          </w:tcPr>
          <w:p>
            <w:pPr>
              <w:jc w:val="right"/>
            </w:pPr>
            <w:r>
              <w:rPr>
                <w:color w:val="000000"/>
                <w:sz w:val="24"/>
              </w:rPr>
              <w:t>3,049,323.10</w:t>
            </w:r>
          </w:p>
        </w:tc>
        <w:tc>
          <w:tcPr>
            <w:vAlign w:val="center"/>
          </w:tcPr>
          <w:p>
            <w:pPr>
              <w:jc w:val="right"/>
            </w:pPr>
            <w:r>
              <w:rPr>
                <w:color w:val="000000"/>
                <w:sz w:val="24"/>
              </w:rPr>
              <w:t>0.27</w:t>
            </w:r>
          </w:p>
        </w:tc>
      </w:tr>
      <w:tr>
        <w:tc>
          <w:tcPr>
            <w:vAlign w:val="center"/>
          </w:tcPr>
          <w:p>
            <w:pPr>
              <w:jc w:val="center"/>
            </w:pPr>
            <w:r>
              <w:rPr>
                <w:color w:val="000000"/>
                <w:sz w:val="24"/>
              </w:rPr>
              <w:t>7</w:t>
            </w:r>
          </w:p>
        </w:tc>
        <w:tc>
          <w:tcPr>
            <w:vAlign w:val="center"/>
          </w:tcPr>
          <w:p>
            <w:pPr>
              <w:jc w:val="center"/>
            </w:pPr>
            <w:r>
              <w:rPr>
                <w:color w:val="000000"/>
                <w:sz w:val="24"/>
              </w:rPr>
              <w:t>110045</w:t>
            </w:r>
          </w:p>
        </w:tc>
        <w:tc>
          <w:tcPr>
            <w:vAlign w:val="center"/>
          </w:tcPr>
          <w:p>
            <w:pPr>
              <w:jc w:val="center"/>
            </w:pPr>
            <w:r>
              <w:rPr>
                <w:color w:val="000000"/>
                <w:sz w:val="24"/>
              </w:rPr>
              <w:t>海澜转债</w:t>
            </w:r>
          </w:p>
        </w:tc>
        <w:tc>
          <w:tcPr>
            <w:vAlign w:val="center"/>
          </w:tcPr>
          <w:p>
            <w:pPr>
              <w:jc w:val="right"/>
            </w:pPr>
            <w:r>
              <w:rPr>
                <w:color w:val="000000"/>
                <w:sz w:val="24"/>
              </w:rPr>
              <w:t>2,571,880.80</w:t>
            </w:r>
          </w:p>
        </w:tc>
        <w:tc>
          <w:tcPr>
            <w:vAlign w:val="center"/>
          </w:tcPr>
          <w:p>
            <w:pPr>
              <w:jc w:val="right"/>
            </w:pPr>
            <w:r>
              <w:rPr>
                <w:color w:val="000000"/>
                <w:sz w:val="24"/>
              </w:rPr>
              <w:t>0.23</w:t>
            </w:r>
          </w:p>
        </w:tc>
      </w:tr>
    </w:tbl>
    <w:p w:rsidP="001D5CD0" w:rsidR="00F016DD" w:rsidRDefault="00F016DD" w:rsidRPr="00E7356F">
      <w:pPr>
        <w:autoSpaceDE w:val="0"/>
        <w:autoSpaceDN w:val="0"/>
        <w:adjustRightInd w:val="0"/>
        <w:spacing w:line="360" w:lineRule="auto"/>
        <w:jc w:val="left"/>
        <w:rPr>
          <w:rFonts w:ascii="宋体"/>
          <w:bCs/>
          <w:sz w:val="24"/>
        </w:rPr>
      </w:pPr>
      <w:r w:rsidRPr="00E7356F">
        <w:rPr>
          <w:rFonts w:ascii="宋体" w:cs="Arial"/>
          <w:kern w:val="0"/>
          <w:sz w:val="24"/>
        </w:rPr>
        <w:t/>
      </w:r>
      <w:proofErr w:type="gramStart"/>
      <w:r w:rsidRPr="00E7356F">
        <w:rPr>
          <w:rFonts w:ascii="宋体" w:cs="Arial" w:hAnsi="宋体"/>
          <w:kern w:val="0"/>
          <w:sz w:val="24"/>
        </w:rPr>
        <w:t/>
      </w:r>
      <w:proofErr w:type="gramEnd"/>
      <w:r w:rsidRPr="00E7356F">
        <w:rPr>
          <w:rFonts w:ascii="宋体" w:cs="Arial" w:hAnsi="宋体"/>
          <w:kern w:val="0"/>
          <w:sz w:val="24"/>
        </w:rPr>
        <w:t>5.11.5</w:t>
      </w:r>
      <w:r w:rsidRPr="00E7356F">
        <w:rPr>
          <w:rFonts w:ascii="宋体" w:hAnsi="宋体" w:hint="eastAsia"/>
          <w:bCs/>
          <w:sz w:val="24"/>
        </w:rPr>
        <w:t>报告期末前十名股票中存在流通受限情况的说明</w:t>
      </w:r>
    </w:p>
    <w:p w:rsidP="00DF18FE" w:rsidR="00F016DD" w:rsidRDefault="00F016DD" w:rsidRPr="00DF18FE">
      <w:pPr>
        <w:spacing w:line="360" w:lineRule="auto"/>
        <w:ind w:firstLine="480" w:firstLineChars="200"/>
        <w:rPr>
          <w:color w:val="000000"/>
          <w:sz w:val="24"/>
        </w:rPr>
      </w:pPr>
      <w:r w:rsidRPr="00DF18FE">
        <w:rPr>
          <w:color w:val="000000"/>
          <w:sz w:val="24"/>
        </w:rPr>
        <w:lastRenderedPageBreak/>
        <w:t/>
      </w:r>
      <w:proofErr w:type="gramStart"/>
      <w:r w:rsidRPr="00DF18FE">
        <w:rPr>
          <w:color w:val="000000"/>
          <w:sz w:val="24"/>
        </w:rPr>
        <w:t/>
      </w:r>
      <w:proofErr w:type="gramEnd"/>
      <w:r w:rsidRPr="00DF18FE">
        <w:rPr>
          <w:color w:val="000000"/>
          <w:sz w:val="24"/>
        </w:rPr>
        <w:t>本基金本报告期末前十名股票中不存在流通受限情况。</w:t>
      </w:r>
    </w:p>
    <w:p w:rsidP="00B54884" w:rsidR="00F016DD" w:rsidRDefault="00F016DD" w:rsidRPr="0078105B">
      <w:pPr>
        <w:pStyle w:val="1"/>
        <w:spacing w:after="312" w:afterLines="100" w:before="312" w:beforeLines="100" w:line="360" w:lineRule="auto"/>
        <w:jc w:val="center"/>
        <w:rPr>
          <w:rFonts w:ascii="宋体" w:cs="Arial"/>
          <w:color w:val="000000"/>
          <w:kern w:val="0"/>
          <w:sz w:val="24"/>
          <w:szCs w:val="24"/>
        </w:rPr>
      </w:pPr>
      <w:r w:rsidRPr="0078105B">
        <w:rPr>
          <w:rFonts w:ascii="宋体" w:cs="Arial" w:hAnsi="宋体" w:hint="eastAsia"/>
          <w:color w:val="000000"/>
          <w:kern w:val="0"/>
          <w:sz w:val="24"/>
          <w:szCs w:val="24"/>
        </w:rPr>
        <w:t>§</w:t>
      </w:r>
      <w:r w:rsidRPr="0078105B">
        <w:rPr>
          <w:rFonts w:ascii="宋体" w:cs="Arial" w:hAnsi="宋体"/>
          <w:color w:val="000000"/>
          <w:kern w:val="0"/>
          <w:sz w:val="24"/>
          <w:szCs w:val="24"/>
        </w:rPr>
        <w:t xml:space="preserve">6  </w:t>
      </w:r>
      <w:r w:rsidRPr="0078105B">
        <w:rPr>
          <w:rFonts w:ascii="宋体" w:cs="Arial" w:hAnsi="宋体" w:hint="eastAsia"/>
          <w:color w:val="000000"/>
          <w:kern w:val="0"/>
          <w:sz w:val="24"/>
          <w:szCs w:val="24"/>
        </w:rPr>
        <w:t>开放式基金份额变动</w:t>
      </w:r>
    </w:p>
    <w:p w:rsidP="00302187" w:rsidR="00F016DD" w:rsidRDefault="00F016DD" w:rsidRPr="00FA472B">
      <w:pPr>
        <w:autoSpaceDE w:val="0"/>
        <w:autoSpaceDN w:val="0"/>
        <w:adjustRightInd w:val="0"/>
        <w:spacing w:before="29" w:line="288" w:lineRule="auto"/>
        <w:ind w:left="15" w:right="480"/>
        <w:jc w:val="right"/>
        <w:rPr>
          <w:rFonts w:ascii="宋体" w:cs="Arial" w:hAnsi="宋体"/>
          <w:color w:val="000000"/>
          <w:kern w:val="0"/>
          <w:sz w:val="24"/>
        </w:rPr>
      </w:pPr>
      <w:r w:rsidRPr="00FA472B">
        <w:rPr>
          <w:rFonts w:ascii="宋体" w:cs="Arial" w:hAnsi="宋体" w:hint="eastAsia"/>
          <w:color w:val="000000"/>
          <w:kern w:val="0"/>
          <w:sz w:val="24"/>
        </w:rPr>
        <w:t>单位：份</w:t>
      </w:r>
    </w:p>
    <w:tbl>
      <w:tblPr>
        <w:tblW w:type="auto" w:w="0"/>
        <w:tblInd w:type="dxa" w:w="-106"/>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firstColumn="0" w:firstRow="0" w:lastColumn="0" w:lastRow="0" w:noHBand="0" w:noVBand="0" w:val="0000"/>
      </w:tblPr>
      <w:tblGrid>
        <w:gridCol w:w="3900"/>
        <w:gridCol w:w="2367"/>
        <w:gridCol w:w="2367"/>
      </w:tblGrid>
      <w:tr w:rsidR="00F016DD" w:rsidRPr="0078105B" w:rsidTr="0001612A">
        <w:tc>
          <w:tcPr>
            <w:tcW w:type="dxa" w:w="3900"/>
            <w:vAlign w:val="center"/>
          </w:tcPr>
          <w:p w:rsidP="00B84643" w:rsidR="00F016DD" w:rsidRDefault="00F016DD" w:rsidRPr="00FA472B">
            <w:pPr>
              <w:autoSpaceDE w:val="0"/>
              <w:autoSpaceDN w:val="0"/>
              <w:adjustRightInd w:val="0"/>
              <w:spacing w:before="29" w:line="360" w:lineRule="auto"/>
              <w:ind w:left="17"/>
              <w:jc w:val="center"/>
              <w:rPr>
                <w:color w:val="000000"/>
                <w:kern w:val="0"/>
                <w:sz w:val="24"/>
              </w:rPr>
            </w:pPr>
            <w:r w:rsidRPr="00FA472B">
              <w:rPr>
                <w:color w:val="000000"/>
                <w:kern w:val="0"/>
                <w:sz w:val="24"/>
              </w:rPr>
              <w:t>项目</w:t>
            </w:r>
            <w:r w:rsidRPr="00FA472B">
              <w:rPr>
                <w:color w:val="000000"/>
                <w:kern w:val="0"/>
              </w:rPr>
              <w:t/>
            </w:r>
            <w:proofErr w:type="spellStart"/>
            <w:r w:rsidRPr="00FA472B">
              <w:rPr>
                <w:color w:val="000000"/>
                <w:kern w:val="0"/>
              </w:rPr>
              <w:t/>
            </w:r>
            <w:proofErr w:type="spellEnd"/>
            <w:r w:rsidRPr="00FA472B">
              <w:rPr>
                <w:color w:val="000000"/>
                <w:kern w:val="0"/>
              </w:rPr>
              <w:t/>
            </w:r>
          </w:p>
        </w:tc>
        <w:tc>
          <w:tcPr>
            <w:tcW w:type="dxa" w:w="2367"/>
            <w:vAlign w:val="center"/>
          </w:tcPr>
          <w:p w:rsidP="00A1276C" w:rsidR="00F016DD" w:rsidRDefault="00F016DD" w:rsidRPr="00FA472B">
            <w:pPr>
              <w:autoSpaceDE w:val="0"/>
              <w:autoSpaceDN w:val="0"/>
              <w:adjustRightInd w:val="0"/>
              <w:spacing w:before="29" w:line="360" w:lineRule="auto"/>
              <w:ind w:left="17"/>
              <w:jc w:val="right"/>
              <w:rPr>
                <w:color w:val="000000"/>
                <w:sz w:val="24"/>
              </w:rPr>
            </w:pPr>
            <w:r w:rsidRPr="00FA472B">
              <w:rPr>
                <w:color w:val="000000"/>
                <w:kern w:val="0"/>
                <w:sz w:val="24"/>
              </w:rPr>
              <w:t/>
            </w:r>
            <w:proofErr w:type="spellStart"/>
            <w:r w:rsidRPr="00FA472B">
              <w:rPr>
                <w:sz w:val="24"/>
              </w:rPr>
              <w:t/>
            </w:r>
            <w:proofErr w:type="spellEnd"/>
            <w:r w:rsidRPr="00FA472B">
              <w:rPr>
                <w:sz w:val="24"/>
              </w:rPr>
              <w:t>易方达瑞选混合I</w:t>
            </w:r>
          </w:p>
        </w:tc>
        <w:tc>
          <w:tcPr>
            <w:tcW w:type="dxa" w:w="2367"/>
            <w:vAlign w:val="center"/>
          </w:tcPr>
          <w:p w:rsidP="00936D40" w:rsidR="00F016DD" w:rsidRDefault="00F016DD" w:rsidRPr="00FA472B">
            <w:pPr>
              <w:autoSpaceDE w:val="0"/>
              <w:autoSpaceDN w:val="0"/>
              <w:adjustRightInd w:val="0"/>
              <w:spacing w:before="29" w:line="360" w:lineRule="auto"/>
              <w:ind w:left="17"/>
              <w:jc w:val="right"/>
              <w:rPr>
                <w:color w:val="000000"/>
                <w:sz w:val="24"/>
              </w:rPr>
            </w:pPr>
            <w:r w:rsidRPr="00FA472B">
              <w:rPr>
                <w:color w:val="000000"/>
                <w:kern w:val="0"/>
                <w:sz w:val="24"/>
              </w:rPr>
              <w:t/>
            </w:r>
            <w:r w:rsidRPr="00FA472B">
              <w:rPr>
                <w:sz w:val="24"/>
              </w:rPr>
              <w:t>易方达瑞选混合E</w:t>
            </w:r>
          </w:p>
        </w:tc>
      </w:tr>
      <w:tr w:rsidR="00F016DD" w:rsidRPr="0078105B" w:rsidTr="0001612A">
        <w:tc>
          <w:tcPr>
            <w:tcW w:type="dxa" w:w="3900"/>
            <w:vAlign w:val="center"/>
          </w:tcPr>
          <w:p w:rsidP="00A1276C" w:rsidR="00F016DD" w:rsidRDefault="00F016DD" w:rsidRPr="00FA472B">
            <w:pPr>
              <w:autoSpaceDE w:val="0"/>
              <w:autoSpaceDN w:val="0"/>
              <w:adjustRightInd w:val="0"/>
              <w:spacing w:before="29" w:line="360" w:lineRule="auto"/>
              <w:ind w:left="17"/>
              <w:jc w:val="left"/>
              <w:rPr>
                <w:color w:val="000000"/>
                <w:kern w:val="0"/>
                <w:sz w:val="24"/>
              </w:rPr>
            </w:pPr>
            <w:r w:rsidRPr="00FA472B">
              <w:rPr>
                <w:color w:val="000000"/>
                <w:kern w:val="0"/>
                <w:sz w:val="24"/>
              </w:rPr>
              <w:t>报告期期</w:t>
            </w:r>
            <w:proofErr w:type="gramStart"/>
            <w:r w:rsidRPr="00FA472B">
              <w:rPr>
                <w:color w:val="000000"/>
                <w:kern w:val="0"/>
                <w:sz w:val="24"/>
              </w:rPr>
              <w:t>初基金</w:t>
            </w:r>
            <w:proofErr w:type="gramEnd"/>
            <w:r w:rsidRPr="00FA472B">
              <w:rPr>
                <w:color w:val="000000"/>
                <w:kern w:val="0"/>
                <w:sz w:val="24"/>
              </w:rPr>
              <w:t>份额总额</w:t>
            </w:r>
          </w:p>
        </w:tc>
        <w:tc>
          <w:tcPr>
            <w:tcW w:type="dxa" w:w="2367"/>
            <w:vAlign w:val="center"/>
          </w:tcPr>
          <w:p w:rsidP="00A1276C"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766,026,799.98</w:t>
            </w:r>
          </w:p>
        </w:tc>
        <w:tc>
          <w:tcPr>
            <w:tcW w:type="dxa" w:w="2367"/>
            <w:vAlign w:val="center"/>
          </w:tcPr>
          <w:p w:rsidP="00936D40"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33,903,456.32</w:t>
            </w:r>
          </w:p>
        </w:tc>
      </w:tr>
      <w:tr w:rsidR="00F016DD" w:rsidRPr="0078105B" w:rsidTr="0001612A">
        <w:tc>
          <w:tcPr>
            <w:tcW w:type="dxa" w:w="3900"/>
            <w:vAlign w:val="center"/>
          </w:tcPr>
          <w:p w:rsidP="00A1276C" w:rsidR="00F016DD" w:rsidRDefault="00F016DD" w:rsidRPr="00FA472B">
            <w:pPr>
              <w:autoSpaceDE w:val="0"/>
              <w:autoSpaceDN w:val="0"/>
              <w:adjustRightInd w:val="0"/>
              <w:spacing w:before="29" w:line="360" w:lineRule="auto"/>
              <w:ind w:left="17"/>
              <w:jc w:val="lef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报告期</w:t>
            </w:r>
            <w:r w:rsidRPr="00FA472B">
              <w:rPr>
                <w:color w:val="000000"/>
                <w:kern w:val="0"/>
                <w:sz w:val="24"/>
              </w:rPr>
              <w:t>基金总申购份额</w:t>
            </w:r>
          </w:p>
        </w:tc>
        <w:tc>
          <w:tcPr>
            <w:tcW w:type="dxa" w:w="2367"/>
            <w:vAlign w:val="center"/>
          </w:tcPr>
          <w:p w:rsidP="00A1276C"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100,128,401.98</w:t>
            </w:r>
          </w:p>
        </w:tc>
        <w:tc>
          <w:tcPr>
            <w:tcW w:type="dxa" w:w="2367"/>
            <w:vAlign w:val="center"/>
          </w:tcPr>
          <w:p w:rsidP="00936D40"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74,814,110.05</w:t>
            </w:r>
          </w:p>
        </w:tc>
      </w:tr>
      <w:tr w:rsidR="00F016DD" w:rsidRPr="0078105B" w:rsidTr="0001612A">
        <w:tc>
          <w:tcPr>
            <w:tcW w:type="dxa" w:w="3900"/>
            <w:vAlign w:val="center"/>
          </w:tcPr>
          <w:p w:rsidP="00A1276C" w:rsidR="00F016DD" w:rsidRDefault="00F016DD" w:rsidRPr="00FA472B">
            <w:pPr>
              <w:autoSpaceDE w:val="0"/>
              <w:autoSpaceDN w:val="0"/>
              <w:adjustRightInd w:val="0"/>
              <w:spacing w:before="29" w:line="360" w:lineRule="auto"/>
              <w:ind w:left="17"/>
              <w:jc w:val="left"/>
              <w:rPr>
                <w:color w:val="000000"/>
                <w:kern w:val="0"/>
                <w:sz w:val="24"/>
              </w:rPr>
            </w:pPr>
            <w:r w:rsidRPr="00FA472B">
              <w:rPr>
                <w:color w:val="000000"/>
                <w:kern w:val="0"/>
                <w:sz w:val="24"/>
              </w:rPr>
              <w:t>减：</w:t>
            </w:r>
            <w:r w:rsidRPr="00FA472B">
              <w:rPr>
                <w:color w:val="000000"/>
                <w:kern w:val="0"/>
                <w:sz w:val="24"/>
              </w:rPr>
              <w:t/>
            </w:r>
            <w:proofErr w:type="spellStart"/>
            <w:r w:rsidRPr="00FA472B">
              <w:rPr>
                <w:color w:val="000000"/>
                <w:kern w:val="0"/>
                <w:sz w:val="24"/>
              </w:rPr>
              <w:t/>
            </w:r>
            <w:proofErr w:type="spellEnd"/>
            <w:r w:rsidRPr="00FA472B">
              <w:rPr>
                <w:color w:val="000000"/>
                <w:kern w:val="0"/>
                <w:sz w:val="24"/>
              </w:rPr>
              <w:t>报告期</w:t>
            </w:r>
            <w:r w:rsidRPr="00FA472B">
              <w:rPr>
                <w:color w:val="000000"/>
                <w:kern w:val="0"/>
                <w:sz w:val="24"/>
              </w:rPr>
              <w:t>基金总赎回份额</w:t>
            </w:r>
          </w:p>
        </w:tc>
        <w:tc>
          <w:tcPr>
            <w:tcW w:type="dxa" w:w="2367"/>
            <w:vAlign w:val="center"/>
          </w:tcPr>
          <w:p w:rsidP="00A1276C"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154,480,139.36</w:t>
            </w:r>
          </w:p>
        </w:tc>
        <w:tc>
          <w:tcPr>
            <w:tcW w:type="dxa" w:w="2367"/>
            <w:vAlign w:val="center"/>
          </w:tcPr>
          <w:p w:rsidP="00936D40"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2,445,586.88</w:t>
            </w:r>
          </w:p>
        </w:tc>
      </w:tr>
      <w:tr w:rsidR="00F016DD" w:rsidRPr="0078105B" w:rsidTr="0001612A">
        <w:tc>
          <w:tcPr>
            <w:tcW w:type="dxa" w:w="3900"/>
            <w:vAlign w:val="center"/>
          </w:tcPr>
          <w:p w:rsidP="00A1276C" w:rsidR="00F016DD" w:rsidRDefault="00F016DD" w:rsidRPr="00FA472B">
            <w:pPr>
              <w:autoSpaceDE w:val="0"/>
              <w:autoSpaceDN w:val="0"/>
              <w:adjustRightInd w:val="0"/>
              <w:spacing w:before="29" w:line="360" w:lineRule="auto"/>
              <w:ind w:left="17"/>
              <w:jc w:val="lef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报告期</w:t>
            </w:r>
            <w:r w:rsidRPr="00FA472B">
              <w:rPr>
                <w:color w:val="000000"/>
                <w:kern w:val="0"/>
                <w:sz w:val="24"/>
              </w:rPr>
              <w:t>基金拆分变动份额</w:t>
            </w:r>
            <w:r w:rsidR="009533AD" w:rsidRPr="009533AD">
              <w:rPr>
                <w:rFonts w:hint="eastAsia"/>
                <w:color w:val="000000"/>
                <w:kern w:val="0"/>
                <w:sz w:val="24"/>
              </w:rPr>
              <w:t>（份额减少以“</w:t>
            </w:r>
            <w:r w:rsidR="009533AD" w:rsidRPr="009533AD">
              <w:rPr>
                <w:rFonts w:hint="eastAsia"/>
                <w:color w:val="000000"/>
                <w:kern w:val="0"/>
                <w:sz w:val="24"/>
              </w:rPr>
              <w:t>-</w:t>
            </w:r>
            <w:r w:rsidR="009533AD" w:rsidRPr="009533AD">
              <w:rPr>
                <w:rFonts w:hint="eastAsia"/>
                <w:color w:val="000000"/>
                <w:kern w:val="0"/>
                <w:sz w:val="24"/>
              </w:rPr>
              <w:t>”填列）</w:t>
            </w:r>
          </w:p>
        </w:tc>
        <w:tc>
          <w:tcPr>
            <w:tcW w:type="dxa" w:w="2367"/>
            <w:vAlign w:val="center"/>
          </w:tcPr>
          <w:p w:rsidP="00A1276C"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w:t>
            </w:r>
          </w:p>
        </w:tc>
        <w:tc>
          <w:tcPr>
            <w:tcW w:type="dxa" w:w="2367"/>
            <w:vAlign w:val="center"/>
          </w:tcPr>
          <w:p w:rsidP="00936D40"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w:t>
            </w:r>
          </w:p>
        </w:tc>
      </w:tr>
      <w:tr w:rsidR="00F016DD" w:rsidRPr="0078105B" w:rsidTr="0001612A">
        <w:tc>
          <w:tcPr>
            <w:tcW w:type="dxa" w:w="3900"/>
            <w:vAlign w:val="center"/>
          </w:tcPr>
          <w:p w:rsidP="00A1276C" w:rsidR="00F016DD" w:rsidRDefault="00F016DD" w:rsidRPr="00FA472B">
            <w:pPr>
              <w:autoSpaceDE w:val="0"/>
              <w:autoSpaceDN w:val="0"/>
              <w:adjustRightInd w:val="0"/>
              <w:spacing w:before="29" w:line="360" w:lineRule="auto"/>
              <w:ind w:left="17"/>
              <w:jc w:val="left"/>
              <w:rPr>
                <w:color w:val="000000"/>
                <w:kern w:val="0"/>
                <w:sz w:val="24"/>
              </w:rPr>
            </w:pPr>
            <w:r w:rsidRPr="00FA472B">
              <w:rPr>
                <w:color w:val="000000"/>
                <w:kern w:val="0"/>
                <w:sz w:val="24"/>
              </w:rPr>
              <w:t>报告期期末基金份额总额</w:t>
            </w:r>
          </w:p>
        </w:tc>
        <w:tc>
          <w:tcPr>
            <w:tcW w:type="dxa" w:w="2367"/>
            <w:vAlign w:val="center"/>
          </w:tcPr>
          <w:p w:rsidP="00B57BCF"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r w:rsidRPr="00FA472B">
              <w:rPr>
                <w:color w:val="000000"/>
                <w:sz w:val="24"/>
              </w:rPr>
              <w:lastRenderedPageBreak/>
              <w:t/>
            </w:r>
            <w:proofErr w:type="spellEnd"/>
            <w:r w:rsidRPr="00FA472B">
              <w:rPr>
                <w:color w:val="000000"/>
                <w:sz w:val="24"/>
              </w:rPr>
              <w:t>711,675,062.60</w:t>
            </w:r>
          </w:p>
        </w:tc>
        <w:tc>
          <w:tcPr>
            <w:tcW w:type="dxa" w:w="2367"/>
            <w:vAlign w:val="center"/>
          </w:tcPr>
          <w:p w:rsidP="00936D40"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lastRenderedPageBreak/>
              <w:t/>
            </w:r>
            <w:r w:rsidRPr="00FA472B">
              <w:rPr>
                <w:color w:val="000000"/>
                <w:sz w:val="24"/>
              </w:rPr>
              <w:lastRenderedPageBreak/>
              <w:t>106,271,979.49</w:t>
            </w:r>
          </w:p>
        </w:tc>
      </w:tr>
    </w:tbl>
    <w:p w:rsidP="00B54884" w:rsidR="00F016DD" w:rsidRDefault="00F016DD">
      <w:pPr>
        <w:pStyle w:val="1"/>
        <w:tabs>
          <w:tab w:pos="4156" w:val="center"/>
          <w:tab w:pos="8312" w:val="right"/>
        </w:tabs>
        <w:spacing w:after="312" w:afterLines="100" w:before="312" w:beforeLines="100" w:line="360" w:lineRule="auto"/>
        <w:jc w:val="center"/>
        <w:rPr>
          <w:rFonts w:ascii="方正仿宋简体"/>
          <w:sz w:val="24"/>
          <w:szCs w:val="24"/>
        </w:rPr>
      </w:pPr>
      <w:r w:rsidRPr="00AB67DE">
        <w:rPr>
          <w:rFonts w:ascii="宋体"/>
          <w:color w:val="000000"/>
          <w:kern w:val="0"/>
          <w:sz w:val="24"/>
          <w:szCs w:val="24"/>
        </w:rPr>
        <w:t/>
      </w:r>
      <w:proofErr w:type="spellStart"/>
      <w:r w:rsidRPr="00AB67DE">
        <w:rPr>
          <w:rFonts w:ascii="宋体" w:hAnsi="宋体"/>
          <w:color w:val="000000"/>
          <w:kern w:val="0"/>
          <w:sz w:val="24"/>
          <w:szCs w:val="24"/>
        </w:rPr>
        <w:t/>
      </w:r>
      <w:proofErr w:type="spellEnd"/>
      <w:r w:rsidRPr="00AB67DE">
        <w:rPr>
          <w:rFonts w:ascii="宋体" w:hAnsi="宋体"/>
          <w:color w:val="000000"/>
          <w:kern w:val="0"/>
          <w:sz w:val="24"/>
          <w:szCs w:val="24"/>
        </w:rPr>
        <w:t/>
      </w:r>
      <w:r w:rsidRPr="00AB67DE">
        <w:rPr>
          <w:rFonts w:ascii="宋体" w:cs="Arial" w:hAnsi="宋体" w:hint="eastAsia"/>
          <w:color w:val="000000"/>
          <w:kern w:val="0"/>
          <w:sz w:val="24"/>
          <w:szCs w:val="24"/>
        </w:rPr>
        <w:t>§</w:t>
      </w:r>
      <w:r>
        <w:rPr>
          <w:rFonts w:ascii="宋体" w:cs="Arial"/>
          <w:color w:val="000000"/>
          <w:kern w:val="0"/>
          <w:sz w:val="24"/>
          <w:szCs w:val="24"/>
        </w:rPr>
        <w:t/>
      </w:r>
      <w:r>
        <w:rPr>
          <w:rFonts w:ascii="宋体" w:cs="Arial" w:hAnsi="宋体"/>
          <w:color w:val="000000"/>
          <w:kern w:val="0"/>
          <w:sz w:val="24"/>
          <w:szCs w:val="24"/>
        </w:rPr>
        <w:t/>
      </w:r>
      <w:r w:rsidRPr="00AB67DE">
        <w:rPr>
          <w:rFonts w:ascii="宋体" w:cs="Arial"/>
          <w:color w:val="000000"/>
          <w:kern w:val="0"/>
          <w:sz w:val="24"/>
          <w:szCs w:val="24"/>
        </w:rPr>
        <w:t>7</w:t>
      </w:r>
      <w:r w:rsidR="0066098B" w:rsidRPr="0078105B">
        <w:rPr>
          <w:rFonts w:ascii="宋体" w:cs="Arial" w:hAnsi="宋体"/>
          <w:color w:val="000000"/>
          <w:kern w:val="0"/>
          <w:sz w:val="24"/>
          <w:szCs w:val="24"/>
        </w:rPr>
        <w:t xml:space="preserve">  </w:t>
      </w:r>
      <w:r w:rsidRPr="0016464C">
        <w:rPr>
          <w:rFonts w:ascii="方正仿宋简体" w:hint="eastAsia"/>
          <w:sz w:val="24"/>
          <w:szCs w:val="24"/>
        </w:rPr>
        <w:t>基金管理人运用</w:t>
      </w:r>
      <w:proofErr w:type="gramStart"/>
      <w:r w:rsidRPr="0016464C">
        <w:rPr>
          <w:rFonts w:ascii="方正仿宋简体" w:hint="eastAsia"/>
          <w:sz w:val="24"/>
          <w:szCs w:val="24"/>
        </w:rPr>
        <w:t>固有资金</w:t>
      </w:r>
      <w:proofErr w:type="gramEnd"/>
      <w:r w:rsidRPr="0016464C">
        <w:rPr>
          <w:rFonts w:ascii="方正仿宋简体" w:hint="eastAsia"/>
          <w:sz w:val="24"/>
          <w:szCs w:val="24"/>
        </w:rPr>
        <w:t>投资本基金情况</w:t>
      </w:r>
    </w:p>
    <w:p w:rsidP="00935FB1" w:rsidR="00F016DD" w:rsidRDefault="00F016DD" w:rsidRPr="00B76BBB">
      <w:pPr>
        <w:spacing w:line="360" w:lineRule="auto"/>
        <w:jc w:val="left"/>
        <w:rPr>
          <w:sz w:val="24"/>
        </w:rPr>
      </w:pPr>
      <w:r w:rsidRPr="00297260">
        <w:rPr>
          <w:b/>
          <w:sz w:val="24"/>
        </w:rPr>
        <w:t/>
      </w:r>
      <w:proofErr w:type="spellStart"/>
      <w:r w:rsidRPr="00297260">
        <w:rPr>
          <w:b/>
          <w:sz w:val="24"/>
        </w:rPr>
        <w:t/>
      </w:r>
      <w:proofErr w:type="spellEnd"/>
      <w:r w:rsidRPr="00297260">
        <w:rPr>
          <w:b/>
          <w:sz w:val="24"/>
        </w:rPr>
        <w:t/>
      </w:r>
      <w:r>
        <w:rPr>
          <w:b/>
          <w:sz w:val="24"/>
        </w:rPr>
        <w:t/>
      </w:r>
      <w:proofErr w:type="gramStart"/>
      <w:r>
        <w:rPr>
          <w:b/>
          <w:sz w:val="24"/>
        </w:rPr>
        <w:t/>
      </w:r>
      <w:proofErr w:type="gramEnd"/>
      <w:r>
        <w:rPr>
          <w:b/>
          <w:sz w:val="24"/>
        </w:rPr>
        <w:t xml:space="preserve">7.1 </w:t>
      </w:r>
      <w:r>
        <w:rPr>
          <w:rFonts w:hint="eastAsia"/>
          <w:b/>
          <w:sz w:val="24"/>
        </w:rPr>
        <w:t>基</w:t>
      </w:r>
      <w:r w:rsidRPr="00B404F1">
        <w:rPr>
          <w:rFonts w:hint="eastAsia"/>
          <w:b/>
          <w:sz w:val="24"/>
        </w:rPr>
        <w:t>金管理人持有本基金份额变动情况</w:t>
      </w:r>
    </w:p>
    <w:p w:rsidP="00DF18FE" w:rsidR="00F016DD" w:rsidRDefault="00CC78C7" w:rsidRPr="00DF18FE">
      <w:pPr>
        <w:spacing w:line="360" w:lineRule="auto"/>
        <w:ind w:firstLine="480" w:firstLineChars="200"/>
        <w:rPr>
          <w:color w:val="000000"/>
          <w:sz w:val="24"/>
        </w:rPr>
      </w:pPr>
      <w:r w:rsidRPr="00DF18FE">
        <w:rPr>
          <w:color w:val="000000"/>
          <w:sz w:val="24"/>
        </w:rPr>
        <w:t/>
      </w:r>
      <w:r w:rsidRPr="00EA6415">
        <w:rPr>
          <w:color w:val="000000"/>
          <w:sz w:val="24"/>
        </w:rPr>
        <w:t/>
      </w:r>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本报告期内基金管理人未持有本基金份额。</w:t>
      </w:r>
    </w:p>
    <w:p w:rsidP="00935FB1" w:rsidR="00F016DD" w:rsidRDefault="00F016DD" w:rsidRPr="00B76BBB">
      <w:pPr>
        <w:spacing w:line="360" w:lineRule="auto"/>
        <w:jc w:val="left"/>
        <w:rPr>
          <w:sz w:val="24"/>
        </w:rPr>
      </w:pPr>
      <w:r w:rsidRPr="00297260">
        <w:rPr>
          <w:b/>
          <w:sz w:val="24"/>
        </w:rPr>
        <w:t/>
      </w:r>
      <w:proofErr w:type="spellStart"/>
      <w:r w:rsidRPr="00297260">
        <w:rPr>
          <w:b/>
          <w:sz w:val="24"/>
        </w:rPr>
        <w:t/>
      </w:r>
      <w:proofErr w:type="spellEnd"/>
      <w:r w:rsidRPr="00297260">
        <w:rPr>
          <w:b/>
          <w:sz w:val="24"/>
        </w:rPr>
        <w:t/>
      </w:r>
      <w:r>
        <w:rPr>
          <w:b/>
          <w:sz w:val="24"/>
        </w:rPr>
        <w:t/>
      </w:r>
      <w:proofErr w:type="gramStart"/>
      <w:r>
        <w:rPr>
          <w:b/>
          <w:sz w:val="24"/>
        </w:rPr>
        <w:t/>
      </w:r>
      <w:proofErr w:type="gramEnd"/>
      <w:r>
        <w:rPr>
          <w:b/>
          <w:sz w:val="24"/>
        </w:rPr>
        <w:t xml:space="preserve">7.2 </w:t>
      </w:r>
      <w:r>
        <w:rPr>
          <w:rFonts w:hint="eastAsia"/>
          <w:b/>
          <w:sz w:val="24"/>
        </w:rPr>
        <w:t>基</w:t>
      </w:r>
      <w:r w:rsidRPr="00B404F1">
        <w:rPr>
          <w:rFonts w:hint="eastAsia"/>
          <w:b/>
          <w:sz w:val="24"/>
        </w:rPr>
        <w:t>金管理人运用固有资金投资本基金交易明细</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r w:rsidRPr="00DF18FE">
        <w:rPr>
          <w:color w:val="000000"/>
          <w:sz w:val="24"/>
        </w:rPr>
        <w:t/>
      </w:r>
      <w:proofErr w:type="spellEnd"/>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本报告期内基金管理人未运用固有资金申购、赎回、买卖本基金份额。</w:t>
      </w:r>
    </w:p>
    <w:p w:rsidP="00997454" w:rsidR="00997454" w:rsidRDefault="00997454" w:rsidRPr="00B75F09">
      <w:pPr>
        <w:pStyle w:val="1"/>
        <w:spacing w:after="312" w:afterLines="100" w:before="312" w:beforeLines="100" w:line="360" w:lineRule="auto"/>
        <w:jc w:val="center"/>
        <w:rPr>
          <w:rFonts w:ascii="宋体" w:cs="Arial" w:hAnsi="宋体"/>
          <w:color w:val="000000"/>
          <w:kern w:val="0"/>
          <w:sz w:val="24"/>
          <w:szCs w:val="24"/>
        </w:rPr>
      </w:pPr>
      <w:r w:rsidRPr="00B75F09">
        <w:rPr>
          <w:rFonts w:ascii="宋体" w:cs="Arial" w:hAnsi="宋体"/>
          <w:color w:val="000000"/>
          <w:kern w:val="0"/>
          <w:sz w:val="24"/>
          <w:szCs w:val="24"/>
        </w:rPr>
        <w:t/>
      </w:r>
      <w:proofErr w:type="spellStart"/>
      <w:r w:rsidRPr="00B75F09">
        <w:rPr>
          <w:rFonts w:ascii="宋体" w:cs="Arial" w:hAnsi="宋体"/>
          <w:color w:val="000000"/>
          <w:kern w:val="0"/>
          <w:sz w:val="24"/>
          <w:szCs w:val="24"/>
        </w:rPr>
        <w:t/>
      </w:r>
      <w:proofErr w:type="spellEnd"/>
      <w:r w:rsidRPr="00B75F09">
        <w:rPr>
          <w:rFonts w:ascii="宋体" w:cs="Arial" w:hAnsi="宋体"/>
          <w:color w:val="000000"/>
          <w:kern w:val="0"/>
          <w:sz w:val="24"/>
          <w:szCs w:val="24"/>
        </w:rPr>
        <w:t>§8</w:t>
      </w:r>
      <w:r w:rsidR="0066098B" w:rsidRPr="0078105B">
        <w:rPr>
          <w:rFonts w:ascii="宋体" w:cs="Arial" w:hAnsi="宋体"/>
          <w:color w:val="000000"/>
          <w:kern w:val="0"/>
          <w:sz w:val="24"/>
          <w:szCs w:val="24"/>
        </w:rPr>
        <w:t xml:space="preserve">  </w:t>
      </w:r>
      <w:r w:rsidRPr="00B75F09">
        <w:rPr>
          <w:rFonts w:ascii="宋体" w:cs="Arial" w:hAnsi="宋体"/>
          <w:color w:val="000000"/>
          <w:kern w:val="0"/>
          <w:sz w:val="24"/>
          <w:szCs w:val="24"/>
        </w:rPr>
        <w:t>影响投资者决策的其他重要信息</w:t>
      </w:r>
    </w:p>
    <w:p w:rsidP="00575C75" w:rsidR="00575C75" w:rsidRDefault="00575C75" w:rsidRPr="001F5F5D">
      <w:pPr>
        <w:autoSpaceDE w:val="0"/>
        <w:autoSpaceDN w:val="0"/>
        <w:adjustRightInd w:val="0"/>
        <w:spacing w:line="360" w:lineRule="auto"/>
        <w:jc w:val="left"/>
        <w:rPr>
          <w:rFonts w:ascii="宋体"/>
          <w:b/>
          <w:bCs/>
          <w:color w:val="000000"/>
          <w:kern w:val="0"/>
          <w:sz w:val="24"/>
        </w:rPr>
      </w:pPr>
      <w:r w:rsidRPr="001F5F5D">
        <w:rPr>
          <w:rFonts w:ascii="宋体"/>
          <w:b/>
          <w:bCs/>
          <w:color w:val="000000"/>
          <w:kern w:val="0"/>
          <w:sz w:val="24"/>
        </w:rPr>
        <w:t/>
      </w:r>
      <w:proofErr w:type="spellStart"/>
      <w:r w:rsidRPr="001F5F5D">
        <w:rPr>
          <w:rFonts w:ascii="宋体"/>
          <w:b/>
          <w:bCs/>
          <w:color w:val="000000"/>
          <w:kern w:val="0"/>
          <w:sz w:val="24"/>
        </w:rPr>
        <w:t/>
      </w:r>
      <w:proofErr w:type="spellEnd"/>
      <w:r w:rsidRPr="001F5F5D">
        <w:rPr>
          <w:rFonts w:ascii="宋体"/>
          <w:b/>
          <w:bCs/>
          <w:color w:val="000000"/>
          <w:kern w:val="0"/>
          <w:sz w:val="24"/>
        </w:rPr>
        <w:t/>
      </w:r>
      <w:proofErr w:type="gramStart"/>
      <w:r w:rsidRPr="001F5F5D">
        <w:rPr>
          <w:rFonts w:ascii="宋体"/>
          <w:b/>
          <w:bCs/>
          <w:color w:val="000000"/>
          <w:kern w:val="0"/>
          <w:sz w:val="24"/>
        </w:rPr>
        <w:t/>
      </w:r>
      <w:proofErr w:type="gramEnd"/>
      <w:r w:rsidRPr="001F5F5D">
        <w:rPr>
          <w:rFonts w:ascii="宋体"/>
          <w:b/>
          <w:bCs/>
          <w:color w:val="000000"/>
          <w:kern w:val="0"/>
          <w:sz w:val="24"/>
        </w:rPr>
        <w:t>8.1 报告期内单一投资者持有基金份额比例达到或超过20%的情况</w:t>
      </w:r>
    </w:p>
    <w:tbl>
      <w:tblPr>
        <w:tblStyle w:val="af2"/>
        <w:tblW w:type="dxa" w:w="9640"/>
        <w:jc w:val="center"/>
        <w:tblLayout w:type="fixed"/>
        <w:tblLook w:firstColumn="1" w:firstRow="1" w:lastColumn="0" w:lastRow="0" w:noHBand="0" w:noVBand="1" w:val="04A0"/>
      </w:tblPr>
      <w:tblGrid>
        <w:gridCol w:w="709"/>
        <w:gridCol w:w="709"/>
        <w:gridCol w:w="2126"/>
        <w:gridCol w:w="1276"/>
        <w:gridCol w:w="1276"/>
        <w:gridCol w:w="1276"/>
        <w:gridCol w:w="1417"/>
        <w:gridCol w:w="851"/>
      </w:tblGrid>
      <w:tr w:rsidR="00575C75" w:rsidRPr="00FC0759" w:rsidTr="00CD72D6">
        <w:trPr>
          <w:jc w:val="center"/>
        </w:trPr>
        <w:tc>
          <w:tcPr>
            <w:tcW w:type="dxa" w:w="709"/>
            <w:vMerge w:val="restart"/>
            <w:vAlign w:val="center"/>
          </w:tcPr>
          <w:p w:rsidP="00CD72D6" w:rsidR="00575C75" w:rsidRDefault="00575C75" w:rsidRPr="00FC0759">
            <w:pPr>
              <w:autoSpaceDE w:val="0"/>
              <w:autoSpaceDN w:val="0"/>
              <w:adjustRightInd w:val="0"/>
              <w:jc w:val="center"/>
              <w:rPr>
                <w:rFonts w:eastAsiaTheme="minorEastAsia"/>
                <w:b/>
                <w:bCs/>
                <w:color w:themeColor="text1" w:val="000000"/>
                <w:sz w:val="24"/>
              </w:rPr>
            </w:pPr>
            <w:r w:rsidRPr="00FC0759">
              <w:rPr>
                <w:color w:val="000000"/>
                <w:sz w:val="24"/>
              </w:rPr>
              <w:t>投资者类别</w:t>
            </w:r>
            <w:r w:rsidRPr="00FC0759">
              <w:rPr>
                <w:rFonts w:eastAsia="仿宋"/>
                <w:color w:themeColor="text1" w:val="000000"/>
                <w:sz w:val="24"/>
              </w:rPr>
              <w:t/>
            </w:r>
            <w:proofErr w:type="spellStart"/>
            <w:r w:rsidRPr="00FC0759">
              <w:rPr>
                <w:rFonts w:eastAsia="仿宋"/>
                <w:color w:themeColor="text1" w:val="000000"/>
                <w:sz w:val="24"/>
              </w:rPr>
              <w:t/>
            </w:r>
            <w:proofErr w:type="spellEnd"/>
            <w:r w:rsidRPr="00FC0759">
              <w:rPr>
                <w:rFonts w:eastAsia="仿宋"/>
                <w:color w:themeColor="text1" w:val="000000"/>
                <w:sz w:val="24"/>
              </w:rPr>
              <w:t/>
            </w:r>
            <w:proofErr w:type="spellStart"/>
            <w:r w:rsidRPr="00FC0759">
              <w:rPr>
                <w:rFonts w:eastAsia="仿宋"/>
                <w:color w:themeColor="text1" w:val="000000"/>
                <w:sz w:val="24"/>
              </w:rPr>
              <w:t/>
            </w:r>
            <w:proofErr w:type="spellEnd"/>
            <w:r w:rsidRPr="00FC0759">
              <w:rPr>
                <w:rFonts w:eastAsia="仿宋"/>
                <w:color w:themeColor="text1" w:val="000000"/>
                <w:sz w:val="24"/>
              </w:rPr>
              <w:t/>
            </w:r>
          </w:p>
        </w:tc>
        <w:tc>
          <w:tcPr>
            <w:tcW w:type="dxa" w:w="6663"/>
            <w:gridSpan w:val="5"/>
            <w:vAlign w:val="center"/>
          </w:tcPr>
          <w:p w:rsidP="00CD72D6" w:rsidR="00575C75" w:rsidRDefault="00575C75" w:rsidRPr="00FC0759">
            <w:pPr>
              <w:autoSpaceDE w:val="0"/>
              <w:autoSpaceDN w:val="0"/>
              <w:adjustRightInd w:val="0"/>
              <w:ind w:firstLine="1126"/>
              <w:jc w:val="center"/>
              <w:rPr>
                <w:rFonts w:eastAsiaTheme="minorEastAsia"/>
                <w:b/>
                <w:bCs/>
                <w:color w:themeColor="text1" w:val="000000"/>
                <w:sz w:val="24"/>
              </w:rPr>
            </w:pPr>
            <w:r w:rsidRPr="00FC0759">
              <w:rPr>
                <w:color w:val="000000"/>
                <w:sz w:val="24"/>
              </w:rPr>
              <w:t>报告期内持有基金份额变化情况</w:t>
            </w:r>
          </w:p>
        </w:tc>
        <w:tc>
          <w:tcPr>
            <w:tcW w:type="dxa" w:w="2268"/>
            <w:gridSpan w:val="2"/>
            <w:vAlign w:val="center"/>
          </w:tcPr>
          <w:p w:rsidP="00CD72D6" w:rsidR="00575C75" w:rsidRDefault="00575C75" w:rsidRPr="00FC0759">
            <w:pPr>
              <w:autoSpaceDE w:val="0"/>
              <w:autoSpaceDN w:val="0"/>
              <w:adjustRightInd w:val="0"/>
              <w:jc w:val="center"/>
              <w:rPr>
                <w:rFonts w:eastAsiaTheme="minorEastAsia"/>
                <w:b/>
                <w:bCs/>
                <w:color w:themeColor="text1" w:val="000000"/>
                <w:sz w:val="24"/>
              </w:rPr>
            </w:pPr>
            <w:r w:rsidRPr="00FC0759">
              <w:rPr>
                <w:color w:val="000000"/>
                <w:sz w:val="24"/>
              </w:rPr>
              <w:t>报告期末持有基金情况</w:t>
            </w:r>
          </w:p>
        </w:tc>
      </w:tr>
      <w:tr w:rsidR="00575C75" w:rsidRPr="00FC0759" w:rsidTr="00CD72D6">
        <w:trPr>
          <w:jc w:val="center"/>
        </w:trPr>
        <w:tc>
          <w:tcPr>
            <w:tcW w:type="dxa" w:w="709"/>
            <w:vMerge/>
            <w:vAlign w:val="center"/>
          </w:tcPr>
          <w:p w:rsidP="00CD72D6" w:rsidR="00575C75" w:rsidRDefault="00575C75" w:rsidRPr="00FC0759">
            <w:pPr>
              <w:autoSpaceDE w:val="0"/>
              <w:autoSpaceDN w:val="0"/>
              <w:adjustRightInd w:val="0"/>
              <w:ind w:firstLine="1234"/>
              <w:jc w:val="center"/>
              <w:rPr>
                <w:rFonts w:eastAsiaTheme="minorEastAsia"/>
                <w:b/>
                <w:bCs/>
                <w:color w:themeColor="text1" w:val="000000"/>
                <w:sz w:val="24"/>
              </w:rPr>
            </w:pPr>
          </w:p>
        </w:tc>
        <w:tc>
          <w:tcPr>
            <w:tcW w:type="dxa" w:w="709"/>
            <w:vAlign w:val="center"/>
          </w:tcPr>
          <w:p w:rsidP="00CD72D6" w:rsidR="00575C75" w:rsidRDefault="00575C75" w:rsidRPr="00FC0759">
            <w:pPr>
              <w:autoSpaceDE w:val="0"/>
              <w:autoSpaceDN w:val="0"/>
              <w:adjustRightInd w:val="0"/>
              <w:jc w:val="center"/>
              <w:rPr>
                <w:rFonts w:eastAsiaTheme="minorEastAsia"/>
                <w:b/>
                <w:bCs/>
                <w:color w:themeColor="text1" w:val="000000"/>
                <w:sz w:val="24"/>
              </w:rPr>
            </w:pPr>
            <w:r w:rsidRPr="00FC0759">
              <w:rPr>
                <w:color w:val="000000"/>
                <w:sz w:val="24"/>
              </w:rPr>
              <w:t>序号</w:t>
            </w:r>
          </w:p>
        </w:tc>
        <w:tc>
          <w:tcPr>
            <w:tcW w:type="dxa" w:w="2126"/>
            <w:vAlign w:val="center"/>
          </w:tcPr>
          <w:p w:rsidP="00CD72D6" w:rsidR="00575C75" w:rsidRDefault="00575C75" w:rsidRPr="00FC0759">
            <w:pPr>
              <w:autoSpaceDE w:val="0"/>
              <w:autoSpaceDN w:val="0"/>
              <w:adjustRightInd w:val="0"/>
              <w:jc w:val="center"/>
              <w:rPr>
                <w:rFonts w:eastAsiaTheme="minorEastAsia"/>
                <w:b/>
                <w:bCs/>
                <w:color w:themeColor="text1" w:val="000000"/>
                <w:sz w:val="24"/>
              </w:rPr>
            </w:pPr>
            <w:r w:rsidRPr="00FC0759">
              <w:rPr>
                <w:color w:val="000000"/>
                <w:sz w:val="24"/>
              </w:rPr>
              <w:t>持有基金份额比例达到或者超过</w:t>
            </w:r>
            <w:r w:rsidRPr="00FC0759">
              <w:rPr>
                <w:color w:val="000000"/>
                <w:sz w:val="24"/>
              </w:rPr>
              <w:t>20%</w:t>
            </w:r>
            <w:r w:rsidRPr="00FC0759">
              <w:rPr>
                <w:color w:val="000000"/>
                <w:sz w:val="24"/>
              </w:rPr>
              <w:t>的时间区间</w:t>
            </w:r>
          </w:p>
        </w:tc>
        <w:tc>
          <w:tcPr>
            <w:tcW w:type="dxa" w:w="1276"/>
            <w:vAlign w:val="center"/>
          </w:tcPr>
          <w:p w:rsidP="00CD72D6" w:rsidR="00575C75" w:rsidRDefault="00575C75" w:rsidRPr="00FC0759">
            <w:pPr>
              <w:widowControl/>
              <w:rPr>
                <w:rFonts w:eastAsiaTheme="minorEastAsia"/>
                <w:b/>
                <w:bCs/>
                <w:color w:themeColor="text1" w:val="000000"/>
                <w:sz w:val="24"/>
              </w:rPr>
            </w:pPr>
            <w:r w:rsidRPr="00FC0759">
              <w:rPr>
                <w:color w:val="000000"/>
                <w:sz w:val="24"/>
              </w:rPr>
              <w:t>期初份额</w:t>
            </w:r>
          </w:p>
        </w:tc>
        <w:tc>
          <w:tcPr>
            <w:tcW w:type="dxa" w:w="1276"/>
            <w:vAlign w:val="center"/>
          </w:tcPr>
          <w:p w:rsidP="00CD72D6" w:rsidR="00575C75" w:rsidRDefault="00575C75" w:rsidRPr="00FC0759">
            <w:pPr>
              <w:widowControl/>
              <w:rPr>
                <w:rFonts w:eastAsiaTheme="minorEastAsia"/>
                <w:b/>
                <w:bCs/>
                <w:color w:themeColor="text1" w:val="000000"/>
                <w:sz w:val="24"/>
              </w:rPr>
            </w:pPr>
            <w:r w:rsidRPr="00FC0759">
              <w:rPr>
                <w:color w:val="000000"/>
                <w:sz w:val="24"/>
              </w:rPr>
              <w:t>申购份额</w:t>
            </w:r>
          </w:p>
        </w:tc>
        <w:tc>
          <w:tcPr>
            <w:tcW w:type="dxa" w:w="1276"/>
            <w:vAlign w:val="center"/>
          </w:tcPr>
          <w:p w:rsidP="00CD72D6" w:rsidR="00575C75" w:rsidRDefault="00575C75" w:rsidRPr="00FC0759">
            <w:pPr>
              <w:widowControl/>
              <w:rPr>
                <w:rFonts w:eastAsiaTheme="minorEastAsia"/>
                <w:b/>
                <w:bCs/>
                <w:color w:themeColor="text1" w:val="000000"/>
                <w:sz w:val="24"/>
              </w:rPr>
            </w:pPr>
            <w:r w:rsidRPr="00FC0759">
              <w:rPr>
                <w:color w:val="000000"/>
                <w:sz w:val="24"/>
              </w:rPr>
              <w:t>赎回份额</w:t>
            </w:r>
          </w:p>
        </w:tc>
        <w:tc>
          <w:tcPr>
            <w:tcW w:type="dxa" w:w="1417"/>
            <w:vAlign w:val="center"/>
          </w:tcPr>
          <w:p w:rsidP="00CD72D6" w:rsidR="00575C75" w:rsidRDefault="00575C75" w:rsidRPr="00FC0759">
            <w:pPr>
              <w:autoSpaceDE w:val="0"/>
              <w:autoSpaceDN w:val="0"/>
              <w:adjustRightInd w:val="0"/>
              <w:jc w:val="center"/>
              <w:rPr>
                <w:rFonts w:eastAsiaTheme="minorEastAsia"/>
                <w:b/>
                <w:bCs/>
                <w:color w:themeColor="text1" w:val="000000"/>
                <w:sz w:val="24"/>
              </w:rPr>
            </w:pPr>
            <w:r w:rsidRPr="00FC0759">
              <w:rPr>
                <w:color w:val="000000"/>
                <w:sz w:val="24"/>
              </w:rPr>
              <w:t>持有份额</w:t>
            </w:r>
          </w:p>
        </w:tc>
        <w:tc>
          <w:tcPr>
            <w:tcW w:type="dxa" w:w="851"/>
            <w:vAlign w:val="center"/>
          </w:tcPr>
          <w:p w:rsidP="00CD72D6" w:rsidR="00575C75" w:rsidRDefault="00575C75" w:rsidRPr="00FC0759">
            <w:pPr>
              <w:autoSpaceDE w:val="0"/>
              <w:autoSpaceDN w:val="0"/>
              <w:adjustRightInd w:val="0"/>
              <w:jc w:val="center"/>
              <w:rPr>
                <w:rFonts w:eastAsiaTheme="minorEastAsia"/>
                <w:b/>
                <w:bCs/>
                <w:color w:themeColor="text1" w:val="000000"/>
                <w:sz w:val="24"/>
              </w:rPr>
            </w:pPr>
            <w:r w:rsidRPr="00FC0759">
              <w:rPr>
                <w:color w:val="000000"/>
                <w:sz w:val="24"/>
              </w:rPr>
              <w:t>份额占比</w:t>
            </w:r>
          </w:p>
        </w:tc>
      </w:tr>
      <w:tr>
        <w:tc>
          <w:tcPr>
            <w:vMerge w:val="restart"/>
            <w:vAlign w:val="center"/>
          </w:tcPr>
          <w:p>
            <w:r>
              <w:rPr>
                <w:rFonts w:eastAsiaTheme="minorEastAsia"/>
                <w:bCs/>
                <w:color w:themeColor="text1" w:val="000000"/>
                <w:sz w:val="24"/>
              </w:rPr>
              <w:t>机构</w:t>
            </w:r>
          </w:p>
        </w:tc>
        <w:tc>
          <w:tcPr>
            <w:vAlign w:val="center"/>
          </w:tcPr>
          <w:p>
            <w:pPr>
              <w:jc w:val="center"/>
            </w:pPr>
            <w:r>
              <w:rPr>
                <w:sz w:val="24"/>
              </w:rPr>
              <w:t>1</w:t>
            </w:r>
          </w:p>
        </w:tc>
        <w:tc>
          <w:tcPr>
            <w:vAlign w:val="center"/>
          </w:tcPr>
          <w:p>
            <w:pPr>
              <w:jc w:val="center"/>
            </w:pPr>
            <w:r>
              <w:rPr>
                <w:sz w:val="24"/>
              </w:rPr>
              <w:t>2020年04月01日~2020年06月30日</w:t>
            </w:r>
          </w:p>
        </w:tc>
        <w:tc>
          <w:tcPr>
            <w:vAlign w:val="center"/>
          </w:tcPr>
          <w:p>
            <w:pPr>
              <w:jc w:val="center"/>
            </w:pPr>
            <w:r>
              <w:rPr>
                <w:sz w:val="24"/>
              </w:rPr>
              <w:t>477,553,963.71</w:t>
            </w:r>
          </w:p>
        </w:tc>
        <w:tc>
          <w:tcPr>
            <w:vAlign w:val="center"/>
          </w:tcPr>
          <w:p>
            <w:pPr>
              <w:jc w:val="center"/>
            </w:pPr>
            <w:r>
              <w:rPr>
                <w:sz w:val="24"/>
              </w:rPr>
              <w:t>-</w:t>
            </w:r>
          </w:p>
        </w:tc>
        <w:tc>
          <w:tcPr>
            <w:vAlign w:val="center"/>
          </w:tcPr>
          <w:p>
            <w:pPr>
              <w:jc w:val="center"/>
            </w:pPr>
            <w:r>
              <w:rPr>
                <w:sz w:val="24"/>
              </w:rPr>
              <w:t>-</w:t>
            </w:r>
          </w:p>
        </w:tc>
        <w:tc>
          <w:tcPr>
            <w:vAlign w:val="center"/>
          </w:tcPr>
          <w:p>
            <w:pPr>
              <w:jc w:val="center"/>
            </w:pPr>
            <w:r>
              <w:rPr>
                <w:sz w:val="24"/>
              </w:rPr>
              <w:t>477,553,963.71</w:t>
            </w:r>
          </w:p>
        </w:tc>
        <w:tc>
          <w:tcPr>
            <w:vAlign w:val="center"/>
          </w:tcPr>
          <w:p>
            <w:pPr>
              <w:jc w:val="center"/>
            </w:pPr>
            <w:r>
              <w:rPr>
                <w:sz w:val="24"/>
              </w:rPr>
              <w:t>58.38%</w:t>
            </w:r>
          </w:p>
        </w:tc>
      </w:tr>
    </w:tbl>
    <w:tbl>
      <w:tblPr>
        <w:tblStyle w:val="af2"/>
        <w:tblW w:type="dxa" w:w="9637"/>
        <w:jc w:val="center"/>
        <w:tblLayout w:type="fixed"/>
        <w:tblLook w:firstColumn="1" w:firstRow="1" w:lastColumn="0" w:lastRow="0" w:noHBand="0" w:noVBand="1" w:val="04A0"/>
      </w:tblPr>
      <w:tblGrid>
        <w:gridCol w:w="9637"/>
      </w:tblGrid>
      <w:tr w:rsidR="00575C75" w:rsidRPr="00FC0759" w:rsidTr="00CD72D6">
        <w:trPr>
          <w:jc w:val="center"/>
        </w:trPr>
        <w:tc>
          <w:tcPr>
            <w:tcW w:type="dxa" w:w="9637"/>
            <w:vAlign w:val="center"/>
          </w:tcPr>
          <w:p w:rsidP="00BF07C4" w:rsidR="00575C75" w:rsidRDefault="00575C75" w:rsidRPr="00FC0759">
            <w:pPr>
              <w:autoSpaceDE w:val="0"/>
              <w:autoSpaceDN w:val="0"/>
              <w:adjustRightInd w:val="0"/>
              <w:jc w:val="center"/>
              <w:rPr>
                <w:sz w:val="24"/>
              </w:rPr>
            </w:pPr>
            <w:bookmarkStart w:id="2" w:name="_GoBack"/>
            <w:r w:rsidRPr="00FC0759">
              <w:rPr>
                <w:color w:val="000000"/>
                <w:sz w:val="24"/>
              </w:rPr>
              <w:t>产品特有风险</w:t>
            </w:r>
            <w:r w:rsidRPr="00FC0759">
              <w:rPr>
                <w:sz w:val="24"/>
              </w:rPr>
              <w:t/>
            </w:r>
            <w:proofErr w:type="spellStart"/>
            <w:r w:rsidRPr="00FC0759">
              <w:rPr>
                <w:sz w:val="24"/>
              </w:rPr>
              <w:t/>
            </w:r>
            <w:proofErr w:type="spellEnd"/>
            <w:r w:rsidRPr="00FC0759">
              <w:rPr>
                <w:sz w:val="24"/>
              </w:rPr>
              <w:t/>
            </w:r>
          </w:p>
        </w:tc>
      </w:tr>
      <w:tr w:rsidR="00575C75" w:rsidRPr="00FC0759" w:rsidTr="00CD72D6">
        <w:trPr>
          <w:jc w:val="center"/>
        </w:trPr>
        <w:tc>
          <w:tcPr>
            <w:tcW w:type="dxa" w:w="9637"/>
            <w:vAlign w:val="center"/>
          </w:tcPr>
          <w:p w:rsidP="00CD72D6" w:rsidR="00575C75" w:rsidRDefault="00575C75" w:rsidRPr="00FC0759">
            <w:pPr>
              <w:autoSpaceDE w:val="0"/>
              <w:autoSpaceDN w:val="0"/>
              <w:adjustRightInd w:val="0"/>
              <w:jc w:val="left"/>
              <w:rPr>
                <w:sz w:val="24"/>
              </w:rPr>
            </w:pPr>
            <w:r w:rsidRPr="00FC0759">
              <w:rPr>
                <w:sz w:val="24"/>
              </w:rPr>
              <w:t>报告期内，本基金存在单一投资者持有份额比例达到或超过20%的情况，由此可能导致的特有风险主要包括：当投资者持有份额占比较为集中时，个别投资者的大额赎回可能会对基金资产运作及净值表现产生较大影响；极端情况下基金管理人可能无法以合理价格及时变现基金资产以应对投资者的赎回申请，可能带来流动性风险；如个别投资者大额赎回引发巨额赎回，基金管理人可能根据基金合同约定决定部分延期赎回或暂停接受基金的赎回申请，可能影响投资者赎回业务办理；若个别投资者大额赎回后本基金出现连续六十个工作日基金资产净值低于5000万元，基金还可能面临转换运作方式、与其他基金合并或者终止基金合同等情形；持有基金份额占比较高的投资者在召开持有人大会并对审议事项进行投票表决时可能拥有较大话语权。</w:t>
            </w:r>
          </w:p>
        </w:tc>
      </w:tr>
    </w:tbl>
    <w:bookmarkEnd w:id="2"/>
    <w:p w:rsidP="00B54884" w:rsidR="00F016DD" w:rsidRDefault="00F016DD" w:rsidRPr="0078105B">
      <w:pPr>
        <w:pStyle w:val="1"/>
        <w:spacing w:after="312" w:afterLines="100" w:before="312" w:beforeLines="100" w:line="360" w:lineRule="auto"/>
        <w:jc w:val="center"/>
        <w:rPr>
          <w:rFonts w:ascii="宋体" w:cs="Arial"/>
          <w:color w:val="000000"/>
          <w:kern w:val="0"/>
          <w:sz w:val="24"/>
          <w:szCs w:val="24"/>
        </w:rPr>
      </w:pPr>
      <w:r w:rsidRPr="0078105B">
        <w:rPr>
          <w:rFonts w:ascii="宋体" w:cs="Arial" w:hAnsi="宋体" w:hint="eastAsia"/>
          <w:color w:val="000000"/>
          <w:kern w:val="0"/>
          <w:sz w:val="24"/>
          <w:szCs w:val="24"/>
        </w:rPr>
        <w:t>§</w:t>
      </w:r>
      <w:r w:rsidRPr="0078105B">
        <w:rPr>
          <w:rFonts w:ascii="宋体" w:cs="Arial"/>
          <w:color w:val="000000"/>
          <w:kern w:val="0"/>
          <w:sz w:val="24"/>
          <w:szCs w:val="24"/>
        </w:rPr>
        <w:t/>
      </w:r>
      <w:r w:rsidRPr="0078105B">
        <w:rPr>
          <w:rFonts w:ascii="宋体" w:cs="Arial" w:hAnsi="宋体"/>
          <w:color w:val="000000"/>
          <w:kern w:val="0"/>
          <w:sz w:val="24"/>
          <w:szCs w:val="24"/>
        </w:rPr>
        <w:t>9</w:t>
      </w:r>
      <w:r w:rsidR="0066098B" w:rsidRPr="0078105B">
        <w:rPr>
          <w:rFonts w:ascii="宋体" w:cs="Arial" w:hAnsi="宋体"/>
          <w:color w:val="000000"/>
          <w:kern w:val="0"/>
          <w:sz w:val="24"/>
          <w:szCs w:val="24"/>
        </w:rPr>
        <w:t xml:space="preserve">  </w:t>
      </w:r>
      <w:r w:rsidRPr="0078105B">
        <w:rPr>
          <w:rFonts w:ascii="宋体" w:cs="Arial" w:hAnsi="宋体" w:hint="eastAsia"/>
          <w:color w:val="000000"/>
          <w:kern w:val="0"/>
          <w:sz w:val="24"/>
          <w:szCs w:val="24"/>
        </w:rPr>
        <w:t>备查文件目录</w:t>
      </w:r>
    </w:p>
    <w:p w:rsidP="00FC13C8" w:rsidR="00F016DD" w:rsidRDefault="00F016DD" w:rsidRPr="00E8153C">
      <w:pPr>
        <w:autoSpaceDE w:val="0"/>
        <w:autoSpaceDN w:val="0"/>
        <w:adjustRightInd w:val="0"/>
        <w:spacing w:line="360" w:lineRule="auto"/>
        <w:jc w:val="left"/>
        <w:rPr>
          <w:color w:val="000000"/>
          <w:kern w:val="0"/>
          <w:sz w:val="24"/>
        </w:rPr>
      </w:pPr>
      <w:r w:rsidRPr="00E8153C">
        <w:rPr>
          <w:color w:val="000000"/>
          <w:kern w:val="0"/>
          <w:sz w:val="24"/>
        </w:rPr>
        <w:t/>
      </w:r>
      <w:proofErr w:type="gramStart"/>
      <w:r w:rsidRPr="00E8153C">
        <w:rPr>
          <w:color w:val="000000"/>
          <w:kern w:val="0"/>
          <w:sz w:val="24"/>
        </w:rPr>
        <w:t/>
      </w:r>
      <w:proofErr w:type="gramEnd"/>
      <w:r w:rsidRPr="00E8153C">
        <w:rPr>
          <w:color w:val="000000"/>
          <w:kern w:val="0"/>
          <w:sz w:val="24"/>
        </w:rPr>
        <w:t>9.1</w:t>
      </w:r>
      <w:r w:rsidRPr="00E8153C">
        <w:rPr>
          <w:color w:val="000000"/>
          <w:kern w:val="0"/>
          <w:sz w:val="24"/>
        </w:rPr>
        <w:t>备查文件目录</w:t>
      </w:r>
    </w:p>
    <w:p>
      <w:pPr>
        <w:spacing w:line="360" w:lineRule="auto"/>
        <w:ind w:firstLine="480" w:firstLineChars="200"/>
        <w:rPr>
          <w:color w:val="000000"/>
          <w:sz w:val="24"/>
        </w:rPr>
      </w:pPr>
      <w:r>
        <w:rPr>
          <w:color w:val="000000"/>
          <w:sz w:val="24"/>
        </w:rPr>
        <w:t>1.中国证监会准予易方达瑞选灵活配置混合型证券投资基金注册的文件；</w:t>
      </w:r>
    </w:p>
    <w:p>
      <w:pPr>
        <w:spacing w:line="360" w:lineRule="auto"/>
        <w:ind w:firstLine="480" w:firstLineChars="200"/>
        <w:rPr>
          <w:color w:val="000000"/>
          <w:sz w:val="24"/>
        </w:rPr>
      </w:pPr>
      <w:r>
        <w:rPr>
          <w:color w:val="000000"/>
          <w:sz w:val="24"/>
        </w:rPr>
        <w:t>2.《易方达瑞选灵活配置混合型证券投资基金基金合同》；</w:t>
      </w:r>
    </w:p>
    <w:p>
      <w:pPr>
        <w:spacing w:line="360" w:lineRule="auto"/>
        <w:ind w:firstLine="480" w:firstLineChars="200"/>
        <w:rPr>
          <w:color w:val="000000"/>
          <w:sz w:val="24"/>
        </w:rPr>
      </w:pPr>
      <w:r>
        <w:rPr>
          <w:color w:val="000000"/>
          <w:sz w:val="24"/>
        </w:rPr>
        <w:t>3.《易方达瑞选灵活配置混合型证券投资基金托管协议》；</w:t>
      </w:r>
    </w:p>
    <w:p>
      <w:pPr>
        <w:spacing w:line="360" w:lineRule="auto"/>
        <w:ind w:firstLine="480" w:firstLineChars="200"/>
        <w:rPr>
          <w:color w:val="000000"/>
          <w:sz w:val="24"/>
        </w:rPr>
      </w:pPr>
      <w:r>
        <w:rPr>
          <w:color w:val="000000"/>
          <w:sz w:val="24"/>
        </w:rPr>
        <w:t>4.《易方达基金管理有限公司开放式基金业务规则》；</w:t>
      </w:r>
    </w:p>
    <w:p w:rsidP="00DF18FE" w:rsidR="00F016DD" w:rsidRDefault="00F016DD" w:rsidRPr="00E8153C">
      <w:pPr>
        <w:spacing w:line="360" w:lineRule="auto"/>
        <w:ind w:firstLine="480" w:firstLineChars="200"/>
        <w:rPr>
          <w:color w:val="000000"/>
          <w:sz w:val="24"/>
        </w:rPr>
      </w:pPr>
      <w:r w:rsidRPr="00E8153C">
        <w:rPr>
          <w:color w:val="000000"/>
          <w:sz w:val="24"/>
        </w:rPr>
        <w:t/>
      </w:r>
      <w:proofErr w:type="spellStart"/>
      <w:proofErr w:type="gramStart"/>
      <w:r w:rsidRPr="00E8153C">
        <w:rPr>
          <w:color w:val="000000"/>
          <w:sz w:val="24"/>
        </w:rPr>
        <w:t/>
      </w:r>
      <w:proofErr w:type="spellEnd"/>
      <w:proofErr w:type="gramEnd"/>
      <w:r w:rsidRPr="00E8153C">
        <w:rPr>
          <w:color w:val="000000"/>
          <w:sz w:val="24"/>
        </w:rPr>
        <w:t>5.基金管理人业务资格批件、营业执照。</w:t>
      </w:r>
    </w:p>
    <w:p w:rsidP="00FC13C8" w:rsidR="00F016DD" w:rsidRDefault="00F016DD" w:rsidRPr="00E8153C">
      <w:pPr>
        <w:autoSpaceDE w:val="0"/>
        <w:autoSpaceDN w:val="0"/>
        <w:adjustRightInd w:val="0"/>
        <w:spacing w:line="360" w:lineRule="auto"/>
        <w:jc w:val="left"/>
        <w:rPr>
          <w:color w:val="000000"/>
          <w:kern w:val="0"/>
          <w:sz w:val="24"/>
        </w:rPr>
      </w:pPr>
      <w:r w:rsidRPr="00E8153C">
        <w:rPr>
          <w:color w:val="000000"/>
          <w:kern w:val="0"/>
          <w:sz w:val="24"/>
        </w:rPr>
        <w:t/>
      </w:r>
      <w:proofErr w:type="gramStart"/>
      <w:r w:rsidRPr="00E8153C">
        <w:rPr>
          <w:color w:val="000000"/>
          <w:kern w:val="0"/>
          <w:sz w:val="24"/>
        </w:rPr>
        <w:t/>
      </w:r>
      <w:proofErr w:type="gramEnd"/>
      <w:r w:rsidRPr="00E8153C">
        <w:rPr>
          <w:color w:val="000000"/>
          <w:kern w:val="0"/>
          <w:sz w:val="24"/>
        </w:rPr>
        <w:t>9.2</w:t>
      </w:r>
      <w:r w:rsidRPr="00E8153C">
        <w:rPr>
          <w:color w:val="000000"/>
          <w:kern w:val="0"/>
          <w:sz w:val="24"/>
        </w:rPr>
        <w:t>存放地点</w:t>
      </w:r>
    </w:p>
    <w:p w:rsidP="00DF18FE" w:rsidR="00F016DD" w:rsidRDefault="00F016DD" w:rsidRPr="00E8153C">
      <w:pPr>
        <w:spacing w:line="360" w:lineRule="auto"/>
        <w:ind w:firstLine="480" w:firstLineChars="200"/>
        <w:rPr>
          <w:color w:val="000000"/>
          <w:sz w:val="24"/>
        </w:rPr>
      </w:pPr>
      <w:r w:rsidRPr="00E8153C">
        <w:rPr>
          <w:color w:val="000000"/>
          <w:sz w:val="24"/>
        </w:rPr>
        <w:t/>
      </w:r>
      <w:proofErr w:type="spellStart"/>
      <w:proofErr w:type="gramStart"/>
      <w:r w:rsidRPr="00E8153C">
        <w:rPr>
          <w:color w:val="000000"/>
          <w:sz w:val="24"/>
        </w:rPr>
        <w:t/>
      </w:r>
      <w:proofErr w:type="spellEnd"/>
      <w:proofErr w:type="gramEnd"/>
      <w:r w:rsidRPr="00E8153C">
        <w:rPr>
          <w:color w:val="000000"/>
          <w:sz w:val="24"/>
        </w:rPr>
        <w:t>广州市天河区珠江新城珠江东路30号广州银行大厦40-43楼。</w:t>
      </w:r>
    </w:p>
    <w:p w:rsidP="00FC13C8" w:rsidR="00F016DD" w:rsidRDefault="00F016DD" w:rsidRPr="00E8153C">
      <w:pPr>
        <w:autoSpaceDE w:val="0"/>
        <w:autoSpaceDN w:val="0"/>
        <w:adjustRightInd w:val="0"/>
        <w:spacing w:line="360" w:lineRule="auto"/>
        <w:jc w:val="left"/>
        <w:rPr>
          <w:color w:val="000000"/>
          <w:kern w:val="0"/>
          <w:sz w:val="24"/>
        </w:rPr>
      </w:pPr>
      <w:r w:rsidRPr="00E8153C">
        <w:rPr>
          <w:color w:val="000000"/>
          <w:kern w:val="0"/>
          <w:sz w:val="24"/>
        </w:rPr>
        <w:t/>
      </w:r>
      <w:proofErr w:type="gramStart"/>
      <w:r w:rsidRPr="00E8153C">
        <w:rPr>
          <w:color w:val="000000"/>
          <w:kern w:val="0"/>
          <w:sz w:val="24"/>
        </w:rPr>
        <w:t/>
      </w:r>
      <w:proofErr w:type="gramEnd"/>
      <w:r w:rsidRPr="00E8153C">
        <w:rPr>
          <w:color w:val="000000"/>
          <w:kern w:val="0"/>
          <w:sz w:val="24"/>
        </w:rPr>
        <w:t>9.3</w:t>
      </w:r>
      <w:r w:rsidRPr="00E8153C">
        <w:rPr>
          <w:color w:val="000000"/>
          <w:kern w:val="0"/>
          <w:sz w:val="24"/>
        </w:rPr>
        <w:t>查阅方式</w:t>
      </w:r>
    </w:p>
    <w:p w:rsidP="00DF18FE" w:rsidR="00F016DD" w:rsidRDefault="00F016DD" w:rsidRPr="00E8153C">
      <w:pPr>
        <w:spacing w:line="360" w:lineRule="auto"/>
        <w:ind w:firstLine="480" w:firstLineChars="200"/>
        <w:rPr>
          <w:color w:val="000000"/>
          <w:sz w:val="24"/>
        </w:rPr>
      </w:pPr>
      <w:r w:rsidRPr="00E8153C">
        <w:rPr>
          <w:color w:val="000000"/>
          <w:sz w:val="24"/>
        </w:rPr>
        <w:t/>
      </w:r>
      <w:proofErr w:type="spellStart"/>
      <w:proofErr w:type="gramStart"/>
      <w:r w:rsidRPr="00E8153C">
        <w:rPr>
          <w:color w:val="000000"/>
          <w:sz w:val="24"/>
        </w:rPr>
        <w:t/>
      </w:r>
      <w:proofErr w:type="spellEnd"/>
      <w:proofErr w:type="gramEnd"/>
      <w:r w:rsidRPr="00E8153C">
        <w:rPr>
          <w:color w:val="000000"/>
          <w:sz w:val="24"/>
        </w:rPr>
        <w:t>投资者可在营业时间免费查阅，也可按工本费购买复印件。</w:t>
      </w:r>
    </w:p>
    <w:p w:rsidP="00FB3C94" w:rsidR="00F016DD" w:rsidRDefault="00F016DD" w:rsidRPr="0078105B">
      <w:pPr>
        <w:spacing w:line="360" w:lineRule="auto"/>
        <w:ind w:left="840"/>
        <w:jc w:val="right"/>
        <w:rPr>
          <w:rFonts w:ascii="宋体"/>
          <w:color w:val="000000"/>
          <w:sz w:val="24"/>
        </w:rPr>
      </w:pPr>
    </w:p>
    <w:p w:rsidP="00053FFD" w:rsidR="00F016DD" w:rsidRDefault="00F016DD" w:rsidRPr="0078105B">
      <w:pPr>
        <w:spacing w:line="360" w:lineRule="auto"/>
        <w:ind w:left="840"/>
        <w:jc w:val="center"/>
        <w:rPr>
          <w:rFonts w:ascii="宋体"/>
          <w:b/>
          <w:color w:val="000000"/>
          <w:sz w:val="24"/>
        </w:rPr>
      </w:pPr>
    </w:p>
    <w:p w:rsidP="00B1493B" w:rsidR="00F016DD" w:rsidRDefault="00F016DD" w:rsidRPr="0078105B">
      <w:pPr>
        <w:spacing w:line="360" w:lineRule="auto"/>
        <w:jc w:val="right"/>
        <w:rPr>
          <w:rFonts w:ascii="宋体" w:hAnsi="宋体"/>
          <w:b/>
          <w:bCs/>
          <w:sz w:val="24"/>
        </w:rPr>
      </w:pPr>
      <w:r w:rsidRPr="0078105B">
        <w:rPr>
          <w:rFonts w:ascii="宋体"/>
          <w:b/>
          <w:bCs/>
          <w:sz w:val="24"/>
        </w:rPr>
        <w:t/>
      </w:r>
      <w:proofErr w:type="spellStart"/>
      <w:proofErr w:type="gramStart"/>
      <w:r w:rsidRPr="0078105B">
        <w:rPr>
          <w:rFonts w:ascii="宋体" w:hAnsi="宋体"/>
          <w:b/>
          <w:bCs/>
          <w:sz w:val="24"/>
        </w:rPr>
        <w:t/>
      </w:r>
      <w:proofErr w:type="spellEnd"/>
      <w:proofErr w:type="gramEnd"/>
      <w:r w:rsidRPr="0078105B">
        <w:rPr>
          <w:rFonts w:ascii="宋体" w:hAnsi="宋体"/>
          <w:b/>
          <w:bCs/>
          <w:sz w:val="24"/>
        </w:rPr>
        <w:t>易方达基金管理有限公司</w:t>
      </w:r>
    </w:p>
    <w:p w:rsidP="00B1493B" w:rsidR="00F016DD" w:rsidRDefault="00F016DD" w:rsidRPr="0078105B">
      <w:pPr>
        <w:spacing w:line="360" w:lineRule="auto"/>
        <w:jc w:val="right"/>
        <w:rPr>
          <w:rFonts w:ascii="宋体" w:hAnsi="宋体"/>
          <w:b/>
          <w:bCs/>
          <w:sz w:val="24"/>
        </w:rPr>
      </w:pPr>
      <w:r w:rsidRPr="0078105B">
        <w:rPr>
          <w:rFonts w:ascii="宋体" w:hAnsi="宋体"/>
          <w:b/>
          <w:bCs/>
          <w:sz w:val="24"/>
        </w:rPr>
        <w:t/>
      </w:r>
      <w:proofErr w:type="spellStart"/>
      <w:proofErr w:type="gramStart"/>
      <w:r w:rsidRPr="0078105B">
        <w:rPr>
          <w:rFonts w:ascii="宋体" w:hAnsi="宋体"/>
          <w:b/>
          <w:bCs/>
          <w:sz w:val="24"/>
        </w:rPr>
        <w:t/>
      </w:r>
      <w:proofErr w:type="spellEnd"/>
      <w:proofErr w:type="gramEnd"/>
      <w:r w:rsidRPr="0078105B">
        <w:rPr>
          <w:rFonts w:ascii="宋体" w:hAnsi="宋体"/>
          <w:b/>
          <w:bCs/>
          <w:sz w:val="24"/>
        </w:rPr>
        <w:t>二〇二〇年七月二十一日</w:t>
      </w:r>
    </w:p>
    <w:sectPr w:rsidR="00F016DD" w:rsidRPr="0078105B" w:rsidSect="00A8324F">
      <w:footerReference r:id="rId12" w:type="even"/>
      <w:footerReference r:id="rId13" w:type="default"/>
      <w:pgSz w:h="16838" w:w="11906"/>
      <w:pgMar w:bottom="1440" w:footer="992" w:gutter="0" w:header="851" w:left="1800" w:right="1286" w:top="1440"/>
      <w:cols w:space="425"/>
      <w:docGrid w:linePitch="312" w:type="line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1041" w:rsidRDefault="00901041">
      <w:r>
        <w:separator/>
      </w:r>
    </w:p>
  </w:endnote>
  <w:endnote w:type="continuationSeparator" w:id="0">
    <w:p w:rsidR="00901041" w:rsidRDefault="009010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FangSong">
    <w:altName w:val="Arial"/>
    <w:charset w:val="00"/>
    <w:family w:val="auto"/>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方正仿宋简体">
    <w:altName w:val="微软雅黑"/>
    <w:charset w:val="86"/>
    <w:family w:val="auto"/>
    <w:pitch w:val="default"/>
    <w:sig w:usb0="00000000"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F7094A" w:rsidR="00611CB2" w:rsidRDefault="00611CB2" w:rsidRPr="001D0DB0">
    <w:pPr>
      <w:pStyle w:val="a6"/>
      <w:jc w:val="center"/>
    </w:pPr>
    <w:r>
      <w:rPr>
        <w:rFonts w:hint="eastAsia"/>
        <w:szCs w:val="21"/>
      </w:rPr>
      <w:t>第</w:t>
    </w:r>
    <w:r w:rsidR="00F85FCB">
      <w:rPr>
        <w:szCs w:val="21"/>
      </w:rPr>
      <w:fldChar w:fldCharType="begin"/>
    </w:r>
    <w:r>
      <w:rPr>
        <w:szCs w:val="21"/>
      </w:rPr>
      <w:instrText xml:space="preserve"> PAGE </w:instrText>
    </w:r>
    <w:r w:rsidR="00F85FCB">
      <w:rPr>
        <w:szCs w:val="21"/>
      </w:rPr>
      <w:fldChar w:fldCharType="separate"/>
    </w:r>
    <w:r w:rsidR="0001612A">
      <w:rPr>
        <w:noProof/>
        <w:szCs w:val="21"/>
      </w:rPr>
      <w:t>1</w:t>
    </w:r>
    <w:r w:rsidR="00F85FCB">
      <w:rPr>
        <w:szCs w:val="21"/>
      </w:rPr>
      <w:fldChar w:fldCharType="end"/>
    </w:r>
    <w:proofErr w:type="gramStart"/>
    <w:r>
      <w:rPr>
        <w:rFonts w:hint="eastAsia"/>
        <w:szCs w:val="21"/>
      </w:rPr>
      <w:t>页共</w:t>
    </w:r>
    <w:proofErr w:type="gramEnd"/>
    <w:r w:rsidR="00F85FCB">
      <w:rPr>
        <w:szCs w:val="21"/>
      </w:rPr>
      <w:fldChar w:fldCharType="begin"/>
    </w:r>
    <w:r>
      <w:rPr>
        <w:szCs w:val="21"/>
      </w:rPr>
      <w:instrText xml:space="preserve"> NUMPAGES </w:instrText>
    </w:r>
    <w:r w:rsidR="00F85FCB">
      <w:rPr>
        <w:szCs w:val="21"/>
      </w:rPr>
      <w:fldChar w:fldCharType="separate"/>
    </w:r>
    <w:r w:rsidR="0001612A">
      <w:rPr>
        <w:noProof/>
        <w:szCs w:val="21"/>
      </w:rPr>
      <w:t>1</w:t>
    </w:r>
    <w:r w:rsidR="00F85FCB">
      <w:rPr>
        <w:szCs w:val="21"/>
      </w:rPr>
      <w:fldChar w:fldCharType="end"/>
    </w:r>
    <w:r>
      <w:rPr>
        <w:rFonts w:hint="eastAsia"/>
        <w:szCs w:val="21"/>
      </w:rPr>
      <w:t>页</w:t>
    </w:r>
  </w:p>
</w:ftr>
</file>

<file path=word/footer2.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R="00611CB2" w:rsidRDefault="00F85FCB">
    <w:pPr>
      <w:pStyle w:val="a6"/>
      <w:framePr w:hAnchor="margin" w:vAnchor="text" w:wrap="around" w:xAlign="center" w:y="1"/>
      <w:rPr>
        <w:rStyle w:val="a7"/>
      </w:rPr>
    </w:pPr>
    <w:r>
      <w:rPr>
        <w:rStyle w:val="a7"/>
      </w:rPr>
      <w:fldChar w:fldCharType="begin"/>
    </w:r>
    <w:r w:rsidR="00611CB2">
      <w:rPr>
        <w:rStyle w:val="a7"/>
      </w:rPr>
      <w:instrText xml:space="preserve">PAGE  </w:instrText>
    </w:r>
    <w:r>
      <w:rPr>
        <w:rStyle w:val="a7"/>
      </w:rPr>
      <w:fldChar w:fldCharType="end"/>
    </w:r>
  </w:p>
  <w:p w:rsidR="00611CB2" w:rsidRDefault="00611CB2">
    <w:pPr>
      <w:pStyle w:val="a6"/>
    </w:pPr>
  </w:p>
</w:ftr>
</file>

<file path=word/footer3.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R="00611CB2" w:rsidRDefault="00F85FCB">
    <w:pPr>
      <w:pStyle w:val="a6"/>
      <w:framePr w:hAnchor="margin" w:vAnchor="text" w:wrap="around" w:xAlign="center" w:y="1"/>
      <w:rPr>
        <w:rStyle w:val="a7"/>
      </w:rPr>
    </w:pPr>
    <w:r>
      <w:rPr>
        <w:rStyle w:val="a7"/>
      </w:rPr>
      <w:fldChar w:fldCharType="begin"/>
    </w:r>
    <w:r w:rsidR="00611CB2">
      <w:rPr>
        <w:rStyle w:val="a7"/>
      </w:rPr>
      <w:instrText xml:space="preserve">PAGE  </w:instrText>
    </w:r>
    <w:r>
      <w:rPr>
        <w:rStyle w:val="a7"/>
      </w:rPr>
      <w:fldChar w:fldCharType="separate"/>
    </w:r>
    <w:r w:rsidR="0001612A">
      <w:rPr>
        <w:rStyle w:val="a7"/>
        <w:noProof/>
      </w:rPr>
      <w:t>29</w:t>
    </w:r>
    <w:r>
      <w:rPr>
        <w:rStyle w:val="a7"/>
      </w:rPr>
      <w:fldChar w:fldCharType="end"/>
    </w:r>
  </w:p>
  <w:p w:rsidR="00611CB2" w:rsidRDefault="00611CB2">
    <w:pPr>
      <w:pStyle w:val="a6"/>
    </w:pPr>
  </w:p>
</w:ftr>
</file>

<file path=word/footnotes.xml><?xml version="1.0" encoding="utf-8"?>
<w:footnotes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footnote w:id="-1" w:type="separator">
    <w:p w:rsidR="00901041" w:rsidRDefault="00901041">
      <w:r>
        <w:separator/>
      </w:r>
    </w:p>
  </w:footnote>
  <w:footnote w:id="0" w:type="continuationSeparator">
    <w:p w:rsidR="00901041" w:rsidRDefault="00901041">
      <w:r>
        <w:continuationSeparator/>
      </w:r>
    </w:p>
  </w:footnote>
</w:footnotes>
</file>

<file path=word/header1.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1207F2" w:rsidR="00611CB2" w:rsidRDefault="00611CB2" w:rsidRPr="00DA451D">
    <w:pPr>
      <w:pStyle w:val="a9"/>
      <w:pBdr>
        <w:bottom w:color="auto" w:space="0" w:sz="6" w:val="single"/>
      </w:pBdr>
      <w:jc w:val="right"/>
    </w:pPr>
    <w:r w:rsidRPr="00DA451D">
      <w:t/>
    </w:r>
    <w:proofErr w:type="spellStart"/>
    <w:proofErr w:type="gramStart"/>
    <w:r w:rsidRPr="00DA451D">
      <w:t/>
    </w:r>
    <w:proofErr w:type="spellEnd"/>
    <w:proofErr w:type="gramEnd"/>
    <w:r w:rsidRPr="00DA451D">
      <w:t>易方达瑞选灵活配置混合型证券投资基金</w:t>
    </w:r>
    <w:proofErr w:type="spellStart"/>
    <w:r w:rsidRPr="00DA451D">
      <w:t/>
    </w:r>
    <w:proofErr w:type="spellEnd"/>
    <w:r w:rsidRPr="00DA451D">
      <w:t>2020年第2季度报告</w:t>
    </w:r>
  </w:p>
</w:hdr>
</file>

<file path=word/numbering.xml><?xml version="1.0" encoding="utf-8"?>
<w:numbering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abstractNum w:abstractNumId="0">
    <w:nsid w:val="17055987"/>
    <w:multiLevelType w:val="hybridMultilevel"/>
    <w:tmpl w:val="6DACDB38"/>
    <w:lvl w:ilvl="0" w:tplc="307C87E8">
      <w:start w:val="2006"/>
      <w:numFmt w:val="bullet"/>
      <w:lvlText w:val="●"/>
      <w:lvlJc w:val="left"/>
      <w:pPr>
        <w:tabs>
          <w:tab w:pos="780" w:val="num"/>
        </w:tabs>
        <w:ind w:hanging="360" w:left="780"/>
      </w:pPr>
      <w:rPr>
        <w:rFonts w:ascii="Times New Roman" w:eastAsia="宋体" w:hAnsi="Times New Roman" w:hint="default"/>
      </w:rPr>
    </w:lvl>
    <w:lvl w:ilvl="1" w:tentative="1" w:tplc="04090003">
      <w:start w:val="1"/>
      <w:numFmt w:val="bullet"/>
      <w:lvlText w:val=""/>
      <w:lvlJc w:val="left"/>
      <w:pPr>
        <w:tabs>
          <w:tab w:pos="1260" w:val="num"/>
        </w:tabs>
        <w:ind w:hanging="420" w:left="1260"/>
      </w:pPr>
      <w:rPr>
        <w:rFonts w:ascii="Wingdings" w:hAnsi="Wingdings" w:hint="default"/>
      </w:rPr>
    </w:lvl>
    <w:lvl w:ilvl="2" w:tentative="1" w:tplc="04090005">
      <w:start w:val="1"/>
      <w:numFmt w:val="bullet"/>
      <w:lvlText w:val=""/>
      <w:lvlJc w:val="left"/>
      <w:pPr>
        <w:tabs>
          <w:tab w:pos="1680" w:val="num"/>
        </w:tabs>
        <w:ind w:hanging="420" w:left="1680"/>
      </w:pPr>
      <w:rPr>
        <w:rFonts w:ascii="Wingdings" w:hAnsi="Wingdings" w:hint="default"/>
      </w:rPr>
    </w:lvl>
    <w:lvl w:ilvl="3" w:tentative="1" w:tplc="04090001">
      <w:start w:val="1"/>
      <w:numFmt w:val="bullet"/>
      <w:lvlText w:val=""/>
      <w:lvlJc w:val="left"/>
      <w:pPr>
        <w:tabs>
          <w:tab w:pos="2100" w:val="num"/>
        </w:tabs>
        <w:ind w:hanging="420" w:left="2100"/>
      </w:pPr>
      <w:rPr>
        <w:rFonts w:ascii="Wingdings" w:hAnsi="Wingdings" w:hint="default"/>
      </w:rPr>
    </w:lvl>
    <w:lvl w:ilvl="4" w:tentative="1" w:tplc="04090003">
      <w:start w:val="1"/>
      <w:numFmt w:val="bullet"/>
      <w:lvlText w:val=""/>
      <w:lvlJc w:val="left"/>
      <w:pPr>
        <w:tabs>
          <w:tab w:pos="2520" w:val="num"/>
        </w:tabs>
        <w:ind w:hanging="420" w:left="2520"/>
      </w:pPr>
      <w:rPr>
        <w:rFonts w:ascii="Wingdings" w:hAnsi="Wingdings" w:hint="default"/>
      </w:rPr>
    </w:lvl>
    <w:lvl w:ilvl="5" w:tentative="1" w:tplc="04090005">
      <w:start w:val="1"/>
      <w:numFmt w:val="bullet"/>
      <w:lvlText w:val=""/>
      <w:lvlJc w:val="left"/>
      <w:pPr>
        <w:tabs>
          <w:tab w:pos="2940" w:val="num"/>
        </w:tabs>
        <w:ind w:hanging="420" w:left="2940"/>
      </w:pPr>
      <w:rPr>
        <w:rFonts w:ascii="Wingdings" w:hAnsi="Wingdings" w:hint="default"/>
      </w:rPr>
    </w:lvl>
    <w:lvl w:ilvl="6" w:tentative="1" w:tplc="04090001">
      <w:start w:val="1"/>
      <w:numFmt w:val="bullet"/>
      <w:lvlText w:val=""/>
      <w:lvlJc w:val="left"/>
      <w:pPr>
        <w:tabs>
          <w:tab w:pos="3360" w:val="num"/>
        </w:tabs>
        <w:ind w:hanging="420" w:left="3360"/>
      </w:pPr>
      <w:rPr>
        <w:rFonts w:ascii="Wingdings" w:hAnsi="Wingdings" w:hint="default"/>
      </w:rPr>
    </w:lvl>
    <w:lvl w:ilvl="7" w:tentative="1" w:tplc="04090003">
      <w:start w:val="1"/>
      <w:numFmt w:val="bullet"/>
      <w:lvlText w:val=""/>
      <w:lvlJc w:val="left"/>
      <w:pPr>
        <w:tabs>
          <w:tab w:pos="3780" w:val="num"/>
        </w:tabs>
        <w:ind w:hanging="420" w:left="3780"/>
      </w:pPr>
      <w:rPr>
        <w:rFonts w:ascii="Wingdings" w:hAnsi="Wingdings" w:hint="default"/>
      </w:rPr>
    </w:lvl>
    <w:lvl w:ilvl="8" w:tentative="1" w:tplc="04090005">
      <w:start w:val="1"/>
      <w:numFmt w:val="bullet"/>
      <w:lvlText w:val=""/>
      <w:lvlJc w:val="left"/>
      <w:pPr>
        <w:tabs>
          <w:tab w:pos="4200" w:val="num"/>
        </w:tabs>
        <w:ind w:hanging="420" w:left="4200"/>
      </w:pPr>
      <w:rPr>
        <w:rFonts w:ascii="Wingdings" w:hAnsi="Wingdings" w:hint="default"/>
      </w:rPr>
    </w:lvl>
  </w:abstractNum>
  <w:abstractNum w:abstractNumId="1">
    <w:nsid w:val="2A93165E"/>
    <w:multiLevelType w:val="hybridMultilevel"/>
    <w:tmpl w:val="8F54F77E"/>
    <w:lvl w:ilvl="0" w:tplc="8996D53A">
      <w:start w:val="1"/>
      <w:numFmt w:val="japaneseCounting"/>
      <w:lvlText w:val="（%1）"/>
      <w:lvlJc w:val="left"/>
      <w:pPr>
        <w:tabs>
          <w:tab w:pos="1200" w:val="num"/>
        </w:tabs>
        <w:ind w:hanging="720" w:left="1200"/>
      </w:pPr>
      <w:rPr>
        <w:rFonts w:cs="Times New Roman" w:hAnsi="宋体" w:hint="default"/>
      </w:rPr>
    </w:lvl>
    <w:lvl w:ilvl="1" w:tentative="1" w:tplc="04090019">
      <w:start w:val="1"/>
      <w:numFmt w:val="lowerLetter"/>
      <w:lvlText w:val="%2)"/>
      <w:lvlJc w:val="left"/>
      <w:pPr>
        <w:tabs>
          <w:tab w:pos="1320" w:val="num"/>
        </w:tabs>
        <w:ind w:hanging="420" w:left="1320"/>
      </w:pPr>
      <w:rPr>
        <w:rFonts w:cs="Times New Roman"/>
      </w:rPr>
    </w:lvl>
    <w:lvl w:ilvl="2" w:tentative="1" w:tplc="0409001B">
      <w:start w:val="1"/>
      <w:numFmt w:val="lowerRoman"/>
      <w:lvlText w:val="%3."/>
      <w:lvlJc w:val="right"/>
      <w:pPr>
        <w:tabs>
          <w:tab w:pos="1740" w:val="num"/>
        </w:tabs>
        <w:ind w:hanging="420" w:left="1740"/>
      </w:pPr>
      <w:rPr>
        <w:rFonts w:cs="Times New Roman"/>
      </w:rPr>
    </w:lvl>
    <w:lvl w:ilvl="3" w:tentative="1" w:tplc="0409000F">
      <w:start w:val="1"/>
      <w:numFmt w:val="decimal"/>
      <w:lvlText w:val="%4."/>
      <w:lvlJc w:val="left"/>
      <w:pPr>
        <w:tabs>
          <w:tab w:pos="2160" w:val="num"/>
        </w:tabs>
        <w:ind w:hanging="420" w:left="2160"/>
      </w:pPr>
      <w:rPr>
        <w:rFonts w:cs="Times New Roman"/>
      </w:rPr>
    </w:lvl>
    <w:lvl w:ilvl="4" w:tentative="1" w:tplc="04090019">
      <w:start w:val="1"/>
      <w:numFmt w:val="lowerLetter"/>
      <w:lvlText w:val="%5)"/>
      <w:lvlJc w:val="left"/>
      <w:pPr>
        <w:tabs>
          <w:tab w:pos="2580" w:val="num"/>
        </w:tabs>
        <w:ind w:hanging="420" w:left="2580"/>
      </w:pPr>
      <w:rPr>
        <w:rFonts w:cs="Times New Roman"/>
      </w:rPr>
    </w:lvl>
    <w:lvl w:ilvl="5" w:tentative="1" w:tplc="0409001B">
      <w:start w:val="1"/>
      <w:numFmt w:val="lowerRoman"/>
      <w:lvlText w:val="%6."/>
      <w:lvlJc w:val="right"/>
      <w:pPr>
        <w:tabs>
          <w:tab w:pos="3000" w:val="num"/>
        </w:tabs>
        <w:ind w:hanging="420" w:left="3000"/>
      </w:pPr>
      <w:rPr>
        <w:rFonts w:cs="Times New Roman"/>
      </w:rPr>
    </w:lvl>
    <w:lvl w:ilvl="6" w:tentative="1" w:tplc="0409000F">
      <w:start w:val="1"/>
      <w:numFmt w:val="decimal"/>
      <w:lvlText w:val="%7."/>
      <w:lvlJc w:val="left"/>
      <w:pPr>
        <w:tabs>
          <w:tab w:pos="3420" w:val="num"/>
        </w:tabs>
        <w:ind w:hanging="420" w:left="3420"/>
      </w:pPr>
      <w:rPr>
        <w:rFonts w:cs="Times New Roman"/>
      </w:rPr>
    </w:lvl>
    <w:lvl w:ilvl="7" w:tentative="1" w:tplc="04090019">
      <w:start w:val="1"/>
      <w:numFmt w:val="lowerLetter"/>
      <w:lvlText w:val="%8)"/>
      <w:lvlJc w:val="left"/>
      <w:pPr>
        <w:tabs>
          <w:tab w:pos="3840" w:val="num"/>
        </w:tabs>
        <w:ind w:hanging="420" w:left="3840"/>
      </w:pPr>
      <w:rPr>
        <w:rFonts w:cs="Times New Roman"/>
      </w:rPr>
    </w:lvl>
    <w:lvl w:ilvl="8" w:tentative="1" w:tplc="0409001B">
      <w:start w:val="1"/>
      <w:numFmt w:val="lowerRoman"/>
      <w:lvlText w:val="%9."/>
      <w:lvlJc w:val="right"/>
      <w:pPr>
        <w:tabs>
          <w:tab w:pos="4260" w:val="num"/>
        </w:tabs>
        <w:ind w:hanging="420" w:left="4260"/>
      </w:pPr>
      <w:rPr>
        <w:rFonts w:cs="Times New Roman"/>
      </w:rPr>
    </w:lvl>
  </w:abstractNum>
  <w:abstractNum w:abstractNumId="2">
    <w:nsid w:val="32C43FA3"/>
    <w:multiLevelType w:val="hybridMultilevel"/>
    <w:tmpl w:val="2658615A"/>
    <w:lvl w:ilvl="0" w:tplc="04090001">
      <w:start w:val="1"/>
      <w:numFmt w:val="bullet"/>
      <w:lvlText w:val=""/>
      <w:lvlJc w:val="left"/>
      <w:pPr>
        <w:tabs>
          <w:tab w:pos="420" w:val="num"/>
        </w:tabs>
        <w:ind w:hanging="420" w:left="420"/>
      </w:pPr>
      <w:rPr>
        <w:rFonts w:ascii="Wingdings" w:hAnsi="Wingdings" w:hint="default"/>
      </w:rPr>
    </w:lvl>
    <w:lvl w:ilvl="1" w:tentative="1" w:tplc="04090003">
      <w:start w:val="1"/>
      <w:numFmt w:val="bullet"/>
      <w:lvlText w:val=""/>
      <w:lvlJc w:val="left"/>
      <w:pPr>
        <w:tabs>
          <w:tab w:pos="840" w:val="num"/>
        </w:tabs>
        <w:ind w:hanging="420" w:left="840"/>
      </w:pPr>
      <w:rPr>
        <w:rFonts w:ascii="Wingdings" w:hAnsi="Wingdings" w:hint="default"/>
      </w:rPr>
    </w:lvl>
    <w:lvl w:ilvl="2" w:tentative="1" w:tplc="04090005">
      <w:start w:val="1"/>
      <w:numFmt w:val="bullet"/>
      <w:lvlText w:val=""/>
      <w:lvlJc w:val="left"/>
      <w:pPr>
        <w:tabs>
          <w:tab w:pos="1260" w:val="num"/>
        </w:tabs>
        <w:ind w:hanging="420" w:left="1260"/>
      </w:pPr>
      <w:rPr>
        <w:rFonts w:ascii="Wingdings" w:hAnsi="Wingdings" w:hint="default"/>
      </w:rPr>
    </w:lvl>
    <w:lvl w:ilvl="3" w:tentative="1" w:tplc="04090001">
      <w:start w:val="1"/>
      <w:numFmt w:val="bullet"/>
      <w:lvlText w:val=""/>
      <w:lvlJc w:val="left"/>
      <w:pPr>
        <w:tabs>
          <w:tab w:pos="1680" w:val="num"/>
        </w:tabs>
        <w:ind w:hanging="420" w:left="1680"/>
      </w:pPr>
      <w:rPr>
        <w:rFonts w:ascii="Wingdings" w:hAnsi="Wingdings" w:hint="default"/>
      </w:rPr>
    </w:lvl>
    <w:lvl w:ilvl="4" w:tentative="1" w:tplc="04090003">
      <w:start w:val="1"/>
      <w:numFmt w:val="bullet"/>
      <w:lvlText w:val=""/>
      <w:lvlJc w:val="left"/>
      <w:pPr>
        <w:tabs>
          <w:tab w:pos="2100" w:val="num"/>
        </w:tabs>
        <w:ind w:hanging="420" w:left="2100"/>
      </w:pPr>
      <w:rPr>
        <w:rFonts w:ascii="Wingdings" w:hAnsi="Wingdings" w:hint="default"/>
      </w:rPr>
    </w:lvl>
    <w:lvl w:ilvl="5" w:tentative="1" w:tplc="04090005">
      <w:start w:val="1"/>
      <w:numFmt w:val="bullet"/>
      <w:lvlText w:val=""/>
      <w:lvlJc w:val="left"/>
      <w:pPr>
        <w:tabs>
          <w:tab w:pos="2520" w:val="num"/>
        </w:tabs>
        <w:ind w:hanging="420" w:left="2520"/>
      </w:pPr>
      <w:rPr>
        <w:rFonts w:ascii="Wingdings" w:hAnsi="Wingdings" w:hint="default"/>
      </w:rPr>
    </w:lvl>
    <w:lvl w:ilvl="6" w:tentative="1" w:tplc="04090001">
      <w:start w:val="1"/>
      <w:numFmt w:val="bullet"/>
      <w:lvlText w:val=""/>
      <w:lvlJc w:val="left"/>
      <w:pPr>
        <w:tabs>
          <w:tab w:pos="2940" w:val="num"/>
        </w:tabs>
        <w:ind w:hanging="420" w:left="2940"/>
      </w:pPr>
      <w:rPr>
        <w:rFonts w:ascii="Wingdings" w:hAnsi="Wingdings" w:hint="default"/>
      </w:rPr>
    </w:lvl>
    <w:lvl w:ilvl="7" w:tentative="1" w:tplc="04090003">
      <w:start w:val="1"/>
      <w:numFmt w:val="bullet"/>
      <w:lvlText w:val=""/>
      <w:lvlJc w:val="left"/>
      <w:pPr>
        <w:tabs>
          <w:tab w:pos="3360" w:val="num"/>
        </w:tabs>
        <w:ind w:hanging="420" w:left="3360"/>
      </w:pPr>
      <w:rPr>
        <w:rFonts w:ascii="Wingdings" w:hAnsi="Wingdings" w:hint="default"/>
      </w:rPr>
    </w:lvl>
    <w:lvl w:ilvl="8" w:tentative="1" w:tplc="04090005">
      <w:start w:val="1"/>
      <w:numFmt w:val="bullet"/>
      <w:lvlText w:val=""/>
      <w:lvlJc w:val="left"/>
      <w:pPr>
        <w:tabs>
          <w:tab w:pos="3780" w:val="num"/>
        </w:tabs>
        <w:ind w:hanging="420" w:left="3780"/>
      </w:pPr>
      <w:rPr>
        <w:rFonts w:ascii="Wingdings" w:hAnsi="Wingdings" w:hint="default"/>
      </w:rPr>
    </w:lvl>
  </w:abstractNum>
  <w:abstractNum w:abstractNumId="3">
    <w:nsid w:val="45342383"/>
    <w:multiLevelType w:val="multilevel"/>
    <w:tmpl w:val="0409001D"/>
    <w:styleLink w:val="5"/>
    <w:lvl w:ilvl="0">
      <w:start w:val="1"/>
      <w:numFmt w:val="decimal"/>
      <w:lvlText w:val="%1"/>
      <w:lvlJc w:val="left"/>
      <w:pPr>
        <w:tabs>
          <w:tab w:pos="425" w:val="num"/>
        </w:tabs>
        <w:ind w:hanging="425" w:left="425"/>
      </w:pPr>
      <w:rPr>
        <w:rFonts w:cs="Times New Roman"/>
      </w:rPr>
    </w:lvl>
    <w:lvl w:ilvl="1">
      <w:start w:val="1"/>
      <w:numFmt w:val="decimal"/>
      <w:lvlText w:val="%1.%2"/>
      <w:lvlJc w:val="left"/>
      <w:pPr>
        <w:tabs>
          <w:tab w:pos="992" w:val="num"/>
        </w:tabs>
        <w:ind w:hanging="567" w:left="992"/>
      </w:pPr>
      <w:rPr>
        <w:rFonts w:cs="Times New Roman"/>
      </w:rPr>
    </w:lvl>
    <w:lvl w:ilvl="2">
      <w:start w:val="1"/>
      <w:numFmt w:val="decimal"/>
      <w:lvlText w:val="%1.%2.%3"/>
      <w:lvlJc w:val="left"/>
      <w:pPr>
        <w:tabs>
          <w:tab w:pos="1418" w:val="num"/>
        </w:tabs>
        <w:ind w:hanging="567" w:left="1418"/>
      </w:pPr>
      <w:rPr>
        <w:rFonts w:cs="Times New Roman"/>
      </w:rPr>
    </w:lvl>
    <w:lvl w:ilvl="3">
      <w:start w:val="1"/>
      <w:numFmt w:val="decimal"/>
      <w:lvlText w:val="%1.%2.%3.%4"/>
      <w:lvlJc w:val="left"/>
      <w:pPr>
        <w:tabs>
          <w:tab w:pos="1984" w:val="num"/>
        </w:tabs>
        <w:ind w:hanging="708" w:left="1984"/>
      </w:pPr>
      <w:rPr>
        <w:rFonts w:cs="Times New Roman"/>
      </w:rPr>
    </w:lvl>
    <w:lvl w:ilvl="4">
      <w:start w:val="1"/>
      <w:numFmt w:val="decimal"/>
      <w:lvlText w:val="%1.%2.%3.%4.%5"/>
      <w:lvlJc w:val="left"/>
      <w:pPr>
        <w:tabs>
          <w:tab w:pos="2551" w:val="num"/>
        </w:tabs>
        <w:ind w:hanging="850" w:left="2551"/>
      </w:pPr>
      <w:rPr>
        <w:rFonts w:cs="Times New Roman"/>
      </w:rPr>
    </w:lvl>
    <w:lvl w:ilvl="5">
      <w:start w:val="1"/>
      <w:numFmt w:val="decimal"/>
      <w:lvlText w:val="%1.%2.%3.%4.%5.%6"/>
      <w:lvlJc w:val="left"/>
      <w:pPr>
        <w:tabs>
          <w:tab w:pos="3260" w:val="num"/>
        </w:tabs>
        <w:ind w:hanging="1134" w:left="3260"/>
      </w:pPr>
      <w:rPr>
        <w:rFonts w:cs="Times New Roman"/>
      </w:rPr>
    </w:lvl>
    <w:lvl w:ilvl="6">
      <w:start w:val="1"/>
      <w:numFmt w:val="decimal"/>
      <w:lvlText w:val="%1.%2.%3.%4.%5.%6.%7"/>
      <w:lvlJc w:val="left"/>
      <w:pPr>
        <w:tabs>
          <w:tab w:pos="3827" w:val="num"/>
        </w:tabs>
        <w:ind w:hanging="1276" w:left="3827"/>
      </w:pPr>
      <w:rPr>
        <w:rFonts w:cs="Times New Roman"/>
      </w:rPr>
    </w:lvl>
    <w:lvl w:ilvl="7">
      <w:start w:val="1"/>
      <w:numFmt w:val="decimal"/>
      <w:lvlText w:val="%1.%2.%3.%4.%5.%6.%7.%8"/>
      <w:lvlJc w:val="left"/>
      <w:pPr>
        <w:tabs>
          <w:tab w:pos="4394" w:val="num"/>
        </w:tabs>
        <w:ind w:hanging="1418" w:left="4394"/>
      </w:pPr>
      <w:rPr>
        <w:rFonts w:cs="Times New Roman"/>
      </w:rPr>
    </w:lvl>
    <w:lvl w:ilvl="8">
      <w:start w:val="1"/>
      <w:numFmt w:val="decimal"/>
      <w:lvlText w:val="%1.%2.%3.%4.%5.%6.%7.%8.%9"/>
      <w:lvlJc w:val="left"/>
      <w:pPr>
        <w:tabs>
          <w:tab w:pos="5102" w:val="num"/>
        </w:tabs>
        <w:ind w:hanging="1700" w:left="5102"/>
      </w:pPr>
      <w:rPr>
        <w:rFonts w:cs="Times New Roman"/>
      </w:rPr>
    </w:lvl>
  </w:abstractNum>
  <w:abstractNum w:abstractNumId="4">
    <w:nsid w:val="57E8240C"/>
    <w:multiLevelType w:val="hybridMultilevel"/>
    <w:tmpl w:val="300A7112"/>
    <w:lvl w:ilvl="0" w:tplc="3782FDB8">
      <w:start w:val="1"/>
      <w:numFmt w:val="decimal"/>
      <w:lvlText w:val="（%1）"/>
      <w:lvlJc w:val="left"/>
      <w:pPr>
        <w:tabs>
          <w:tab w:pos="1200" w:val="num"/>
        </w:tabs>
        <w:ind w:hanging="720" w:left="1200"/>
      </w:pPr>
      <w:rPr>
        <w:rFonts w:cs="Times New Roman" w:hint="eastAsia"/>
        <w:sz w:val="24"/>
      </w:rPr>
    </w:lvl>
    <w:lvl w:ilvl="1" w:tentative="1" w:tplc="04090019">
      <w:start w:val="1"/>
      <w:numFmt w:val="lowerLetter"/>
      <w:lvlText w:val="%2)"/>
      <w:lvlJc w:val="left"/>
      <w:pPr>
        <w:tabs>
          <w:tab w:pos="1320" w:val="num"/>
        </w:tabs>
        <w:ind w:hanging="420" w:left="1320"/>
      </w:pPr>
      <w:rPr>
        <w:rFonts w:cs="Times New Roman"/>
      </w:rPr>
    </w:lvl>
    <w:lvl w:ilvl="2" w:tentative="1" w:tplc="0409001B">
      <w:start w:val="1"/>
      <w:numFmt w:val="lowerRoman"/>
      <w:lvlText w:val="%3."/>
      <w:lvlJc w:val="right"/>
      <w:pPr>
        <w:tabs>
          <w:tab w:pos="1740" w:val="num"/>
        </w:tabs>
        <w:ind w:hanging="420" w:left="1740"/>
      </w:pPr>
      <w:rPr>
        <w:rFonts w:cs="Times New Roman"/>
      </w:rPr>
    </w:lvl>
    <w:lvl w:ilvl="3" w:tentative="1" w:tplc="0409000F">
      <w:start w:val="1"/>
      <w:numFmt w:val="decimal"/>
      <w:lvlText w:val="%4."/>
      <w:lvlJc w:val="left"/>
      <w:pPr>
        <w:tabs>
          <w:tab w:pos="2160" w:val="num"/>
        </w:tabs>
        <w:ind w:hanging="420" w:left="2160"/>
      </w:pPr>
      <w:rPr>
        <w:rFonts w:cs="Times New Roman"/>
      </w:rPr>
    </w:lvl>
    <w:lvl w:ilvl="4" w:tentative="1" w:tplc="04090019">
      <w:start w:val="1"/>
      <w:numFmt w:val="lowerLetter"/>
      <w:lvlText w:val="%5)"/>
      <w:lvlJc w:val="left"/>
      <w:pPr>
        <w:tabs>
          <w:tab w:pos="2580" w:val="num"/>
        </w:tabs>
        <w:ind w:hanging="420" w:left="2580"/>
      </w:pPr>
      <w:rPr>
        <w:rFonts w:cs="Times New Roman"/>
      </w:rPr>
    </w:lvl>
    <w:lvl w:ilvl="5" w:tentative="1" w:tplc="0409001B">
      <w:start w:val="1"/>
      <w:numFmt w:val="lowerRoman"/>
      <w:lvlText w:val="%6."/>
      <w:lvlJc w:val="right"/>
      <w:pPr>
        <w:tabs>
          <w:tab w:pos="3000" w:val="num"/>
        </w:tabs>
        <w:ind w:hanging="420" w:left="3000"/>
      </w:pPr>
      <w:rPr>
        <w:rFonts w:cs="Times New Roman"/>
      </w:rPr>
    </w:lvl>
    <w:lvl w:ilvl="6" w:tentative="1" w:tplc="0409000F">
      <w:start w:val="1"/>
      <w:numFmt w:val="decimal"/>
      <w:lvlText w:val="%7."/>
      <w:lvlJc w:val="left"/>
      <w:pPr>
        <w:tabs>
          <w:tab w:pos="3420" w:val="num"/>
        </w:tabs>
        <w:ind w:hanging="420" w:left="3420"/>
      </w:pPr>
      <w:rPr>
        <w:rFonts w:cs="Times New Roman"/>
      </w:rPr>
    </w:lvl>
    <w:lvl w:ilvl="7" w:tentative="1" w:tplc="04090019">
      <w:start w:val="1"/>
      <w:numFmt w:val="lowerLetter"/>
      <w:lvlText w:val="%8)"/>
      <w:lvlJc w:val="left"/>
      <w:pPr>
        <w:tabs>
          <w:tab w:pos="3840" w:val="num"/>
        </w:tabs>
        <w:ind w:hanging="420" w:left="3840"/>
      </w:pPr>
      <w:rPr>
        <w:rFonts w:cs="Times New Roman"/>
      </w:rPr>
    </w:lvl>
    <w:lvl w:ilvl="8" w:tentative="1" w:tplc="0409001B">
      <w:start w:val="1"/>
      <w:numFmt w:val="lowerRoman"/>
      <w:lvlText w:val="%9."/>
      <w:lvlJc w:val="right"/>
      <w:pPr>
        <w:tabs>
          <w:tab w:pos="4260" w:val="num"/>
        </w:tabs>
        <w:ind w:hanging="420" w:left="4260"/>
      </w:pPr>
      <w:rPr>
        <w:rFonts w:cs="Times New Roman"/>
      </w:rPr>
    </w:lvl>
  </w:abstractNum>
  <w:abstractNum w:abstractNumId="5">
    <w:nsid w:val="64C22724"/>
    <w:multiLevelType w:val="multilevel"/>
    <w:tmpl w:val="0409001D"/>
    <w:numStyleLink w:val="5"/>
  </w:abstractNum>
  <w:abstractNum w:abstractNumId="6">
    <w:nsid w:val="7EC34207"/>
    <w:multiLevelType w:val="hybridMultilevel"/>
    <w:tmpl w:val="58FC50DE"/>
    <w:lvl w:ilvl="0" w:tplc="788C0680">
      <w:start w:val="1"/>
      <w:numFmt w:val="japaneseCounting"/>
      <w:lvlText w:val="%1、"/>
      <w:lvlJc w:val="left"/>
      <w:pPr>
        <w:tabs>
          <w:tab w:pos="480" w:val="num"/>
        </w:tabs>
        <w:ind w:hanging="480" w:left="480"/>
      </w:pPr>
      <w:rPr>
        <w:rFonts w:cs="Times New Roman" w:eastAsia="宋体" w:hint="eastAsia"/>
        <w:color w:val="auto"/>
      </w:rPr>
    </w:lvl>
    <w:lvl w:ilvl="1" w:tplc="D5ACC954">
      <w:start w:val="1"/>
      <w:numFmt w:val="japaneseCounting"/>
      <w:lvlText w:val="(%2)"/>
      <w:lvlJc w:val="left"/>
      <w:pPr>
        <w:tabs>
          <w:tab w:pos="810" w:val="num"/>
        </w:tabs>
        <w:ind w:hanging="390" w:left="810"/>
      </w:pPr>
      <w:rPr>
        <w:rFonts w:cs="Times New Roman" w:hint="eastAsia"/>
      </w:rPr>
    </w:lvl>
    <w:lvl w:ilvl="2" w:tplc="E2F6B948">
      <w:start w:val="1"/>
      <w:numFmt w:val="decimal"/>
      <w:lvlText w:val="%3、"/>
      <w:lvlJc w:val="left"/>
      <w:pPr>
        <w:tabs>
          <w:tab w:pos="1200" w:val="num"/>
        </w:tabs>
        <w:ind w:hanging="360" w:left="1200"/>
      </w:pPr>
      <w:rPr>
        <w:rFonts w:cs="Times New Roman" w:hint="eastAsia"/>
      </w:rPr>
    </w:lvl>
    <w:lvl w:ilvl="3" w:tentative="1" w:tplc="0409000F">
      <w:start w:val="1"/>
      <w:numFmt w:val="decimal"/>
      <w:lvlText w:val="%4."/>
      <w:lvlJc w:val="left"/>
      <w:pPr>
        <w:tabs>
          <w:tab w:pos="1680" w:val="num"/>
        </w:tabs>
        <w:ind w:hanging="420" w:left="1680"/>
      </w:pPr>
      <w:rPr>
        <w:rFonts w:cs="Times New Roman"/>
      </w:rPr>
    </w:lvl>
    <w:lvl w:ilvl="4" w:tentative="1" w:tplc="04090019">
      <w:start w:val="1"/>
      <w:numFmt w:val="lowerLetter"/>
      <w:lvlText w:val="%5)"/>
      <w:lvlJc w:val="left"/>
      <w:pPr>
        <w:tabs>
          <w:tab w:pos="2100" w:val="num"/>
        </w:tabs>
        <w:ind w:hanging="420" w:left="2100"/>
      </w:pPr>
      <w:rPr>
        <w:rFonts w:cs="Times New Roman"/>
      </w:rPr>
    </w:lvl>
    <w:lvl w:ilvl="5" w:tentative="1" w:tplc="0409001B">
      <w:start w:val="1"/>
      <w:numFmt w:val="lowerRoman"/>
      <w:lvlText w:val="%6."/>
      <w:lvlJc w:val="right"/>
      <w:pPr>
        <w:tabs>
          <w:tab w:pos="2520" w:val="num"/>
        </w:tabs>
        <w:ind w:hanging="420" w:left="2520"/>
      </w:pPr>
      <w:rPr>
        <w:rFonts w:cs="Times New Roman"/>
      </w:rPr>
    </w:lvl>
    <w:lvl w:ilvl="6" w:tentative="1" w:tplc="0409000F">
      <w:start w:val="1"/>
      <w:numFmt w:val="decimal"/>
      <w:lvlText w:val="%7."/>
      <w:lvlJc w:val="left"/>
      <w:pPr>
        <w:tabs>
          <w:tab w:pos="2940" w:val="num"/>
        </w:tabs>
        <w:ind w:hanging="420" w:left="2940"/>
      </w:pPr>
      <w:rPr>
        <w:rFonts w:cs="Times New Roman"/>
      </w:rPr>
    </w:lvl>
    <w:lvl w:ilvl="7" w:tentative="1" w:tplc="04090019">
      <w:start w:val="1"/>
      <w:numFmt w:val="lowerLetter"/>
      <w:lvlText w:val="%8)"/>
      <w:lvlJc w:val="left"/>
      <w:pPr>
        <w:tabs>
          <w:tab w:pos="3360" w:val="num"/>
        </w:tabs>
        <w:ind w:hanging="420" w:left="3360"/>
      </w:pPr>
      <w:rPr>
        <w:rFonts w:cs="Times New Roman"/>
      </w:rPr>
    </w:lvl>
    <w:lvl w:ilvl="8" w:tentative="1" w:tplc="0409001B">
      <w:start w:val="1"/>
      <w:numFmt w:val="lowerRoman"/>
      <w:lvlText w:val="%9."/>
      <w:lvlJc w:val="right"/>
      <w:pPr>
        <w:tabs>
          <w:tab w:pos="3780" w:val="num"/>
        </w:tabs>
        <w:ind w:hanging="420" w:left="3780"/>
      </w:pPr>
      <w:rPr>
        <w:rFonts w:cs="Times New Roman"/>
      </w:rPr>
    </w:lvl>
  </w:abstractNum>
  <w:num w:numId="1">
    <w:abstractNumId w:val="6"/>
  </w:num>
  <w:num w:numId="2">
    <w:abstractNumId w:val="4"/>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2"/>
  </w:num>
  <w:num w:numId="7">
    <w:abstractNumId w:val="5"/>
    <w:lvlOverride w:ilvl="0">
      <w:lvl w:ilvl="0">
        <w:numFmt w:val="decimal"/>
        <w:lvlText w:val=""/>
        <w:lvlJc w:val="left"/>
        <w:rPr>
          <w:rFonts w:cs="Times New Roman"/>
        </w:rPr>
      </w:lvl>
    </w:lvlOverride>
    <w:lvlOverride w:ilvl="1">
      <w:lvl w:ilvl="1">
        <w:start w:val="1"/>
        <w:numFmt w:val="decimal"/>
        <w:lvlText w:val="%1.%2"/>
        <w:lvlJc w:val="left"/>
        <w:pPr>
          <w:tabs>
            <w:tab w:pos="992" w:val="num"/>
          </w:tabs>
          <w:ind w:hanging="567" w:left="992"/>
        </w:pPr>
        <w:rPr>
          <w:rFonts w:cs="Times New Roman"/>
        </w:rPr>
      </w:lvl>
    </w:lvlOverride>
    <w:lvlOverride w:ilvl="2">
      <w:lvl w:ilvl="2">
        <w:start w:val="1"/>
        <w:numFmt w:val="decimal"/>
        <w:lvlText w:val="%1.%2.%3"/>
        <w:lvlJc w:val="left"/>
        <w:pPr>
          <w:tabs>
            <w:tab w:pos="1418" w:val="num"/>
          </w:tabs>
          <w:ind w:hanging="567" w:left="1418"/>
        </w:pPr>
        <w:rPr>
          <w:rFonts w:cs="Times New Roman"/>
        </w:rPr>
      </w:lvl>
    </w:lvlOverride>
  </w:num>
  <w:num w:numId="8">
    <w:abstractNumId w:val="3"/>
  </w:num>
</w:numbering>
</file>

<file path=word/settings.xml><?xml version="1.0" encoding="utf-8"?>
<w:settings xmlns:m="http://schemas.openxmlformats.org/officeDocument/2006/math" xmlns:mc="http://schemas.openxmlformats.org/markup-compatibility/2006"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xmlns:w14="http://schemas.microsoft.com/office/word/2010/wordml" mc:Ignorable="w14">
  <w:zoom w:percent="100"/>
  <w:printPostScriptOverText/>
  <w:bordersDoNotSurroundHeader/>
  <w:bordersDoNotSurroundFooter/>
  <w:proofState w:grammar="clean" w:spelling="clean"/>
  <w:attachedTemplate r:id="rId1"/>
  <w:stylePaneFormatFilter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al="3F01" w:visibleStyles="0"/>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spidmax="2049" v:ext="edi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302187"/>
    <w:rsid w:val="0000059C"/>
    <w:rsid w:val="000008B1"/>
    <w:rsid w:val="0000403B"/>
    <w:rsid w:val="00007441"/>
    <w:rsid w:val="00007F1F"/>
    <w:rsid w:val="000108A5"/>
    <w:rsid w:val="00010A83"/>
    <w:rsid w:val="000137C1"/>
    <w:rsid w:val="0001579C"/>
    <w:rsid w:val="0001612A"/>
    <w:rsid w:val="00016551"/>
    <w:rsid w:val="00020737"/>
    <w:rsid w:val="00020C27"/>
    <w:rsid w:val="000219D5"/>
    <w:rsid w:val="00022396"/>
    <w:rsid w:val="00023073"/>
    <w:rsid w:val="00023B86"/>
    <w:rsid w:val="00023B97"/>
    <w:rsid w:val="00024836"/>
    <w:rsid w:val="000252D8"/>
    <w:rsid w:val="0003338D"/>
    <w:rsid w:val="0003564A"/>
    <w:rsid w:val="00037B55"/>
    <w:rsid w:val="00037C73"/>
    <w:rsid w:val="00041CC8"/>
    <w:rsid w:val="00042065"/>
    <w:rsid w:val="00043FD2"/>
    <w:rsid w:val="00045558"/>
    <w:rsid w:val="00045BA9"/>
    <w:rsid w:val="00047D87"/>
    <w:rsid w:val="000510AB"/>
    <w:rsid w:val="00053FFD"/>
    <w:rsid w:val="00056D5C"/>
    <w:rsid w:val="00061B0B"/>
    <w:rsid w:val="00061E09"/>
    <w:rsid w:val="00062C69"/>
    <w:rsid w:val="00062E1F"/>
    <w:rsid w:val="00064601"/>
    <w:rsid w:val="00064AE3"/>
    <w:rsid w:val="00064F4B"/>
    <w:rsid w:val="00065ABE"/>
    <w:rsid w:val="0006750A"/>
    <w:rsid w:val="000776C0"/>
    <w:rsid w:val="00077849"/>
    <w:rsid w:val="000803AD"/>
    <w:rsid w:val="000813D6"/>
    <w:rsid w:val="00081D05"/>
    <w:rsid w:val="000827CC"/>
    <w:rsid w:val="000871DB"/>
    <w:rsid w:val="000922C5"/>
    <w:rsid w:val="0009314F"/>
    <w:rsid w:val="00093A23"/>
    <w:rsid w:val="00097169"/>
    <w:rsid w:val="000A08FC"/>
    <w:rsid w:val="000A15F1"/>
    <w:rsid w:val="000A1617"/>
    <w:rsid w:val="000A40A5"/>
    <w:rsid w:val="000A457E"/>
    <w:rsid w:val="000A549A"/>
    <w:rsid w:val="000A5A81"/>
    <w:rsid w:val="000A6D8C"/>
    <w:rsid w:val="000A72F2"/>
    <w:rsid w:val="000A7BFD"/>
    <w:rsid w:val="000B000E"/>
    <w:rsid w:val="000B1CB9"/>
    <w:rsid w:val="000B24AF"/>
    <w:rsid w:val="000B251E"/>
    <w:rsid w:val="000B3E43"/>
    <w:rsid w:val="000B4E99"/>
    <w:rsid w:val="000B5B16"/>
    <w:rsid w:val="000B648A"/>
    <w:rsid w:val="000C45E7"/>
    <w:rsid w:val="000C5956"/>
    <w:rsid w:val="000C757F"/>
    <w:rsid w:val="000C7DD4"/>
    <w:rsid w:val="000D1164"/>
    <w:rsid w:val="000D1BBE"/>
    <w:rsid w:val="000D3773"/>
    <w:rsid w:val="000D4DE9"/>
    <w:rsid w:val="000D58E0"/>
    <w:rsid w:val="000D6660"/>
    <w:rsid w:val="000D6BA0"/>
    <w:rsid w:val="000D7ECA"/>
    <w:rsid w:val="000E2F81"/>
    <w:rsid w:val="000E3726"/>
    <w:rsid w:val="000E39DB"/>
    <w:rsid w:val="000F0558"/>
    <w:rsid w:val="000F0AC3"/>
    <w:rsid w:val="000F1611"/>
    <w:rsid w:val="000F175F"/>
    <w:rsid w:val="000F17D1"/>
    <w:rsid w:val="000F1CC9"/>
    <w:rsid w:val="000F5ABD"/>
    <w:rsid w:val="000F60FF"/>
    <w:rsid w:val="000F6F7C"/>
    <w:rsid w:val="001005BB"/>
    <w:rsid w:val="00103B0E"/>
    <w:rsid w:val="001040EA"/>
    <w:rsid w:val="00112BCF"/>
    <w:rsid w:val="00114E7E"/>
    <w:rsid w:val="00117465"/>
    <w:rsid w:val="00117F22"/>
    <w:rsid w:val="00120280"/>
    <w:rsid w:val="001207F2"/>
    <w:rsid w:val="00121533"/>
    <w:rsid w:val="0012304E"/>
    <w:rsid w:val="00123051"/>
    <w:rsid w:val="0012558C"/>
    <w:rsid w:val="001257C7"/>
    <w:rsid w:val="00125E66"/>
    <w:rsid w:val="001262F4"/>
    <w:rsid w:val="001263E1"/>
    <w:rsid w:val="00126AC0"/>
    <w:rsid w:val="00126C2B"/>
    <w:rsid w:val="00127A01"/>
    <w:rsid w:val="00130D77"/>
    <w:rsid w:val="00131EF6"/>
    <w:rsid w:val="0013251D"/>
    <w:rsid w:val="00134734"/>
    <w:rsid w:val="00134CBE"/>
    <w:rsid w:val="00140C30"/>
    <w:rsid w:val="001427AE"/>
    <w:rsid w:val="00142C74"/>
    <w:rsid w:val="001453EF"/>
    <w:rsid w:val="00145E5B"/>
    <w:rsid w:val="00147319"/>
    <w:rsid w:val="00147551"/>
    <w:rsid w:val="0015012F"/>
    <w:rsid w:val="00150C2E"/>
    <w:rsid w:val="0015170D"/>
    <w:rsid w:val="001517AE"/>
    <w:rsid w:val="00154FA5"/>
    <w:rsid w:val="0015531A"/>
    <w:rsid w:val="00156F9D"/>
    <w:rsid w:val="001602E3"/>
    <w:rsid w:val="00160539"/>
    <w:rsid w:val="00161548"/>
    <w:rsid w:val="00162D92"/>
    <w:rsid w:val="0016464C"/>
    <w:rsid w:val="0017176A"/>
    <w:rsid w:val="00172B54"/>
    <w:rsid w:val="00174038"/>
    <w:rsid w:val="00174D16"/>
    <w:rsid w:val="00176874"/>
    <w:rsid w:val="0017725A"/>
    <w:rsid w:val="0018052A"/>
    <w:rsid w:val="00180952"/>
    <w:rsid w:val="0018191A"/>
    <w:rsid w:val="00185B68"/>
    <w:rsid w:val="00186199"/>
    <w:rsid w:val="001874E3"/>
    <w:rsid w:val="001878B0"/>
    <w:rsid w:val="00194155"/>
    <w:rsid w:val="001A0417"/>
    <w:rsid w:val="001A0B71"/>
    <w:rsid w:val="001A1389"/>
    <w:rsid w:val="001A3016"/>
    <w:rsid w:val="001A3914"/>
    <w:rsid w:val="001A5FA6"/>
    <w:rsid w:val="001B053A"/>
    <w:rsid w:val="001B08B3"/>
    <w:rsid w:val="001B0A62"/>
    <w:rsid w:val="001B0C78"/>
    <w:rsid w:val="001B151C"/>
    <w:rsid w:val="001B1A13"/>
    <w:rsid w:val="001B22BA"/>
    <w:rsid w:val="001B3C1C"/>
    <w:rsid w:val="001B4983"/>
    <w:rsid w:val="001C2045"/>
    <w:rsid w:val="001C5040"/>
    <w:rsid w:val="001C715A"/>
    <w:rsid w:val="001D0DB0"/>
    <w:rsid w:val="001D0F6A"/>
    <w:rsid w:val="001D2FA5"/>
    <w:rsid w:val="001D3394"/>
    <w:rsid w:val="001D3D57"/>
    <w:rsid w:val="001D4980"/>
    <w:rsid w:val="001D5045"/>
    <w:rsid w:val="001D5A44"/>
    <w:rsid w:val="001D5CD0"/>
    <w:rsid w:val="001D63BB"/>
    <w:rsid w:val="001D724B"/>
    <w:rsid w:val="001E023C"/>
    <w:rsid w:val="001E0BA5"/>
    <w:rsid w:val="001F03E1"/>
    <w:rsid w:val="001F1F19"/>
    <w:rsid w:val="001F2BD1"/>
    <w:rsid w:val="001F3080"/>
    <w:rsid w:val="001F3CC6"/>
    <w:rsid w:val="001F5F5F"/>
    <w:rsid w:val="001F60E9"/>
    <w:rsid w:val="002035B9"/>
    <w:rsid w:val="00205064"/>
    <w:rsid w:val="0020548A"/>
    <w:rsid w:val="002079FA"/>
    <w:rsid w:val="00211668"/>
    <w:rsid w:val="002118A6"/>
    <w:rsid w:val="002122FF"/>
    <w:rsid w:val="002125F7"/>
    <w:rsid w:val="0021288A"/>
    <w:rsid w:val="002150AC"/>
    <w:rsid w:val="0021650B"/>
    <w:rsid w:val="00221938"/>
    <w:rsid w:val="00222262"/>
    <w:rsid w:val="00222ABD"/>
    <w:rsid w:val="002230A8"/>
    <w:rsid w:val="00227D20"/>
    <w:rsid w:val="00231BCE"/>
    <w:rsid w:val="0023336A"/>
    <w:rsid w:val="002359EB"/>
    <w:rsid w:val="0023649E"/>
    <w:rsid w:val="00236926"/>
    <w:rsid w:val="00241740"/>
    <w:rsid w:val="002424E4"/>
    <w:rsid w:val="00243122"/>
    <w:rsid w:val="002437F5"/>
    <w:rsid w:val="00244DB1"/>
    <w:rsid w:val="00244FDA"/>
    <w:rsid w:val="00245012"/>
    <w:rsid w:val="0024504E"/>
    <w:rsid w:val="0024651F"/>
    <w:rsid w:val="00246874"/>
    <w:rsid w:val="00246D81"/>
    <w:rsid w:val="00250869"/>
    <w:rsid w:val="00251920"/>
    <w:rsid w:val="00253D3C"/>
    <w:rsid w:val="00254A7E"/>
    <w:rsid w:val="00255292"/>
    <w:rsid w:val="00256047"/>
    <w:rsid w:val="0025722F"/>
    <w:rsid w:val="00257E84"/>
    <w:rsid w:val="00260200"/>
    <w:rsid w:val="00263106"/>
    <w:rsid w:val="002642F2"/>
    <w:rsid w:val="00264AE1"/>
    <w:rsid w:val="00264E55"/>
    <w:rsid w:val="00266645"/>
    <w:rsid w:val="00267386"/>
    <w:rsid w:val="00267C2E"/>
    <w:rsid w:val="00267DA9"/>
    <w:rsid w:val="00273E5C"/>
    <w:rsid w:val="0027576B"/>
    <w:rsid w:val="00275FD0"/>
    <w:rsid w:val="00280514"/>
    <w:rsid w:val="002810D8"/>
    <w:rsid w:val="002819E7"/>
    <w:rsid w:val="00282FF2"/>
    <w:rsid w:val="00283483"/>
    <w:rsid w:val="002844B5"/>
    <w:rsid w:val="0028459B"/>
    <w:rsid w:val="00285618"/>
    <w:rsid w:val="002872F8"/>
    <w:rsid w:val="00293065"/>
    <w:rsid w:val="002953E8"/>
    <w:rsid w:val="00296E4A"/>
    <w:rsid w:val="00297260"/>
    <w:rsid w:val="002976E5"/>
    <w:rsid w:val="002A1F14"/>
    <w:rsid w:val="002A2678"/>
    <w:rsid w:val="002A3369"/>
    <w:rsid w:val="002A3965"/>
    <w:rsid w:val="002A4B8A"/>
    <w:rsid w:val="002A5161"/>
    <w:rsid w:val="002A5C0F"/>
    <w:rsid w:val="002A6385"/>
    <w:rsid w:val="002A7929"/>
    <w:rsid w:val="002B41D7"/>
    <w:rsid w:val="002B5240"/>
    <w:rsid w:val="002B6A13"/>
    <w:rsid w:val="002C0904"/>
    <w:rsid w:val="002C0F67"/>
    <w:rsid w:val="002C1E84"/>
    <w:rsid w:val="002C36C3"/>
    <w:rsid w:val="002C77CC"/>
    <w:rsid w:val="002D2A00"/>
    <w:rsid w:val="002D5199"/>
    <w:rsid w:val="002E2862"/>
    <w:rsid w:val="002E2BEF"/>
    <w:rsid w:val="002E356A"/>
    <w:rsid w:val="002E4C01"/>
    <w:rsid w:val="002F0516"/>
    <w:rsid w:val="002F22D2"/>
    <w:rsid w:val="002F778A"/>
    <w:rsid w:val="00302187"/>
    <w:rsid w:val="003028D8"/>
    <w:rsid w:val="0030290F"/>
    <w:rsid w:val="00302DE9"/>
    <w:rsid w:val="00302FAB"/>
    <w:rsid w:val="00303869"/>
    <w:rsid w:val="00303F1D"/>
    <w:rsid w:val="00305084"/>
    <w:rsid w:val="00305153"/>
    <w:rsid w:val="00311ABF"/>
    <w:rsid w:val="00314A81"/>
    <w:rsid w:val="00314DD2"/>
    <w:rsid w:val="00315A7C"/>
    <w:rsid w:val="00317705"/>
    <w:rsid w:val="00320453"/>
    <w:rsid w:val="003204E9"/>
    <w:rsid w:val="003232AA"/>
    <w:rsid w:val="00323A10"/>
    <w:rsid w:val="00323E6A"/>
    <w:rsid w:val="00323F25"/>
    <w:rsid w:val="00324A71"/>
    <w:rsid w:val="003303E3"/>
    <w:rsid w:val="00334656"/>
    <w:rsid w:val="00337A86"/>
    <w:rsid w:val="0034147B"/>
    <w:rsid w:val="00341889"/>
    <w:rsid w:val="003426CE"/>
    <w:rsid w:val="00343016"/>
    <w:rsid w:val="0034447B"/>
    <w:rsid w:val="00351704"/>
    <w:rsid w:val="003570C8"/>
    <w:rsid w:val="00367770"/>
    <w:rsid w:val="00371424"/>
    <w:rsid w:val="00371FF4"/>
    <w:rsid w:val="00372209"/>
    <w:rsid w:val="003771ED"/>
    <w:rsid w:val="0037768B"/>
    <w:rsid w:val="00381791"/>
    <w:rsid w:val="00382E6F"/>
    <w:rsid w:val="00387C00"/>
    <w:rsid w:val="00397960"/>
    <w:rsid w:val="00397F75"/>
    <w:rsid w:val="003A2008"/>
    <w:rsid w:val="003A3BC4"/>
    <w:rsid w:val="003A4AA3"/>
    <w:rsid w:val="003B405E"/>
    <w:rsid w:val="003B4843"/>
    <w:rsid w:val="003B494E"/>
    <w:rsid w:val="003C6E9E"/>
    <w:rsid w:val="003C792F"/>
    <w:rsid w:val="003D117A"/>
    <w:rsid w:val="003D36B2"/>
    <w:rsid w:val="003D42D5"/>
    <w:rsid w:val="003D656E"/>
    <w:rsid w:val="003D7783"/>
    <w:rsid w:val="003D78B5"/>
    <w:rsid w:val="003E0BD4"/>
    <w:rsid w:val="003E45B9"/>
    <w:rsid w:val="003E654C"/>
    <w:rsid w:val="003F0DE5"/>
    <w:rsid w:val="003F0E22"/>
    <w:rsid w:val="003F1058"/>
    <w:rsid w:val="003F13CD"/>
    <w:rsid w:val="003F46FC"/>
    <w:rsid w:val="003F4AA5"/>
    <w:rsid w:val="003F697D"/>
    <w:rsid w:val="003F7C45"/>
    <w:rsid w:val="00400500"/>
    <w:rsid w:val="0040132C"/>
    <w:rsid w:val="00404257"/>
    <w:rsid w:val="00407F66"/>
    <w:rsid w:val="004113B4"/>
    <w:rsid w:val="0041220A"/>
    <w:rsid w:val="00413B96"/>
    <w:rsid w:val="00413C2C"/>
    <w:rsid w:val="00414367"/>
    <w:rsid w:val="00415168"/>
    <w:rsid w:val="00415A8A"/>
    <w:rsid w:val="00415B04"/>
    <w:rsid w:val="00416A6B"/>
    <w:rsid w:val="0042044C"/>
    <w:rsid w:val="00421624"/>
    <w:rsid w:val="00424151"/>
    <w:rsid w:val="00425208"/>
    <w:rsid w:val="00425A5A"/>
    <w:rsid w:val="00425FB6"/>
    <w:rsid w:val="004268BB"/>
    <w:rsid w:val="0042785F"/>
    <w:rsid w:val="004314FF"/>
    <w:rsid w:val="004408EC"/>
    <w:rsid w:val="00440F74"/>
    <w:rsid w:val="00441816"/>
    <w:rsid w:val="00441FEC"/>
    <w:rsid w:val="004425E8"/>
    <w:rsid w:val="00443C8F"/>
    <w:rsid w:val="00447BC6"/>
    <w:rsid w:val="004501CE"/>
    <w:rsid w:val="00452481"/>
    <w:rsid w:val="00454A0F"/>
    <w:rsid w:val="0046335D"/>
    <w:rsid w:val="00463C2C"/>
    <w:rsid w:val="00471D81"/>
    <w:rsid w:val="004733AC"/>
    <w:rsid w:val="00483271"/>
    <w:rsid w:val="00490F85"/>
    <w:rsid w:val="0049210E"/>
    <w:rsid w:val="0049297D"/>
    <w:rsid w:val="0049327D"/>
    <w:rsid w:val="0049405D"/>
    <w:rsid w:val="0049455C"/>
    <w:rsid w:val="00495A03"/>
    <w:rsid w:val="004A135B"/>
    <w:rsid w:val="004A1BE1"/>
    <w:rsid w:val="004A3251"/>
    <w:rsid w:val="004A4980"/>
    <w:rsid w:val="004A4F68"/>
    <w:rsid w:val="004A63CB"/>
    <w:rsid w:val="004A67B0"/>
    <w:rsid w:val="004A6FB2"/>
    <w:rsid w:val="004B0847"/>
    <w:rsid w:val="004B0E6D"/>
    <w:rsid w:val="004B16E8"/>
    <w:rsid w:val="004B67DB"/>
    <w:rsid w:val="004C0541"/>
    <w:rsid w:val="004C3A16"/>
    <w:rsid w:val="004C634A"/>
    <w:rsid w:val="004C660B"/>
    <w:rsid w:val="004D050C"/>
    <w:rsid w:val="004D23D9"/>
    <w:rsid w:val="004D29A9"/>
    <w:rsid w:val="004D3537"/>
    <w:rsid w:val="004D4D4E"/>
    <w:rsid w:val="004D614E"/>
    <w:rsid w:val="004D650F"/>
    <w:rsid w:val="004E2133"/>
    <w:rsid w:val="004E4E04"/>
    <w:rsid w:val="004E6CBA"/>
    <w:rsid w:val="004F521C"/>
    <w:rsid w:val="00502CD8"/>
    <w:rsid w:val="0050361C"/>
    <w:rsid w:val="00503BF4"/>
    <w:rsid w:val="00506A40"/>
    <w:rsid w:val="0051064F"/>
    <w:rsid w:val="00513461"/>
    <w:rsid w:val="00513A0E"/>
    <w:rsid w:val="00515D7B"/>
    <w:rsid w:val="00515F29"/>
    <w:rsid w:val="0052009E"/>
    <w:rsid w:val="00523F04"/>
    <w:rsid w:val="00524368"/>
    <w:rsid w:val="0052438C"/>
    <w:rsid w:val="00526282"/>
    <w:rsid w:val="00530161"/>
    <w:rsid w:val="00532DB7"/>
    <w:rsid w:val="00536F71"/>
    <w:rsid w:val="00544342"/>
    <w:rsid w:val="005450F7"/>
    <w:rsid w:val="00545A0B"/>
    <w:rsid w:val="0054672F"/>
    <w:rsid w:val="00547FA4"/>
    <w:rsid w:val="005536D4"/>
    <w:rsid w:val="00553EC8"/>
    <w:rsid w:val="005564EE"/>
    <w:rsid w:val="00557D4A"/>
    <w:rsid w:val="0056176B"/>
    <w:rsid w:val="00561889"/>
    <w:rsid w:val="005621F6"/>
    <w:rsid w:val="0056291C"/>
    <w:rsid w:val="005668D3"/>
    <w:rsid w:val="00566EBD"/>
    <w:rsid w:val="00571535"/>
    <w:rsid w:val="0057154B"/>
    <w:rsid w:val="0057278A"/>
    <w:rsid w:val="005742DB"/>
    <w:rsid w:val="00575C75"/>
    <w:rsid w:val="00577209"/>
    <w:rsid w:val="005800A9"/>
    <w:rsid w:val="00581139"/>
    <w:rsid w:val="00581645"/>
    <w:rsid w:val="0058694E"/>
    <w:rsid w:val="005875F9"/>
    <w:rsid w:val="00593A35"/>
    <w:rsid w:val="00593C74"/>
    <w:rsid w:val="00594934"/>
    <w:rsid w:val="005954CF"/>
    <w:rsid w:val="00597D8B"/>
    <w:rsid w:val="005A46FF"/>
    <w:rsid w:val="005A557E"/>
    <w:rsid w:val="005A63FD"/>
    <w:rsid w:val="005B462A"/>
    <w:rsid w:val="005B5137"/>
    <w:rsid w:val="005B6047"/>
    <w:rsid w:val="005C0ED7"/>
    <w:rsid w:val="005C5409"/>
    <w:rsid w:val="005C62A5"/>
    <w:rsid w:val="005C6FF7"/>
    <w:rsid w:val="005C7D00"/>
    <w:rsid w:val="005D01A4"/>
    <w:rsid w:val="005D0BAB"/>
    <w:rsid w:val="005D1893"/>
    <w:rsid w:val="005D26E9"/>
    <w:rsid w:val="005D2CAA"/>
    <w:rsid w:val="005D4B66"/>
    <w:rsid w:val="005D4CBA"/>
    <w:rsid w:val="005E01A3"/>
    <w:rsid w:val="005E0354"/>
    <w:rsid w:val="005E6C62"/>
    <w:rsid w:val="005E6F13"/>
    <w:rsid w:val="005E726C"/>
    <w:rsid w:val="005F293E"/>
    <w:rsid w:val="005F43B9"/>
    <w:rsid w:val="005F458B"/>
    <w:rsid w:val="005F4A6A"/>
    <w:rsid w:val="005F4E28"/>
    <w:rsid w:val="005F56BA"/>
    <w:rsid w:val="0060008E"/>
    <w:rsid w:val="00602321"/>
    <w:rsid w:val="006033E3"/>
    <w:rsid w:val="00606B29"/>
    <w:rsid w:val="0060758A"/>
    <w:rsid w:val="00607D0E"/>
    <w:rsid w:val="006101F5"/>
    <w:rsid w:val="00610DA5"/>
    <w:rsid w:val="00611663"/>
    <w:rsid w:val="00611CB2"/>
    <w:rsid w:val="0061321C"/>
    <w:rsid w:val="00613F44"/>
    <w:rsid w:val="006160BD"/>
    <w:rsid w:val="00620EDB"/>
    <w:rsid w:val="0062386E"/>
    <w:rsid w:val="00624C10"/>
    <w:rsid w:val="006253EF"/>
    <w:rsid w:val="00626075"/>
    <w:rsid w:val="0062680E"/>
    <w:rsid w:val="00630C47"/>
    <w:rsid w:val="00631158"/>
    <w:rsid w:val="00632923"/>
    <w:rsid w:val="006341E6"/>
    <w:rsid w:val="00634439"/>
    <w:rsid w:val="006366C6"/>
    <w:rsid w:val="00636B55"/>
    <w:rsid w:val="00636EB1"/>
    <w:rsid w:val="006373D6"/>
    <w:rsid w:val="006403D4"/>
    <w:rsid w:val="00642CBC"/>
    <w:rsid w:val="0064454A"/>
    <w:rsid w:val="00645293"/>
    <w:rsid w:val="006456D3"/>
    <w:rsid w:val="00651B78"/>
    <w:rsid w:val="0065237A"/>
    <w:rsid w:val="00652FF5"/>
    <w:rsid w:val="0065303C"/>
    <w:rsid w:val="00653246"/>
    <w:rsid w:val="00654382"/>
    <w:rsid w:val="006548FA"/>
    <w:rsid w:val="0066098B"/>
    <w:rsid w:val="00661244"/>
    <w:rsid w:val="006640DF"/>
    <w:rsid w:val="00666A3C"/>
    <w:rsid w:val="00667519"/>
    <w:rsid w:val="006676A0"/>
    <w:rsid w:val="00670857"/>
    <w:rsid w:val="00670868"/>
    <w:rsid w:val="00673D69"/>
    <w:rsid w:val="00676431"/>
    <w:rsid w:val="00677A9C"/>
    <w:rsid w:val="0068050D"/>
    <w:rsid w:val="00684C6B"/>
    <w:rsid w:val="00685FFC"/>
    <w:rsid w:val="00686943"/>
    <w:rsid w:val="00686EDE"/>
    <w:rsid w:val="00687AD5"/>
    <w:rsid w:val="00690A31"/>
    <w:rsid w:val="006911CE"/>
    <w:rsid w:val="00692002"/>
    <w:rsid w:val="00695251"/>
    <w:rsid w:val="00695B58"/>
    <w:rsid w:val="006A1153"/>
    <w:rsid w:val="006A4828"/>
    <w:rsid w:val="006A7C09"/>
    <w:rsid w:val="006B046C"/>
    <w:rsid w:val="006B252F"/>
    <w:rsid w:val="006B3940"/>
    <w:rsid w:val="006B4B1E"/>
    <w:rsid w:val="006B7FA5"/>
    <w:rsid w:val="006C168D"/>
    <w:rsid w:val="006C21E6"/>
    <w:rsid w:val="006C4033"/>
    <w:rsid w:val="006C5BC9"/>
    <w:rsid w:val="006C642C"/>
    <w:rsid w:val="006C7247"/>
    <w:rsid w:val="006D462B"/>
    <w:rsid w:val="006D7386"/>
    <w:rsid w:val="006E0DAD"/>
    <w:rsid w:val="006E313F"/>
    <w:rsid w:val="006E6CA2"/>
    <w:rsid w:val="006F1F1A"/>
    <w:rsid w:val="006F5AC2"/>
    <w:rsid w:val="006F6C28"/>
    <w:rsid w:val="007007EB"/>
    <w:rsid w:val="00701109"/>
    <w:rsid w:val="00701F57"/>
    <w:rsid w:val="00701FD8"/>
    <w:rsid w:val="00703E8A"/>
    <w:rsid w:val="00706046"/>
    <w:rsid w:val="007112F0"/>
    <w:rsid w:val="00711343"/>
    <w:rsid w:val="00714309"/>
    <w:rsid w:val="0071450F"/>
    <w:rsid w:val="00717772"/>
    <w:rsid w:val="00720B42"/>
    <w:rsid w:val="00721DBE"/>
    <w:rsid w:val="007226EC"/>
    <w:rsid w:val="00722B5E"/>
    <w:rsid w:val="00724F6D"/>
    <w:rsid w:val="0072678C"/>
    <w:rsid w:val="00732D1D"/>
    <w:rsid w:val="00734119"/>
    <w:rsid w:val="007350D4"/>
    <w:rsid w:val="00736034"/>
    <w:rsid w:val="00736D15"/>
    <w:rsid w:val="00740707"/>
    <w:rsid w:val="0074120F"/>
    <w:rsid w:val="00743764"/>
    <w:rsid w:val="00743B2D"/>
    <w:rsid w:val="00747930"/>
    <w:rsid w:val="0075060E"/>
    <w:rsid w:val="00752E8B"/>
    <w:rsid w:val="007541BB"/>
    <w:rsid w:val="00754D62"/>
    <w:rsid w:val="00756CFF"/>
    <w:rsid w:val="00757FD7"/>
    <w:rsid w:val="00761B7A"/>
    <w:rsid w:val="007651E5"/>
    <w:rsid w:val="00765256"/>
    <w:rsid w:val="007661D4"/>
    <w:rsid w:val="007661FD"/>
    <w:rsid w:val="00766A7C"/>
    <w:rsid w:val="00767A27"/>
    <w:rsid w:val="0077111A"/>
    <w:rsid w:val="00775419"/>
    <w:rsid w:val="007763A5"/>
    <w:rsid w:val="0078105B"/>
    <w:rsid w:val="00782B50"/>
    <w:rsid w:val="007836C2"/>
    <w:rsid w:val="00784FE0"/>
    <w:rsid w:val="007858B1"/>
    <w:rsid w:val="0078648E"/>
    <w:rsid w:val="00790803"/>
    <w:rsid w:val="00791A3A"/>
    <w:rsid w:val="00791D9C"/>
    <w:rsid w:val="007A391B"/>
    <w:rsid w:val="007A4409"/>
    <w:rsid w:val="007A4F37"/>
    <w:rsid w:val="007A5241"/>
    <w:rsid w:val="007A59B8"/>
    <w:rsid w:val="007B06C7"/>
    <w:rsid w:val="007B3D06"/>
    <w:rsid w:val="007B42F5"/>
    <w:rsid w:val="007B5157"/>
    <w:rsid w:val="007B5CD8"/>
    <w:rsid w:val="007C1122"/>
    <w:rsid w:val="007C19EC"/>
    <w:rsid w:val="007C364E"/>
    <w:rsid w:val="007C5359"/>
    <w:rsid w:val="007C6701"/>
    <w:rsid w:val="007D16ED"/>
    <w:rsid w:val="007D2398"/>
    <w:rsid w:val="007D440B"/>
    <w:rsid w:val="007D62F9"/>
    <w:rsid w:val="007D63A4"/>
    <w:rsid w:val="007D732D"/>
    <w:rsid w:val="007D7C43"/>
    <w:rsid w:val="007E0F19"/>
    <w:rsid w:val="007E2A84"/>
    <w:rsid w:val="007E5ECB"/>
    <w:rsid w:val="007F063D"/>
    <w:rsid w:val="007F0D73"/>
    <w:rsid w:val="007F153F"/>
    <w:rsid w:val="007F3137"/>
    <w:rsid w:val="007F432A"/>
    <w:rsid w:val="007F63AA"/>
    <w:rsid w:val="008006B7"/>
    <w:rsid w:val="008032FD"/>
    <w:rsid w:val="00806461"/>
    <w:rsid w:val="008064CE"/>
    <w:rsid w:val="0080673A"/>
    <w:rsid w:val="00807A94"/>
    <w:rsid w:val="00810B79"/>
    <w:rsid w:val="00810EAD"/>
    <w:rsid w:val="00814530"/>
    <w:rsid w:val="00815386"/>
    <w:rsid w:val="00821F9C"/>
    <w:rsid w:val="00825570"/>
    <w:rsid w:val="00826403"/>
    <w:rsid w:val="00827990"/>
    <w:rsid w:val="00834CA6"/>
    <w:rsid w:val="00835146"/>
    <w:rsid w:val="0083623B"/>
    <w:rsid w:val="00836C5A"/>
    <w:rsid w:val="00837E59"/>
    <w:rsid w:val="00840AC0"/>
    <w:rsid w:val="00842100"/>
    <w:rsid w:val="008428A9"/>
    <w:rsid w:val="0084308F"/>
    <w:rsid w:val="00846C2B"/>
    <w:rsid w:val="0085139A"/>
    <w:rsid w:val="008524F6"/>
    <w:rsid w:val="008532F3"/>
    <w:rsid w:val="00854B3F"/>
    <w:rsid w:val="00861C2C"/>
    <w:rsid w:val="00863744"/>
    <w:rsid w:val="00865CFA"/>
    <w:rsid w:val="008668B8"/>
    <w:rsid w:val="0086748F"/>
    <w:rsid w:val="00867B4D"/>
    <w:rsid w:val="00867CF3"/>
    <w:rsid w:val="00874AA3"/>
    <w:rsid w:val="00874AB5"/>
    <w:rsid w:val="00877671"/>
    <w:rsid w:val="00877A13"/>
    <w:rsid w:val="008811F8"/>
    <w:rsid w:val="008869BC"/>
    <w:rsid w:val="00887DDD"/>
    <w:rsid w:val="00887DE6"/>
    <w:rsid w:val="00887E9F"/>
    <w:rsid w:val="008908AA"/>
    <w:rsid w:val="00890E08"/>
    <w:rsid w:val="008927F0"/>
    <w:rsid w:val="00894DCA"/>
    <w:rsid w:val="00896602"/>
    <w:rsid w:val="00897D88"/>
    <w:rsid w:val="008A00BE"/>
    <w:rsid w:val="008A1539"/>
    <w:rsid w:val="008A2C5D"/>
    <w:rsid w:val="008A3BE2"/>
    <w:rsid w:val="008A6957"/>
    <w:rsid w:val="008A6B30"/>
    <w:rsid w:val="008B05E7"/>
    <w:rsid w:val="008B0758"/>
    <w:rsid w:val="008B1875"/>
    <w:rsid w:val="008B4146"/>
    <w:rsid w:val="008B5312"/>
    <w:rsid w:val="008B59CE"/>
    <w:rsid w:val="008B6078"/>
    <w:rsid w:val="008B6085"/>
    <w:rsid w:val="008B7110"/>
    <w:rsid w:val="008B7F4A"/>
    <w:rsid w:val="008C04E1"/>
    <w:rsid w:val="008C04FE"/>
    <w:rsid w:val="008C2F50"/>
    <w:rsid w:val="008C3109"/>
    <w:rsid w:val="008C32F7"/>
    <w:rsid w:val="008C383A"/>
    <w:rsid w:val="008C5312"/>
    <w:rsid w:val="008C5DBD"/>
    <w:rsid w:val="008C61D6"/>
    <w:rsid w:val="008C7498"/>
    <w:rsid w:val="008D49AF"/>
    <w:rsid w:val="008D4A2B"/>
    <w:rsid w:val="008D4A9F"/>
    <w:rsid w:val="008D6294"/>
    <w:rsid w:val="008E1FE0"/>
    <w:rsid w:val="008E3939"/>
    <w:rsid w:val="008E3DDD"/>
    <w:rsid w:val="008F23F4"/>
    <w:rsid w:val="008F61C4"/>
    <w:rsid w:val="008F7763"/>
    <w:rsid w:val="009007CB"/>
    <w:rsid w:val="00901041"/>
    <w:rsid w:val="009010F0"/>
    <w:rsid w:val="00901162"/>
    <w:rsid w:val="00901C2E"/>
    <w:rsid w:val="00901D46"/>
    <w:rsid w:val="009028E2"/>
    <w:rsid w:val="00903692"/>
    <w:rsid w:val="00904E07"/>
    <w:rsid w:val="00906059"/>
    <w:rsid w:val="00912BAF"/>
    <w:rsid w:val="0091311E"/>
    <w:rsid w:val="00914EAB"/>
    <w:rsid w:val="0091541F"/>
    <w:rsid w:val="00920D98"/>
    <w:rsid w:val="0092108C"/>
    <w:rsid w:val="00922D49"/>
    <w:rsid w:val="009238DB"/>
    <w:rsid w:val="00925E37"/>
    <w:rsid w:val="00925EDD"/>
    <w:rsid w:val="0092665C"/>
    <w:rsid w:val="00930079"/>
    <w:rsid w:val="00930966"/>
    <w:rsid w:val="00932F64"/>
    <w:rsid w:val="00935FB1"/>
    <w:rsid w:val="00936075"/>
    <w:rsid w:val="00936D40"/>
    <w:rsid w:val="00937ABF"/>
    <w:rsid w:val="00937DB1"/>
    <w:rsid w:val="009463CC"/>
    <w:rsid w:val="0094687A"/>
    <w:rsid w:val="00950413"/>
    <w:rsid w:val="0095078E"/>
    <w:rsid w:val="00952404"/>
    <w:rsid w:val="00952A72"/>
    <w:rsid w:val="009533AD"/>
    <w:rsid w:val="009542B3"/>
    <w:rsid w:val="009550A8"/>
    <w:rsid w:val="00955FF2"/>
    <w:rsid w:val="0095693D"/>
    <w:rsid w:val="00956B0D"/>
    <w:rsid w:val="0096224F"/>
    <w:rsid w:val="0096260B"/>
    <w:rsid w:val="009631C1"/>
    <w:rsid w:val="00970C69"/>
    <w:rsid w:val="00973B57"/>
    <w:rsid w:val="00973E0D"/>
    <w:rsid w:val="0097403F"/>
    <w:rsid w:val="00976797"/>
    <w:rsid w:val="00980C0C"/>
    <w:rsid w:val="00982E47"/>
    <w:rsid w:val="00983E7D"/>
    <w:rsid w:val="00991642"/>
    <w:rsid w:val="0099260C"/>
    <w:rsid w:val="009942F4"/>
    <w:rsid w:val="00995B3C"/>
    <w:rsid w:val="00996BCA"/>
    <w:rsid w:val="00997454"/>
    <w:rsid w:val="009A045B"/>
    <w:rsid w:val="009A0513"/>
    <w:rsid w:val="009A1119"/>
    <w:rsid w:val="009A2283"/>
    <w:rsid w:val="009A31AF"/>
    <w:rsid w:val="009A3507"/>
    <w:rsid w:val="009A529F"/>
    <w:rsid w:val="009A5C1D"/>
    <w:rsid w:val="009A6018"/>
    <w:rsid w:val="009A7C28"/>
    <w:rsid w:val="009B0273"/>
    <w:rsid w:val="009B4286"/>
    <w:rsid w:val="009B5BF9"/>
    <w:rsid w:val="009B5DAF"/>
    <w:rsid w:val="009B5F83"/>
    <w:rsid w:val="009B61C5"/>
    <w:rsid w:val="009B769E"/>
    <w:rsid w:val="009C03E5"/>
    <w:rsid w:val="009C3F17"/>
    <w:rsid w:val="009C4D19"/>
    <w:rsid w:val="009C5FDB"/>
    <w:rsid w:val="009C65AF"/>
    <w:rsid w:val="009C70CB"/>
    <w:rsid w:val="009C74DD"/>
    <w:rsid w:val="009D0312"/>
    <w:rsid w:val="009D27AA"/>
    <w:rsid w:val="009D2AD9"/>
    <w:rsid w:val="009D514E"/>
    <w:rsid w:val="009D5A40"/>
    <w:rsid w:val="009D5C39"/>
    <w:rsid w:val="009D6FED"/>
    <w:rsid w:val="009E0A95"/>
    <w:rsid w:val="009E0D47"/>
    <w:rsid w:val="009E549D"/>
    <w:rsid w:val="009E54AF"/>
    <w:rsid w:val="009E5C59"/>
    <w:rsid w:val="009E6BB8"/>
    <w:rsid w:val="009F0FB1"/>
    <w:rsid w:val="009F1CC3"/>
    <w:rsid w:val="009F26F2"/>
    <w:rsid w:val="009F3E1E"/>
    <w:rsid w:val="009F4CC5"/>
    <w:rsid w:val="009F6550"/>
    <w:rsid w:val="00A003BE"/>
    <w:rsid w:val="00A02F51"/>
    <w:rsid w:val="00A0520F"/>
    <w:rsid w:val="00A05ACE"/>
    <w:rsid w:val="00A06788"/>
    <w:rsid w:val="00A104A4"/>
    <w:rsid w:val="00A10D63"/>
    <w:rsid w:val="00A115BC"/>
    <w:rsid w:val="00A11776"/>
    <w:rsid w:val="00A1276C"/>
    <w:rsid w:val="00A14098"/>
    <w:rsid w:val="00A14304"/>
    <w:rsid w:val="00A14399"/>
    <w:rsid w:val="00A14C46"/>
    <w:rsid w:val="00A15524"/>
    <w:rsid w:val="00A15EE9"/>
    <w:rsid w:val="00A16675"/>
    <w:rsid w:val="00A1724E"/>
    <w:rsid w:val="00A17E5B"/>
    <w:rsid w:val="00A20263"/>
    <w:rsid w:val="00A2168F"/>
    <w:rsid w:val="00A248B1"/>
    <w:rsid w:val="00A26437"/>
    <w:rsid w:val="00A30E4D"/>
    <w:rsid w:val="00A32410"/>
    <w:rsid w:val="00A32B48"/>
    <w:rsid w:val="00A35D6F"/>
    <w:rsid w:val="00A36D00"/>
    <w:rsid w:val="00A42462"/>
    <w:rsid w:val="00A43389"/>
    <w:rsid w:val="00A4642E"/>
    <w:rsid w:val="00A47AF8"/>
    <w:rsid w:val="00A52D75"/>
    <w:rsid w:val="00A53013"/>
    <w:rsid w:val="00A54BD6"/>
    <w:rsid w:val="00A5643A"/>
    <w:rsid w:val="00A57678"/>
    <w:rsid w:val="00A6090C"/>
    <w:rsid w:val="00A6200E"/>
    <w:rsid w:val="00A62D1E"/>
    <w:rsid w:val="00A65C6D"/>
    <w:rsid w:val="00A670C7"/>
    <w:rsid w:val="00A716B9"/>
    <w:rsid w:val="00A720D8"/>
    <w:rsid w:val="00A72216"/>
    <w:rsid w:val="00A733F2"/>
    <w:rsid w:val="00A75705"/>
    <w:rsid w:val="00A75BE1"/>
    <w:rsid w:val="00A8187C"/>
    <w:rsid w:val="00A82C9E"/>
    <w:rsid w:val="00A8324F"/>
    <w:rsid w:val="00A84193"/>
    <w:rsid w:val="00A85142"/>
    <w:rsid w:val="00A875B4"/>
    <w:rsid w:val="00A95B37"/>
    <w:rsid w:val="00A96B6F"/>
    <w:rsid w:val="00AA0CE8"/>
    <w:rsid w:val="00AA35FD"/>
    <w:rsid w:val="00AA3DB7"/>
    <w:rsid w:val="00AA5EF2"/>
    <w:rsid w:val="00AA5F63"/>
    <w:rsid w:val="00AA7EBD"/>
    <w:rsid w:val="00AB0590"/>
    <w:rsid w:val="00AB1112"/>
    <w:rsid w:val="00AB67DE"/>
    <w:rsid w:val="00AB69EF"/>
    <w:rsid w:val="00AC11DC"/>
    <w:rsid w:val="00AC23B0"/>
    <w:rsid w:val="00AC3E87"/>
    <w:rsid w:val="00AC469F"/>
    <w:rsid w:val="00AD0611"/>
    <w:rsid w:val="00AD0E4F"/>
    <w:rsid w:val="00AD26D7"/>
    <w:rsid w:val="00AD3905"/>
    <w:rsid w:val="00AD4555"/>
    <w:rsid w:val="00AD4A31"/>
    <w:rsid w:val="00AD5638"/>
    <w:rsid w:val="00AD7214"/>
    <w:rsid w:val="00AE1066"/>
    <w:rsid w:val="00AE12A4"/>
    <w:rsid w:val="00AE2480"/>
    <w:rsid w:val="00AE2E1B"/>
    <w:rsid w:val="00AE5129"/>
    <w:rsid w:val="00AE5645"/>
    <w:rsid w:val="00AE68BC"/>
    <w:rsid w:val="00AF1D6B"/>
    <w:rsid w:val="00AF24AA"/>
    <w:rsid w:val="00AF3AF9"/>
    <w:rsid w:val="00AF3E5F"/>
    <w:rsid w:val="00AF44C1"/>
    <w:rsid w:val="00AF4F09"/>
    <w:rsid w:val="00AF643E"/>
    <w:rsid w:val="00AF79C8"/>
    <w:rsid w:val="00B00FA8"/>
    <w:rsid w:val="00B011B0"/>
    <w:rsid w:val="00B0391C"/>
    <w:rsid w:val="00B047F6"/>
    <w:rsid w:val="00B06019"/>
    <w:rsid w:val="00B06246"/>
    <w:rsid w:val="00B0700F"/>
    <w:rsid w:val="00B1493B"/>
    <w:rsid w:val="00B15119"/>
    <w:rsid w:val="00B17169"/>
    <w:rsid w:val="00B23996"/>
    <w:rsid w:val="00B23CB2"/>
    <w:rsid w:val="00B249C0"/>
    <w:rsid w:val="00B24A18"/>
    <w:rsid w:val="00B255C5"/>
    <w:rsid w:val="00B25807"/>
    <w:rsid w:val="00B268DD"/>
    <w:rsid w:val="00B32AE1"/>
    <w:rsid w:val="00B35FEC"/>
    <w:rsid w:val="00B37780"/>
    <w:rsid w:val="00B37813"/>
    <w:rsid w:val="00B37EEF"/>
    <w:rsid w:val="00B404F1"/>
    <w:rsid w:val="00B41C1D"/>
    <w:rsid w:val="00B43917"/>
    <w:rsid w:val="00B4515C"/>
    <w:rsid w:val="00B46220"/>
    <w:rsid w:val="00B464EA"/>
    <w:rsid w:val="00B47574"/>
    <w:rsid w:val="00B5430C"/>
    <w:rsid w:val="00B54884"/>
    <w:rsid w:val="00B56A90"/>
    <w:rsid w:val="00B5711C"/>
    <w:rsid w:val="00B57BCF"/>
    <w:rsid w:val="00B57E36"/>
    <w:rsid w:val="00B60209"/>
    <w:rsid w:val="00B606A3"/>
    <w:rsid w:val="00B625CB"/>
    <w:rsid w:val="00B63F2B"/>
    <w:rsid w:val="00B64D3A"/>
    <w:rsid w:val="00B65D6F"/>
    <w:rsid w:val="00B673F3"/>
    <w:rsid w:val="00B67A25"/>
    <w:rsid w:val="00B7354A"/>
    <w:rsid w:val="00B7435B"/>
    <w:rsid w:val="00B74446"/>
    <w:rsid w:val="00B74B59"/>
    <w:rsid w:val="00B75F09"/>
    <w:rsid w:val="00B76BBB"/>
    <w:rsid w:val="00B77142"/>
    <w:rsid w:val="00B8024E"/>
    <w:rsid w:val="00B80C3A"/>
    <w:rsid w:val="00B84643"/>
    <w:rsid w:val="00B90452"/>
    <w:rsid w:val="00B90780"/>
    <w:rsid w:val="00B916D6"/>
    <w:rsid w:val="00B91AD8"/>
    <w:rsid w:val="00B9209B"/>
    <w:rsid w:val="00B9240D"/>
    <w:rsid w:val="00B95753"/>
    <w:rsid w:val="00B97E42"/>
    <w:rsid w:val="00BA0425"/>
    <w:rsid w:val="00BA0C05"/>
    <w:rsid w:val="00BA54D0"/>
    <w:rsid w:val="00BA7E30"/>
    <w:rsid w:val="00BB04BF"/>
    <w:rsid w:val="00BB1013"/>
    <w:rsid w:val="00BB4515"/>
    <w:rsid w:val="00BB7B89"/>
    <w:rsid w:val="00BC1A9B"/>
    <w:rsid w:val="00BC2A22"/>
    <w:rsid w:val="00BC4986"/>
    <w:rsid w:val="00BC5E2E"/>
    <w:rsid w:val="00BC6379"/>
    <w:rsid w:val="00BC6C3E"/>
    <w:rsid w:val="00BC7EEF"/>
    <w:rsid w:val="00BD2308"/>
    <w:rsid w:val="00BD43BB"/>
    <w:rsid w:val="00BD72C1"/>
    <w:rsid w:val="00BD7ADE"/>
    <w:rsid w:val="00BE1A85"/>
    <w:rsid w:val="00BE46ED"/>
    <w:rsid w:val="00BE4FD1"/>
    <w:rsid w:val="00BE642D"/>
    <w:rsid w:val="00BE6D7A"/>
    <w:rsid w:val="00BF07C4"/>
    <w:rsid w:val="00BF2511"/>
    <w:rsid w:val="00BF377F"/>
    <w:rsid w:val="00BF3F88"/>
    <w:rsid w:val="00BF416F"/>
    <w:rsid w:val="00BF57BE"/>
    <w:rsid w:val="00C0042B"/>
    <w:rsid w:val="00C02E58"/>
    <w:rsid w:val="00C030B6"/>
    <w:rsid w:val="00C04B38"/>
    <w:rsid w:val="00C067B7"/>
    <w:rsid w:val="00C10A09"/>
    <w:rsid w:val="00C121BC"/>
    <w:rsid w:val="00C12FA4"/>
    <w:rsid w:val="00C14D92"/>
    <w:rsid w:val="00C16739"/>
    <w:rsid w:val="00C17F3F"/>
    <w:rsid w:val="00C23BA2"/>
    <w:rsid w:val="00C260A2"/>
    <w:rsid w:val="00C30CFF"/>
    <w:rsid w:val="00C30DEC"/>
    <w:rsid w:val="00C31142"/>
    <w:rsid w:val="00C31DEF"/>
    <w:rsid w:val="00C338EB"/>
    <w:rsid w:val="00C35BB7"/>
    <w:rsid w:val="00C36B35"/>
    <w:rsid w:val="00C400CD"/>
    <w:rsid w:val="00C41617"/>
    <w:rsid w:val="00C4309A"/>
    <w:rsid w:val="00C43F23"/>
    <w:rsid w:val="00C43FF1"/>
    <w:rsid w:val="00C45494"/>
    <w:rsid w:val="00C52D18"/>
    <w:rsid w:val="00C559CE"/>
    <w:rsid w:val="00C55E19"/>
    <w:rsid w:val="00C563AD"/>
    <w:rsid w:val="00C563BF"/>
    <w:rsid w:val="00C56EF8"/>
    <w:rsid w:val="00C57512"/>
    <w:rsid w:val="00C57607"/>
    <w:rsid w:val="00C61133"/>
    <w:rsid w:val="00C64009"/>
    <w:rsid w:val="00C7016D"/>
    <w:rsid w:val="00C754C7"/>
    <w:rsid w:val="00C767B3"/>
    <w:rsid w:val="00C76C07"/>
    <w:rsid w:val="00C80F23"/>
    <w:rsid w:val="00C850A3"/>
    <w:rsid w:val="00C87568"/>
    <w:rsid w:val="00C9167A"/>
    <w:rsid w:val="00C92451"/>
    <w:rsid w:val="00C9272C"/>
    <w:rsid w:val="00C97764"/>
    <w:rsid w:val="00C97C9B"/>
    <w:rsid w:val="00CA2211"/>
    <w:rsid w:val="00CA28FE"/>
    <w:rsid w:val="00CA344C"/>
    <w:rsid w:val="00CA7FF7"/>
    <w:rsid w:val="00CB142D"/>
    <w:rsid w:val="00CB29F6"/>
    <w:rsid w:val="00CB2BBF"/>
    <w:rsid w:val="00CB481C"/>
    <w:rsid w:val="00CB4C8C"/>
    <w:rsid w:val="00CB62E1"/>
    <w:rsid w:val="00CB6EFE"/>
    <w:rsid w:val="00CC16F9"/>
    <w:rsid w:val="00CC28A9"/>
    <w:rsid w:val="00CC4183"/>
    <w:rsid w:val="00CC70A4"/>
    <w:rsid w:val="00CC78C7"/>
    <w:rsid w:val="00CD4A0C"/>
    <w:rsid w:val="00CD5CEF"/>
    <w:rsid w:val="00CE06EC"/>
    <w:rsid w:val="00CE592E"/>
    <w:rsid w:val="00CE5BB5"/>
    <w:rsid w:val="00CE5BC5"/>
    <w:rsid w:val="00CF16A4"/>
    <w:rsid w:val="00CF299F"/>
    <w:rsid w:val="00CF3357"/>
    <w:rsid w:val="00CF58DF"/>
    <w:rsid w:val="00D00BC3"/>
    <w:rsid w:val="00D03538"/>
    <w:rsid w:val="00D04410"/>
    <w:rsid w:val="00D05EE7"/>
    <w:rsid w:val="00D06394"/>
    <w:rsid w:val="00D06A9D"/>
    <w:rsid w:val="00D07C15"/>
    <w:rsid w:val="00D11D4F"/>
    <w:rsid w:val="00D13A01"/>
    <w:rsid w:val="00D15733"/>
    <w:rsid w:val="00D20364"/>
    <w:rsid w:val="00D207B2"/>
    <w:rsid w:val="00D2130C"/>
    <w:rsid w:val="00D26746"/>
    <w:rsid w:val="00D26DDD"/>
    <w:rsid w:val="00D27BDC"/>
    <w:rsid w:val="00D3194F"/>
    <w:rsid w:val="00D33751"/>
    <w:rsid w:val="00D36169"/>
    <w:rsid w:val="00D37343"/>
    <w:rsid w:val="00D37495"/>
    <w:rsid w:val="00D41727"/>
    <w:rsid w:val="00D427E4"/>
    <w:rsid w:val="00D45F1B"/>
    <w:rsid w:val="00D477DB"/>
    <w:rsid w:val="00D47A9E"/>
    <w:rsid w:val="00D52289"/>
    <w:rsid w:val="00D55A37"/>
    <w:rsid w:val="00D55B7E"/>
    <w:rsid w:val="00D564C7"/>
    <w:rsid w:val="00D64354"/>
    <w:rsid w:val="00D66685"/>
    <w:rsid w:val="00D70D35"/>
    <w:rsid w:val="00D71351"/>
    <w:rsid w:val="00D71997"/>
    <w:rsid w:val="00D753E9"/>
    <w:rsid w:val="00D777B9"/>
    <w:rsid w:val="00D82273"/>
    <w:rsid w:val="00D82FA5"/>
    <w:rsid w:val="00D84A4B"/>
    <w:rsid w:val="00D84B45"/>
    <w:rsid w:val="00D857AE"/>
    <w:rsid w:val="00D8623D"/>
    <w:rsid w:val="00D867FB"/>
    <w:rsid w:val="00D873C4"/>
    <w:rsid w:val="00D90E11"/>
    <w:rsid w:val="00D9110D"/>
    <w:rsid w:val="00D91124"/>
    <w:rsid w:val="00D91987"/>
    <w:rsid w:val="00D92168"/>
    <w:rsid w:val="00D93426"/>
    <w:rsid w:val="00D94B22"/>
    <w:rsid w:val="00D958D3"/>
    <w:rsid w:val="00D9594F"/>
    <w:rsid w:val="00D97213"/>
    <w:rsid w:val="00DA134E"/>
    <w:rsid w:val="00DA13F3"/>
    <w:rsid w:val="00DA2DE3"/>
    <w:rsid w:val="00DA451D"/>
    <w:rsid w:val="00DA64AF"/>
    <w:rsid w:val="00DB1F4F"/>
    <w:rsid w:val="00DB2AC7"/>
    <w:rsid w:val="00DB704C"/>
    <w:rsid w:val="00DC693B"/>
    <w:rsid w:val="00DC7C77"/>
    <w:rsid w:val="00DD0F5D"/>
    <w:rsid w:val="00DD426D"/>
    <w:rsid w:val="00DD74FC"/>
    <w:rsid w:val="00DE117F"/>
    <w:rsid w:val="00DE1769"/>
    <w:rsid w:val="00DE1A17"/>
    <w:rsid w:val="00DE44C8"/>
    <w:rsid w:val="00DE64CC"/>
    <w:rsid w:val="00DE6AA9"/>
    <w:rsid w:val="00DE7B30"/>
    <w:rsid w:val="00DF0C0B"/>
    <w:rsid w:val="00DF18FE"/>
    <w:rsid w:val="00DF20C7"/>
    <w:rsid w:val="00DF4D0C"/>
    <w:rsid w:val="00DF5C20"/>
    <w:rsid w:val="00DF7D81"/>
    <w:rsid w:val="00E02DEB"/>
    <w:rsid w:val="00E042A1"/>
    <w:rsid w:val="00E0476C"/>
    <w:rsid w:val="00E0576B"/>
    <w:rsid w:val="00E067EA"/>
    <w:rsid w:val="00E06D18"/>
    <w:rsid w:val="00E104FA"/>
    <w:rsid w:val="00E12F1F"/>
    <w:rsid w:val="00E1320D"/>
    <w:rsid w:val="00E139F8"/>
    <w:rsid w:val="00E16022"/>
    <w:rsid w:val="00E1738C"/>
    <w:rsid w:val="00E174FF"/>
    <w:rsid w:val="00E205AA"/>
    <w:rsid w:val="00E22296"/>
    <w:rsid w:val="00E270C6"/>
    <w:rsid w:val="00E27360"/>
    <w:rsid w:val="00E27C04"/>
    <w:rsid w:val="00E27C82"/>
    <w:rsid w:val="00E30713"/>
    <w:rsid w:val="00E30EDF"/>
    <w:rsid w:val="00E312D7"/>
    <w:rsid w:val="00E316AF"/>
    <w:rsid w:val="00E31FBA"/>
    <w:rsid w:val="00E328E2"/>
    <w:rsid w:val="00E336BB"/>
    <w:rsid w:val="00E3384E"/>
    <w:rsid w:val="00E34B63"/>
    <w:rsid w:val="00E374C8"/>
    <w:rsid w:val="00E40156"/>
    <w:rsid w:val="00E4042D"/>
    <w:rsid w:val="00E4135D"/>
    <w:rsid w:val="00E43750"/>
    <w:rsid w:val="00E508EB"/>
    <w:rsid w:val="00E521E3"/>
    <w:rsid w:val="00E53B7A"/>
    <w:rsid w:val="00E550C9"/>
    <w:rsid w:val="00E55405"/>
    <w:rsid w:val="00E5645D"/>
    <w:rsid w:val="00E627A4"/>
    <w:rsid w:val="00E6280E"/>
    <w:rsid w:val="00E62C9C"/>
    <w:rsid w:val="00E630EE"/>
    <w:rsid w:val="00E67A61"/>
    <w:rsid w:val="00E70455"/>
    <w:rsid w:val="00E73221"/>
    <w:rsid w:val="00E7356F"/>
    <w:rsid w:val="00E75116"/>
    <w:rsid w:val="00E763EB"/>
    <w:rsid w:val="00E80A5B"/>
    <w:rsid w:val="00E8153C"/>
    <w:rsid w:val="00E8342F"/>
    <w:rsid w:val="00E84632"/>
    <w:rsid w:val="00E847EE"/>
    <w:rsid w:val="00E85E29"/>
    <w:rsid w:val="00E876F9"/>
    <w:rsid w:val="00E90508"/>
    <w:rsid w:val="00E90B39"/>
    <w:rsid w:val="00E94FFB"/>
    <w:rsid w:val="00E96A72"/>
    <w:rsid w:val="00E96B52"/>
    <w:rsid w:val="00EA01F7"/>
    <w:rsid w:val="00EA083F"/>
    <w:rsid w:val="00EA1D33"/>
    <w:rsid w:val="00EA1F5A"/>
    <w:rsid w:val="00EA375F"/>
    <w:rsid w:val="00EA6415"/>
    <w:rsid w:val="00EA7104"/>
    <w:rsid w:val="00EA7533"/>
    <w:rsid w:val="00EB067F"/>
    <w:rsid w:val="00EB2419"/>
    <w:rsid w:val="00EB45F5"/>
    <w:rsid w:val="00EB58F5"/>
    <w:rsid w:val="00EB6E6B"/>
    <w:rsid w:val="00EC010F"/>
    <w:rsid w:val="00EC224D"/>
    <w:rsid w:val="00EC2E3A"/>
    <w:rsid w:val="00EC3CCB"/>
    <w:rsid w:val="00EC54CD"/>
    <w:rsid w:val="00EC5A74"/>
    <w:rsid w:val="00EC737D"/>
    <w:rsid w:val="00ED2154"/>
    <w:rsid w:val="00ED4277"/>
    <w:rsid w:val="00ED576D"/>
    <w:rsid w:val="00ED7C8C"/>
    <w:rsid w:val="00ED7DDB"/>
    <w:rsid w:val="00ED7FDD"/>
    <w:rsid w:val="00EE0DEA"/>
    <w:rsid w:val="00EE431B"/>
    <w:rsid w:val="00EE4874"/>
    <w:rsid w:val="00EE53E5"/>
    <w:rsid w:val="00EE6654"/>
    <w:rsid w:val="00EE73FB"/>
    <w:rsid w:val="00EE7BF0"/>
    <w:rsid w:val="00EF2674"/>
    <w:rsid w:val="00EF556F"/>
    <w:rsid w:val="00EF7BE0"/>
    <w:rsid w:val="00EF7D07"/>
    <w:rsid w:val="00F016DD"/>
    <w:rsid w:val="00F0181C"/>
    <w:rsid w:val="00F03512"/>
    <w:rsid w:val="00F0433A"/>
    <w:rsid w:val="00F0519B"/>
    <w:rsid w:val="00F059D4"/>
    <w:rsid w:val="00F11783"/>
    <w:rsid w:val="00F119AF"/>
    <w:rsid w:val="00F1480B"/>
    <w:rsid w:val="00F1498D"/>
    <w:rsid w:val="00F20065"/>
    <w:rsid w:val="00F22211"/>
    <w:rsid w:val="00F22341"/>
    <w:rsid w:val="00F22F1D"/>
    <w:rsid w:val="00F22F9F"/>
    <w:rsid w:val="00F24039"/>
    <w:rsid w:val="00F24E0E"/>
    <w:rsid w:val="00F26693"/>
    <w:rsid w:val="00F33991"/>
    <w:rsid w:val="00F3477D"/>
    <w:rsid w:val="00F347FE"/>
    <w:rsid w:val="00F34859"/>
    <w:rsid w:val="00F356F7"/>
    <w:rsid w:val="00F40055"/>
    <w:rsid w:val="00F40868"/>
    <w:rsid w:val="00F44FDE"/>
    <w:rsid w:val="00F4518C"/>
    <w:rsid w:val="00F46467"/>
    <w:rsid w:val="00F4715C"/>
    <w:rsid w:val="00F47FF8"/>
    <w:rsid w:val="00F50707"/>
    <w:rsid w:val="00F529B5"/>
    <w:rsid w:val="00F52AA4"/>
    <w:rsid w:val="00F56162"/>
    <w:rsid w:val="00F56B7E"/>
    <w:rsid w:val="00F6052F"/>
    <w:rsid w:val="00F60F44"/>
    <w:rsid w:val="00F62FDE"/>
    <w:rsid w:val="00F645D2"/>
    <w:rsid w:val="00F654E6"/>
    <w:rsid w:val="00F662CD"/>
    <w:rsid w:val="00F67E39"/>
    <w:rsid w:val="00F703A8"/>
    <w:rsid w:val="00F707F1"/>
    <w:rsid w:val="00F7094A"/>
    <w:rsid w:val="00F710BE"/>
    <w:rsid w:val="00F72579"/>
    <w:rsid w:val="00F804B9"/>
    <w:rsid w:val="00F80AE2"/>
    <w:rsid w:val="00F8265F"/>
    <w:rsid w:val="00F83FF9"/>
    <w:rsid w:val="00F85FCB"/>
    <w:rsid w:val="00F870C3"/>
    <w:rsid w:val="00F91B52"/>
    <w:rsid w:val="00F97478"/>
    <w:rsid w:val="00F97B71"/>
    <w:rsid w:val="00F97B9E"/>
    <w:rsid w:val="00FA0527"/>
    <w:rsid w:val="00FA085E"/>
    <w:rsid w:val="00FA0947"/>
    <w:rsid w:val="00FA2D49"/>
    <w:rsid w:val="00FA472B"/>
    <w:rsid w:val="00FA4B52"/>
    <w:rsid w:val="00FA4D4F"/>
    <w:rsid w:val="00FA4D5B"/>
    <w:rsid w:val="00FA54E8"/>
    <w:rsid w:val="00FA6245"/>
    <w:rsid w:val="00FA786F"/>
    <w:rsid w:val="00FA7D19"/>
    <w:rsid w:val="00FA7EB3"/>
    <w:rsid w:val="00FB058F"/>
    <w:rsid w:val="00FB387C"/>
    <w:rsid w:val="00FB3C94"/>
    <w:rsid w:val="00FB48C1"/>
    <w:rsid w:val="00FB6808"/>
    <w:rsid w:val="00FB6CD0"/>
    <w:rsid w:val="00FB723C"/>
    <w:rsid w:val="00FB72B4"/>
    <w:rsid w:val="00FC0A2D"/>
    <w:rsid w:val="00FC13C8"/>
    <w:rsid w:val="00FC39F9"/>
    <w:rsid w:val="00FC59F8"/>
    <w:rsid w:val="00FC60F6"/>
    <w:rsid w:val="00FC7F43"/>
    <w:rsid w:val="00FD7D41"/>
    <w:rsid w:val="00FE0072"/>
    <w:rsid w:val="00FE0C71"/>
    <w:rsid w:val="00FE1E47"/>
    <w:rsid w:val="00FE275D"/>
    <w:rsid w:val="00FE4F1A"/>
    <w:rsid w:val="00FE65AC"/>
    <w:rsid w:val="00FE7FBD"/>
    <w:rsid w:val="00FF10BC"/>
    <w:rsid w:val="00FF5DCF"/>
    <w:rsid w:val="00FF6ADB"/>
  </w:rsids>
  <m:mathPr>
    <m:mathFont m:val="Cambria Math"/>
    <m:brkBin m:val="before"/>
    <m:brkBinSub m:val="--"/>
    <m:smallFrac/>
    <m:dispDef/>
    <m:lMargin m:val="0"/>
    <m:rMargin m:val="0"/>
    <m:defJc m:val="centerGroup"/>
    <m:wrapIndent m:val="1440"/>
    <m:intLim m:val="subSup"/>
    <m:naryLim m:val="undOvr"/>
  </m:mathPr>
  <w:themeFontLang w:eastAsia="zh-CN" w:val="en-US"/>
  <w:clrSchemeMapping w:accent1="accent1" w:accent2="accent2" w:accent3="accent3" w:accent4="accent4" w:accent5="accent5" w:accent6="accent6" w:bg1="light1" w:bg2="light2" w:followedHyperlink="followedHyperlink" w:hyperlink="hyperlink" w:t1="dark1" w:t2="dark2"/>
  <w:doNotIncludeSubdocsInStats/>
  <w:doNotAutoCompressPictures/>
  <w:shapeDefaults>
    <o:shapedefaults spidmax="2049" v:ext="edit"/>
    <o:shapelayout v:ext="edit">
      <o:idmap data="1"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cs="Times New Roman" w:eastAsia="宋体" w:hAnsi="Times New Roman"/>
        <w:lang w:bidi="ar-SA" w:eastAsia="zh-CN"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nhideWhenUsed="0"/>
    <w:lsdException w:locked="1" w:name="heading 2" w:qFormat="1" w:semiHidden="0" w:uiPriority="0" w:unhideWhenUsed="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Normal Indent" w:semiHidden="0" w:uiPriority="0" w:unhideWhenUsed="0"/>
    <w:lsdException w:name="annotation text" w:uiPriority="0"/>
    <w:lsdException w:locked="1" w:name="header" w:semiHidden="0" w:uiPriority="0" w:unhideWhenUsed="0"/>
    <w:lsdException w:locked="1" w:name="caption" w:qFormat="1" w:uiPriority="0"/>
    <w:lsdException w:name="annotation reference"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22" w:unhideWhenUsed="0"/>
    <w:lsdException w:locked="1" w:name="Emphasis" w:qFormat="1" w:semiHidden="0" w:uiPriority="0" w:unhideWhenUsed="0"/>
    <w:lsdException w:locked="1" w:name="Plain Text" w:semiHidden="0" w:unhideWhenUsed="0"/>
    <w:lsdException w:locked="1" w:name="Table Grid" w:qFormat="1"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a" w:type="paragraph">
    <w:name w:val="Normal"/>
    <w:qFormat/>
    <w:rsid w:val="006A4828"/>
    <w:pPr>
      <w:widowControl w:val="0"/>
      <w:jc w:val="both"/>
    </w:pPr>
    <w:rPr>
      <w:kern w:val="2"/>
      <w:sz w:val="21"/>
      <w:szCs w:val="24"/>
    </w:rPr>
  </w:style>
  <w:style w:styleId="1" w:type="paragraph">
    <w:name w:val="heading 1"/>
    <w:basedOn w:val="a"/>
    <w:next w:val="a"/>
    <w:link w:val="1Char"/>
    <w:uiPriority w:val="99"/>
    <w:qFormat/>
    <w:rsid w:val="00180952"/>
    <w:pPr>
      <w:keepNext/>
      <w:keepLines/>
      <w:spacing w:after="330" w:before="340" w:line="578" w:lineRule="auto"/>
      <w:outlineLvl w:val="0"/>
    </w:pPr>
    <w:rPr>
      <w:b/>
      <w:bCs/>
      <w:kern w:val="44"/>
      <w:sz w:val="44"/>
      <w:szCs w:val="44"/>
    </w:rPr>
  </w:style>
  <w:style w:styleId="2" w:type="paragraph">
    <w:name w:val="heading 2"/>
    <w:basedOn w:val="a"/>
    <w:next w:val="a0"/>
    <w:link w:val="2Char"/>
    <w:uiPriority w:val="99"/>
    <w:qFormat/>
    <w:rsid w:val="006A4828"/>
    <w:pPr>
      <w:keepNext/>
      <w:keepLines/>
      <w:spacing w:after="260" w:before="260" w:line="360" w:lineRule="auto"/>
      <w:outlineLvl w:val="1"/>
    </w:pPr>
    <w:rPr>
      <w:rFonts w:ascii="Cambria" w:hAnsi="Cambria"/>
      <w:b/>
      <w:bCs/>
      <w:kern w:val="0"/>
      <w:sz w:val="32"/>
      <w:szCs w:val="32"/>
    </w:rPr>
  </w:style>
  <w:style w:default="1" w:styleId="a1" w:type="character">
    <w:name w:val="Default Paragraph Font"/>
    <w:uiPriority w:val="1"/>
    <w:semiHidden/>
    <w:unhideWhenUsed/>
  </w:style>
  <w:style w:default="1" w:styleId="a2" w:type="table">
    <w:name w:val="Normal Table"/>
    <w:uiPriority w:val="99"/>
    <w:semiHidden/>
    <w:unhideWhenUsed/>
    <w:tblPr>
      <w:tblInd w:type="dxa" w:w="0"/>
      <w:tblCellMar>
        <w:top w:type="dxa" w:w="0"/>
        <w:left w:type="dxa" w:w="108"/>
        <w:bottom w:type="dxa" w:w="0"/>
        <w:right w:type="dxa" w:w="108"/>
      </w:tblCellMar>
    </w:tblPr>
  </w:style>
  <w:style w:default="1" w:styleId="a3" w:type="numbering">
    <w:name w:val="No List"/>
    <w:uiPriority w:val="99"/>
    <w:semiHidden/>
    <w:unhideWhenUsed/>
  </w:style>
  <w:style w:customStyle="1" w:styleId="1Char" w:type="character">
    <w:name w:val="标题 1 Char"/>
    <w:link w:val="1"/>
    <w:uiPriority w:val="99"/>
    <w:locked/>
    <w:rsid w:val="00180952"/>
    <w:rPr>
      <w:b/>
      <w:kern w:val="44"/>
      <w:sz w:val="44"/>
    </w:rPr>
  </w:style>
  <w:style w:customStyle="1" w:styleId="2Char" w:type="character">
    <w:name w:val="标题 2 Char"/>
    <w:link w:val="2"/>
    <w:uiPriority w:val="99"/>
    <w:semiHidden/>
    <w:locked/>
    <w:rsid w:val="00AB1112"/>
    <w:rPr>
      <w:rFonts w:ascii="Cambria" w:eastAsia="宋体" w:hAnsi="Cambria"/>
      <w:b/>
      <w:sz w:val="32"/>
    </w:rPr>
  </w:style>
  <w:style w:styleId="a0" w:type="paragraph">
    <w:name w:val="Normal Indent"/>
    <w:basedOn w:val="a"/>
    <w:uiPriority w:val="99"/>
    <w:rsid w:val="006A4828"/>
    <w:pPr>
      <w:ind w:firstLine="420" w:firstLineChars="200"/>
    </w:pPr>
  </w:style>
  <w:style w:styleId="a4" w:type="paragraph">
    <w:name w:val="Body Text Indent"/>
    <w:basedOn w:val="a"/>
    <w:link w:val="Char"/>
    <w:uiPriority w:val="99"/>
    <w:rsid w:val="006A4828"/>
    <w:pPr>
      <w:widowControl/>
      <w:spacing w:after="100" w:afterAutospacing="1" w:before="100" w:beforeAutospacing="1"/>
      <w:jc w:val="left"/>
    </w:pPr>
    <w:rPr>
      <w:kern w:val="0"/>
      <w:sz w:val="24"/>
    </w:rPr>
  </w:style>
  <w:style w:customStyle="1" w:styleId="Char" w:type="character">
    <w:name w:val="正文文本缩进 Char"/>
    <w:link w:val="a4"/>
    <w:uiPriority w:val="99"/>
    <w:semiHidden/>
    <w:locked/>
    <w:rsid w:val="00AB1112"/>
    <w:rPr>
      <w:sz w:val="24"/>
    </w:rPr>
  </w:style>
  <w:style w:styleId="a5" w:type="paragraph">
    <w:name w:val="Plain Text"/>
    <w:basedOn w:val="a"/>
    <w:link w:val="Char0"/>
    <w:uiPriority w:val="99"/>
    <w:rsid w:val="006A4828"/>
    <w:rPr>
      <w:rFonts w:ascii="宋体" w:hAnsi="Courier New"/>
      <w:szCs w:val="21"/>
    </w:rPr>
  </w:style>
  <w:style w:customStyle="1" w:styleId="Char0" w:type="character">
    <w:name w:val="纯文本 Char"/>
    <w:link w:val="a5"/>
    <w:uiPriority w:val="99"/>
    <w:locked/>
    <w:rsid w:val="009A045B"/>
    <w:rPr>
      <w:rFonts w:ascii="宋体" w:hAnsi="Courier New"/>
      <w:kern w:val="2"/>
      <w:sz w:val="21"/>
    </w:rPr>
  </w:style>
  <w:style w:styleId="20" w:type="paragraph">
    <w:name w:val="Body Text Indent 2"/>
    <w:basedOn w:val="a"/>
    <w:link w:val="2Char0"/>
    <w:uiPriority w:val="99"/>
    <w:rsid w:val="006A4828"/>
    <w:pPr>
      <w:spacing w:line="560" w:lineRule="exact"/>
      <w:ind w:firstLine="480" w:firstLineChars="200"/>
    </w:pPr>
    <w:rPr>
      <w:kern w:val="0"/>
      <w:sz w:val="24"/>
    </w:rPr>
  </w:style>
  <w:style w:customStyle="1" w:styleId="2Char0" w:type="character">
    <w:name w:val="正文文本缩进 2 Char"/>
    <w:link w:val="20"/>
    <w:uiPriority w:val="99"/>
    <w:semiHidden/>
    <w:locked/>
    <w:rsid w:val="00AB1112"/>
    <w:rPr>
      <w:sz w:val="24"/>
    </w:rPr>
  </w:style>
  <w:style w:styleId="a6" w:type="paragraph">
    <w:name w:val="footer"/>
    <w:basedOn w:val="a"/>
    <w:link w:val="Char1"/>
    <w:uiPriority w:val="99"/>
    <w:rsid w:val="006A4828"/>
    <w:pPr>
      <w:tabs>
        <w:tab w:pos="4153" w:val="center"/>
        <w:tab w:pos="8306" w:val="right"/>
      </w:tabs>
      <w:snapToGrid w:val="0"/>
      <w:jc w:val="left"/>
    </w:pPr>
    <w:rPr>
      <w:kern w:val="0"/>
      <w:sz w:val="18"/>
      <w:szCs w:val="18"/>
    </w:rPr>
  </w:style>
  <w:style w:customStyle="1" w:styleId="Char1" w:type="character">
    <w:name w:val="页脚 Char"/>
    <w:link w:val="a6"/>
    <w:uiPriority w:val="99"/>
    <w:semiHidden/>
    <w:locked/>
    <w:rsid w:val="00AB1112"/>
    <w:rPr>
      <w:sz w:val="18"/>
    </w:rPr>
  </w:style>
  <w:style w:styleId="a7" w:type="character">
    <w:name w:val="page number"/>
    <w:uiPriority w:val="99"/>
    <w:rsid w:val="006A4828"/>
    <w:rPr>
      <w:rFonts w:cs="Times New Roman"/>
    </w:rPr>
  </w:style>
  <w:style w:styleId="a8" w:type="character">
    <w:name w:val="Hyperlink"/>
    <w:uiPriority w:val="99"/>
    <w:rsid w:val="006A4828"/>
    <w:rPr>
      <w:rFonts w:cs="Times New Roman"/>
      <w:color w:val="0000FF"/>
      <w:u w:val="single"/>
    </w:rPr>
  </w:style>
  <w:style w:styleId="3" w:type="paragraph">
    <w:name w:val="Body Text Indent 3"/>
    <w:basedOn w:val="a"/>
    <w:link w:val="3Char"/>
    <w:uiPriority w:val="99"/>
    <w:rsid w:val="006A4828"/>
    <w:pPr>
      <w:spacing w:line="560" w:lineRule="exact"/>
      <w:ind w:firstLine="420" w:firstLineChars="200"/>
    </w:pPr>
    <w:rPr>
      <w:kern w:val="0"/>
      <w:sz w:val="16"/>
      <w:szCs w:val="16"/>
    </w:rPr>
  </w:style>
  <w:style w:customStyle="1" w:styleId="3Char" w:type="character">
    <w:name w:val="正文文本缩进 3 Char"/>
    <w:link w:val="3"/>
    <w:uiPriority w:val="99"/>
    <w:semiHidden/>
    <w:locked/>
    <w:rsid w:val="00AB1112"/>
    <w:rPr>
      <w:sz w:val="16"/>
    </w:rPr>
  </w:style>
  <w:style w:styleId="a9" w:type="paragraph">
    <w:name w:val="header"/>
    <w:basedOn w:val="a"/>
    <w:link w:val="Char2"/>
    <w:uiPriority w:val="99"/>
    <w:rsid w:val="006A4828"/>
    <w:pPr>
      <w:pBdr>
        <w:bottom w:color="auto" w:space="1" w:sz="6" w:val="single"/>
      </w:pBdr>
      <w:tabs>
        <w:tab w:pos="4153" w:val="center"/>
        <w:tab w:pos="8306" w:val="right"/>
      </w:tabs>
      <w:snapToGrid w:val="0"/>
      <w:jc w:val="center"/>
    </w:pPr>
    <w:rPr>
      <w:sz w:val="18"/>
      <w:szCs w:val="18"/>
    </w:rPr>
  </w:style>
  <w:style w:customStyle="1" w:styleId="Char2" w:type="character">
    <w:name w:val="页眉 Char"/>
    <w:link w:val="a9"/>
    <w:uiPriority w:val="99"/>
    <w:locked/>
    <w:rsid w:val="001207F2"/>
    <w:rPr>
      <w:kern w:val="2"/>
      <w:sz w:val="18"/>
    </w:rPr>
  </w:style>
  <w:style w:customStyle="1" w:styleId="10" w:type="character">
    <w:name w:val="已访问的超链接1"/>
    <w:uiPriority w:val="99"/>
    <w:rsid w:val="006A4828"/>
    <w:rPr>
      <w:color w:val="800080"/>
      <w:u w:val="single"/>
    </w:rPr>
  </w:style>
  <w:style w:styleId="aa" w:type="paragraph">
    <w:name w:val="List"/>
    <w:basedOn w:val="ab"/>
    <w:uiPriority w:val="99"/>
    <w:rsid w:val="006A4828"/>
    <w:pPr>
      <w:spacing w:after="220" w:line="220" w:lineRule="atLeast"/>
      <w:ind w:hanging="360" w:left="1440"/>
    </w:pPr>
    <w:rPr>
      <w:szCs w:val="20"/>
    </w:rPr>
  </w:style>
  <w:style w:styleId="ab" w:type="paragraph">
    <w:name w:val="Body Text"/>
    <w:basedOn w:val="a"/>
    <w:link w:val="Char3"/>
    <w:uiPriority w:val="99"/>
    <w:rsid w:val="006A4828"/>
    <w:pPr>
      <w:spacing w:after="120"/>
    </w:pPr>
    <w:rPr>
      <w:kern w:val="0"/>
      <w:sz w:val="24"/>
    </w:rPr>
  </w:style>
  <w:style w:customStyle="1" w:styleId="Char3" w:type="character">
    <w:name w:val="正文文本 Char"/>
    <w:link w:val="ab"/>
    <w:uiPriority w:val="99"/>
    <w:semiHidden/>
    <w:locked/>
    <w:rsid w:val="00AB1112"/>
    <w:rPr>
      <w:sz w:val="24"/>
    </w:rPr>
  </w:style>
  <w:style w:styleId="ac" w:type="paragraph">
    <w:name w:val="Date"/>
    <w:basedOn w:val="a"/>
    <w:next w:val="a"/>
    <w:link w:val="Char4"/>
    <w:uiPriority w:val="99"/>
    <w:rsid w:val="006A4828"/>
    <w:rPr>
      <w:sz w:val="24"/>
      <w:szCs w:val="20"/>
    </w:rPr>
  </w:style>
  <w:style w:customStyle="1" w:styleId="Char4" w:type="character">
    <w:name w:val="日期 Char"/>
    <w:link w:val="ac"/>
    <w:uiPriority w:val="99"/>
    <w:locked/>
    <w:rsid w:val="00D66685"/>
    <w:rPr>
      <w:kern w:val="2"/>
      <w:sz w:val="24"/>
    </w:rPr>
  </w:style>
  <w:style w:customStyle="1" w:styleId="c1" w:type="character">
    <w:name w:val="c1"/>
    <w:uiPriority w:val="99"/>
    <w:rsid w:val="006A4828"/>
    <w:rPr>
      <w:color w:val="000000"/>
      <w:sz w:val="18"/>
    </w:rPr>
  </w:style>
  <w:style w:styleId="11" w:type="paragraph">
    <w:name w:val="index 1"/>
    <w:basedOn w:val="a"/>
    <w:next w:val="a"/>
    <w:autoRedefine/>
    <w:uiPriority w:val="99"/>
    <w:semiHidden/>
    <w:rsid w:val="006A4828"/>
    <w:pPr>
      <w:jc w:val="right"/>
    </w:pPr>
    <w:rPr>
      <w:color w:val="008000"/>
    </w:rPr>
  </w:style>
  <w:style w:customStyle="1" w:styleId="font5" w:type="paragraph">
    <w:name w:val="font5"/>
    <w:basedOn w:val="a"/>
    <w:uiPriority w:val="99"/>
    <w:rsid w:val="006A4828"/>
    <w:pPr>
      <w:widowControl/>
      <w:spacing w:after="100" w:afterAutospacing="1" w:before="100" w:beforeAutospacing="1"/>
      <w:jc w:val="left"/>
    </w:pPr>
    <w:rPr>
      <w:rFonts w:ascii="宋体" w:cs="Arial Unicode MS" w:hAnsi="宋体"/>
      <w:kern w:val="0"/>
      <w:sz w:val="18"/>
      <w:szCs w:val="18"/>
    </w:rPr>
  </w:style>
  <w:style w:customStyle="1" w:styleId="xl24" w:type="paragraph">
    <w:name w:val="xl24"/>
    <w:basedOn w:val="a"/>
    <w:uiPriority w:val="99"/>
    <w:rsid w:val="006A4828"/>
    <w:pPr>
      <w:widowControl/>
      <w:pBdr>
        <w:top w:color="000000" w:space="0" w:sz="6" w:val="doub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b/>
      <w:bCs/>
      <w:color w:val="0000FF"/>
      <w:kern w:val="0"/>
      <w:sz w:val="29"/>
      <w:szCs w:val="29"/>
    </w:rPr>
  </w:style>
  <w:style w:customStyle="1" w:styleId="xl25" w:type="paragraph">
    <w:name w:val="xl25"/>
    <w:basedOn w:val="a"/>
    <w:uiPriority w:val="99"/>
    <w:rsid w:val="006A4828"/>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left"/>
    </w:pPr>
    <w:rPr>
      <w:rFonts w:ascii="Arial Unicode MS" w:cs="Arial Unicode MS" w:eastAsia="Arial Unicode MS" w:hAnsi="Arial Unicode MS"/>
      <w:b/>
      <w:bCs/>
      <w:color w:val="000000"/>
      <w:kern w:val="0"/>
      <w:sz w:val="24"/>
    </w:rPr>
  </w:style>
  <w:style w:customStyle="1" w:styleId="xl26" w:type="paragraph">
    <w:name w:val="xl26"/>
    <w:basedOn w:val="a"/>
    <w:uiPriority w:val="99"/>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rPr>
  </w:style>
  <w:style w:customStyle="1" w:styleId="xl27" w:type="paragraph">
    <w:name w:val="xl27"/>
    <w:basedOn w:val="a"/>
    <w:uiPriority w:val="99"/>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12"/>
      <w:szCs w:val="12"/>
    </w:rPr>
  </w:style>
  <w:style w:customStyle="1" w:styleId="xl28" w:type="paragraph">
    <w:name w:val="xl28"/>
    <w:basedOn w:val="a"/>
    <w:uiPriority w:val="99"/>
    <w:rsid w:val="006A4828"/>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right"/>
    </w:pPr>
    <w:rPr>
      <w:rFonts w:ascii="Arial Unicode MS" w:cs="Arial Unicode MS" w:eastAsia="Arial Unicode MS" w:hAnsi="Arial Unicode MS"/>
      <w:b/>
      <w:bCs/>
      <w:color w:val="000000"/>
      <w:kern w:val="0"/>
      <w:sz w:val="24"/>
    </w:rPr>
  </w:style>
  <w:style w:customStyle="1" w:styleId="xl29" w:type="paragraph">
    <w:name w:val="xl29"/>
    <w:basedOn w:val="a"/>
    <w:uiPriority w:val="99"/>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rPr>
  </w:style>
  <w:style w:customStyle="1" w:styleId="xl30" w:type="paragraph">
    <w:name w:val="xl30"/>
    <w:basedOn w:val="a"/>
    <w:uiPriority w:val="99"/>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rPr>
  </w:style>
  <w:style w:customStyle="1" w:styleId="xl31" w:type="paragraph">
    <w:name w:val="xl31"/>
    <w:basedOn w:val="a"/>
    <w:uiPriority w:val="99"/>
    <w:rsid w:val="006A4828"/>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2" w:type="paragraph">
    <w:name w:val="xl32"/>
    <w:basedOn w:val="a"/>
    <w:uiPriority w:val="99"/>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3" w:type="paragraph">
    <w:name w:val="xl33"/>
    <w:basedOn w:val="a"/>
    <w:uiPriority w:val="99"/>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color w:val="000000"/>
      <w:kern w:val="0"/>
      <w:sz w:val="22"/>
      <w:szCs w:val="22"/>
    </w:rPr>
  </w:style>
  <w:style w:customStyle="1" w:styleId="xl34" w:type="paragraph">
    <w:name w:val="xl34"/>
    <w:basedOn w:val="a"/>
    <w:uiPriority w:val="99"/>
    <w:rsid w:val="006A4828"/>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5" w:type="paragraph">
    <w:name w:val="xl35"/>
    <w:basedOn w:val="a"/>
    <w:uiPriority w:val="99"/>
    <w:rsid w:val="006A4828"/>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b/>
      <w:bCs/>
      <w:color w:val="000000"/>
      <w:kern w:val="0"/>
      <w:sz w:val="23"/>
      <w:szCs w:val="23"/>
    </w:rPr>
  </w:style>
  <w:style w:customStyle="1" w:styleId="xl36" w:type="paragraph">
    <w:name w:val="xl36"/>
    <w:basedOn w:val="a"/>
    <w:uiPriority w:val="99"/>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b/>
      <w:bCs/>
      <w:color w:val="FF0000"/>
      <w:kern w:val="0"/>
      <w:sz w:val="23"/>
      <w:szCs w:val="23"/>
    </w:rPr>
  </w:style>
  <w:style w:customStyle="1" w:styleId="xl37" w:type="paragraph">
    <w:name w:val="xl37"/>
    <w:basedOn w:val="a"/>
    <w:uiPriority w:val="99"/>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FF0000"/>
      <w:kern w:val="0"/>
      <w:sz w:val="23"/>
      <w:szCs w:val="23"/>
    </w:rPr>
  </w:style>
  <w:style w:customStyle="1" w:styleId="xl38" w:type="paragraph">
    <w:name w:val="xl38"/>
    <w:basedOn w:val="a"/>
    <w:uiPriority w:val="99"/>
    <w:rsid w:val="006A4828"/>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b/>
      <w:bCs/>
      <w:color w:val="FF0000"/>
      <w:kern w:val="0"/>
      <w:sz w:val="23"/>
      <w:szCs w:val="23"/>
    </w:rPr>
  </w:style>
  <w:style w:styleId="ad" w:type="paragraph">
    <w:name w:val="Balloon Text"/>
    <w:basedOn w:val="a"/>
    <w:link w:val="Char5"/>
    <w:uiPriority w:val="99"/>
    <w:semiHidden/>
    <w:rsid w:val="006A4828"/>
    <w:rPr>
      <w:kern w:val="0"/>
      <w:sz w:val="2"/>
      <w:szCs w:val="20"/>
    </w:rPr>
  </w:style>
  <w:style w:customStyle="1" w:styleId="Char5" w:type="character">
    <w:name w:val="批注框文本 Char"/>
    <w:link w:val="ad"/>
    <w:uiPriority w:val="99"/>
    <w:semiHidden/>
    <w:locked/>
    <w:rsid w:val="00AB1112"/>
    <w:rPr>
      <w:sz w:val="2"/>
    </w:rPr>
  </w:style>
  <w:style w:styleId="ae" w:type="character">
    <w:name w:val="annotation reference"/>
    <w:semiHidden/>
    <w:rsid w:val="006A4828"/>
    <w:rPr>
      <w:rFonts w:cs="Times New Roman"/>
      <w:sz w:val="21"/>
    </w:rPr>
  </w:style>
  <w:style w:styleId="af" w:type="paragraph">
    <w:name w:val="annotation text"/>
    <w:basedOn w:val="a"/>
    <w:link w:val="Char6"/>
    <w:semiHidden/>
    <w:rsid w:val="006A4828"/>
    <w:pPr>
      <w:jc w:val="left"/>
    </w:pPr>
    <w:rPr>
      <w:kern w:val="0"/>
      <w:sz w:val="24"/>
    </w:rPr>
  </w:style>
  <w:style w:customStyle="1" w:styleId="Char6" w:type="character">
    <w:name w:val="批注文字 Char"/>
    <w:link w:val="af"/>
    <w:uiPriority w:val="99"/>
    <w:semiHidden/>
    <w:locked/>
    <w:rsid w:val="00AB1112"/>
    <w:rPr>
      <w:sz w:val="24"/>
    </w:rPr>
  </w:style>
  <w:style w:styleId="af0" w:type="paragraph">
    <w:name w:val="annotation subject"/>
    <w:basedOn w:val="af"/>
    <w:next w:val="af"/>
    <w:link w:val="Char7"/>
    <w:uiPriority w:val="99"/>
    <w:semiHidden/>
    <w:rsid w:val="006A4828"/>
    <w:rPr>
      <w:b/>
      <w:bCs/>
    </w:rPr>
  </w:style>
  <w:style w:customStyle="1" w:styleId="Char7" w:type="character">
    <w:name w:val="批注主题 Char"/>
    <w:link w:val="af0"/>
    <w:uiPriority w:val="99"/>
    <w:semiHidden/>
    <w:locked/>
    <w:rsid w:val="00AB1112"/>
    <w:rPr>
      <w:b/>
      <w:sz w:val="24"/>
    </w:rPr>
  </w:style>
  <w:style w:customStyle="1" w:styleId="Char8" w:type="paragraph">
    <w:name w:val="Char"/>
    <w:basedOn w:val="a"/>
    <w:uiPriority w:val="99"/>
    <w:rsid w:val="006A4828"/>
  </w:style>
  <w:style w:styleId="af1" w:type="paragraph">
    <w:name w:val="Document Map"/>
    <w:basedOn w:val="a"/>
    <w:link w:val="Char9"/>
    <w:uiPriority w:val="99"/>
    <w:semiHidden/>
    <w:rsid w:val="000A549A"/>
    <w:pPr>
      <w:shd w:color="auto" w:fill="000080" w:val="clear"/>
    </w:pPr>
    <w:rPr>
      <w:kern w:val="0"/>
      <w:sz w:val="2"/>
      <w:szCs w:val="20"/>
    </w:rPr>
  </w:style>
  <w:style w:customStyle="1" w:styleId="Char9" w:type="character">
    <w:name w:val="文档结构图 Char"/>
    <w:link w:val="af1"/>
    <w:uiPriority w:val="99"/>
    <w:semiHidden/>
    <w:locked/>
    <w:rsid w:val="00AB1112"/>
    <w:rPr>
      <w:sz w:val="2"/>
    </w:rPr>
  </w:style>
  <w:style w:styleId="af2" w:type="table">
    <w:name w:val="Table Grid"/>
    <w:basedOn w:val="a2"/>
    <w:qFormat/>
    <w:rsid w:val="009A31AF"/>
    <w:pPr>
      <w:widowControl w:val="0"/>
      <w:jc w:val="both"/>
    </w:p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af3" w:type="paragraph">
    <w:name w:val="footnote text"/>
    <w:basedOn w:val="a"/>
    <w:link w:val="Chara"/>
    <w:uiPriority w:val="99"/>
    <w:rsid w:val="000B251E"/>
    <w:pPr>
      <w:snapToGrid w:val="0"/>
      <w:jc w:val="left"/>
    </w:pPr>
    <w:rPr>
      <w:sz w:val="18"/>
      <w:szCs w:val="18"/>
    </w:rPr>
  </w:style>
  <w:style w:customStyle="1" w:styleId="Chara" w:type="character">
    <w:name w:val="脚注文本 Char"/>
    <w:link w:val="af3"/>
    <w:uiPriority w:val="99"/>
    <w:locked/>
    <w:rsid w:val="00CB481C"/>
    <w:rPr>
      <w:kern w:val="2"/>
      <w:sz w:val="18"/>
    </w:rPr>
  </w:style>
  <w:style w:styleId="af4" w:type="character">
    <w:name w:val="footnote reference"/>
    <w:uiPriority w:val="99"/>
    <w:rsid w:val="000B251E"/>
    <w:rPr>
      <w:rFonts w:cs="Times New Roman"/>
      <w:vertAlign w:val="superscript"/>
    </w:rPr>
  </w:style>
  <w:style w:styleId="af5" w:type="paragraph">
    <w:name w:val="Normal (Web)"/>
    <w:basedOn w:val="a"/>
    <w:uiPriority w:val="99"/>
    <w:rsid w:val="00B25807"/>
    <w:pPr>
      <w:widowControl/>
      <w:spacing w:after="100" w:afterAutospacing="1" w:before="100" w:beforeAutospacing="1"/>
      <w:jc w:val="left"/>
    </w:pPr>
    <w:rPr>
      <w:rFonts w:ascii="宋体" w:hAnsi="宋体"/>
      <w:kern w:val="0"/>
      <w:sz w:val="24"/>
    </w:rPr>
  </w:style>
  <w:style w:customStyle="1" w:styleId="Char10" w:type="paragraph">
    <w:name w:val="Char1"/>
    <w:basedOn w:val="a"/>
    <w:uiPriority w:val="99"/>
    <w:rsid w:val="00D97213"/>
  </w:style>
  <w:style w:customStyle="1" w:styleId="t1" w:type="character">
    <w:name w:val="t1"/>
    <w:uiPriority w:val="99"/>
    <w:rsid w:val="002D2A00"/>
    <w:rPr>
      <w:color w:val="990000"/>
    </w:rPr>
  </w:style>
  <w:style w:customStyle="1" w:styleId="Default" w:type="paragraph">
    <w:name w:val="Default"/>
    <w:uiPriority w:val="99"/>
    <w:rsid w:val="00CB481C"/>
    <w:pPr>
      <w:widowControl w:val="0"/>
      <w:autoSpaceDE w:val="0"/>
      <w:autoSpaceDN w:val="0"/>
      <w:adjustRightInd w:val="0"/>
    </w:pPr>
    <w:rPr>
      <w:rFonts w:ascii="FangSong" w:cs="FangSong" w:hAnsi="FangSong"/>
      <w:color w:val="000000"/>
      <w:sz w:val="24"/>
      <w:szCs w:val="24"/>
    </w:rPr>
  </w:style>
  <w:style w:customStyle="1" w:styleId="5" w:type="numbering">
    <w:name w:val="样式5"/>
    <w:rsid w:val="00C00FED"/>
    <w:pPr>
      <w:numPr>
        <w:numId w:val="8"/>
      </w:numPr>
    </w:pPr>
  </w:style>
  <w:style w:styleId="af6" w:type="character">
    <w:name w:val="Strong"/>
    <w:uiPriority w:val="22"/>
    <w:qFormat/>
    <w:locked/>
    <w:rsid w:val="00AE2480"/>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numbering" w:customStyle="1" w:styleId="1Char">
    <w:name w:val="5"/>
    <w:pPr>
      <w:numPr>
        <w:numId w:val="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021212">
      <w:bodyDiv w:val="1"/>
      <w:marLeft w:val="0"/>
      <w:marRight w:val="0"/>
      <w:marTop w:val="0"/>
      <w:marBottom w:val="0"/>
      <w:divBdr>
        <w:top w:val="none" w:sz="0" w:space="0" w:color="auto"/>
        <w:left w:val="none" w:sz="0" w:space="0" w:color="auto"/>
        <w:bottom w:val="none" w:sz="0" w:space="0" w:color="auto"/>
        <w:right w:val="none" w:sz="0" w:space="0" w:color="auto"/>
      </w:divBdr>
    </w:div>
    <w:div w:id="888423083">
      <w:marLeft w:val="0"/>
      <w:marRight w:val="0"/>
      <w:marTop w:val="0"/>
      <w:marBottom w:val="0"/>
      <w:divBdr>
        <w:top w:val="none" w:sz="0" w:space="0" w:color="auto"/>
        <w:left w:val="none" w:sz="0" w:space="0" w:color="auto"/>
        <w:bottom w:val="none" w:sz="0" w:space="0" w:color="auto"/>
        <w:right w:val="none" w:sz="0" w:space="0" w:color="auto"/>
      </w:divBdr>
    </w:div>
    <w:div w:id="888423084">
      <w:marLeft w:val="0"/>
      <w:marRight w:val="0"/>
      <w:marTop w:val="0"/>
      <w:marBottom w:val="0"/>
      <w:divBdr>
        <w:top w:val="none" w:sz="0" w:space="0" w:color="auto"/>
        <w:left w:val="none" w:sz="0" w:space="0" w:color="auto"/>
        <w:bottom w:val="none" w:sz="0" w:space="0" w:color="auto"/>
        <w:right w:val="none" w:sz="0" w:space="0" w:color="auto"/>
      </w:divBdr>
    </w:div>
    <w:div w:id="888423085">
      <w:marLeft w:val="0"/>
      <w:marRight w:val="0"/>
      <w:marTop w:val="0"/>
      <w:marBottom w:val="0"/>
      <w:divBdr>
        <w:top w:val="none" w:sz="0" w:space="0" w:color="auto"/>
        <w:left w:val="none" w:sz="0" w:space="0" w:color="auto"/>
        <w:bottom w:val="none" w:sz="0" w:space="0" w:color="auto"/>
        <w:right w:val="none" w:sz="0" w:space="0" w:color="auto"/>
      </w:divBdr>
    </w:div>
    <w:div w:id="888423086">
      <w:marLeft w:val="0"/>
      <w:marRight w:val="0"/>
      <w:marTop w:val="0"/>
      <w:marBottom w:val="0"/>
      <w:divBdr>
        <w:top w:val="none" w:sz="0" w:space="0" w:color="auto"/>
        <w:left w:val="none" w:sz="0" w:space="0" w:color="auto"/>
        <w:bottom w:val="none" w:sz="0" w:space="0" w:color="auto"/>
        <w:right w:val="none" w:sz="0" w:space="0" w:color="auto"/>
      </w:divBdr>
    </w:div>
    <w:div w:id="888423087">
      <w:marLeft w:val="0"/>
      <w:marRight w:val="0"/>
      <w:marTop w:val="0"/>
      <w:marBottom w:val="0"/>
      <w:divBdr>
        <w:top w:val="none" w:sz="0" w:space="0" w:color="auto"/>
        <w:left w:val="none" w:sz="0" w:space="0" w:color="auto"/>
        <w:bottom w:val="none" w:sz="0" w:space="0" w:color="auto"/>
        <w:right w:val="none" w:sz="0" w:space="0" w:color="auto"/>
      </w:divBdr>
    </w:div>
    <w:div w:id="888423088">
      <w:marLeft w:val="0"/>
      <w:marRight w:val="0"/>
      <w:marTop w:val="0"/>
      <w:marBottom w:val="0"/>
      <w:divBdr>
        <w:top w:val="none" w:sz="0" w:space="0" w:color="auto"/>
        <w:left w:val="none" w:sz="0" w:space="0" w:color="auto"/>
        <w:bottom w:val="none" w:sz="0" w:space="0" w:color="auto"/>
        <w:right w:val="none" w:sz="0" w:space="0" w:color="auto"/>
      </w:divBdr>
    </w:div>
    <w:div w:id="888423089">
      <w:marLeft w:val="0"/>
      <w:marRight w:val="0"/>
      <w:marTop w:val="0"/>
      <w:marBottom w:val="0"/>
      <w:divBdr>
        <w:top w:val="none" w:sz="0" w:space="0" w:color="auto"/>
        <w:left w:val="none" w:sz="0" w:space="0" w:color="auto"/>
        <w:bottom w:val="none" w:sz="0" w:space="0" w:color="auto"/>
        <w:right w:val="none" w:sz="0" w:space="0" w:color="auto"/>
      </w:divBdr>
    </w:div>
    <w:div w:id="888423090">
      <w:marLeft w:val="0"/>
      <w:marRight w:val="0"/>
      <w:marTop w:val="0"/>
      <w:marBottom w:val="0"/>
      <w:divBdr>
        <w:top w:val="none" w:sz="0" w:space="0" w:color="auto"/>
        <w:left w:val="none" w:sz="0" w:space="0" w:color="auto"/>
        <w:bottom w:val="none" w:sz="0" w:space="0" w:color="auto"/>
        <w:right w:val="none" w:sz="0" w:space="0" w:color="auto"/>
      </w:divBdr>
    </w:div>
    <w:div w:id="888423091">
      <w:marLeft w:val="0"/>
      <w:marRight w:val="0"/>
      <w:marTop w:val="0"/>
      <w:marBottom w:val="0"/>
      <w:divBdr>
        <w:top w:val="none" w:sz="0" w:space="0" w:color="auto"/>
        <w:left w:val="none" w:sz="0" w:space="0" w:color="auto"/>
        <w:bottom w:val="none" w:sz="0" w:space="0" w:color="auto"/>
        <w:right w:val="none" w:sz="0" w:space="0" w:color="auto"/>
      </w:divBdr>
    </w:div>
    <w:div w:id="888423092">
      <w:marLeft w:val="0"/>
      <w:marRight w:val="0"/>
      <w:marTop w:val="0"/>
      <w:marBottom w:val="0"/>
      <w:divBdr>
        <w:top w:val="none" w:sz="0" w:space="0" w:color="auto"/>
        <w:left w:val="none" w:sz="0" w:space="0" w:color="auto"/>
        <w:bottom w:val="none" w:sz="0" w:space="0" w:color="auto"/>
        <w:right w:val="none" w:sz="0" w:space="0" w:color="auto"/>
      </w:divBdr>
    </w:div>
    <w:div w:id="888423093">
      <w:marLeft w:val="0"/>
      <w:marRight w:val="0"/>
      <w:marTop w:val="0"/>
      <w:marBottom w:val="0"/>
      <w:divBdr>
        <w:top w:val="none" w:sz="0" w:space="0" w:color="auto"/>
        <w:left w:val="none" w:sz="0" w:space="0" w:color="auto"/>
        <w:bottom w:val="none" w:sz="0" w:space="0" w:color="auto"/>
        <w:right w:val="none" w:sz="0" w:space="0" w:color="auto"/>
      </w:divBdr>
    </w:div>
    <w:div w:id="888423095">
      <w:marLeft w:val="0"/>
      <w:marRight w:val="0"/>
      <w:marTop w:val="0"/>
      <w:marBottom w:val="0"/>
      <w:divBdr>
        <w:top w:val="none" w:sz="0" w:space="0" w:color="auto"/>
        <w:left w:val="none" w:sz="0" w:space="0" w:color="auto"/>
        <w:bottom w:val="none" w:sz="0" w:space="0" w:color="auto"/>
        <w:right w:val="none" w:sz="0" w:space="0" w:color="auto"/>
      </w:divBdr>
    </w:div>
    <w:div w:id="888423096">
      <w:marLeft w:val="0"/>
      <w:marRight w:val="0"/>
      <w:marTop w:val="0"/>
      <w:marBottom w:val="0"/>
      <w:divBdr>
        <w:top w:val="none" w:sz="0" w:space="0" w:color="auto"/>
        <w:left w:val="none" w:sz="0" w:space="0" w:color="auto"/>
        <w:bottom w:val="none" w:sz="0" w:space="0" w:color="auto"/>
        <w:right w:val="none" w:sz="0" w:space="0" w:color="auto"/>
      </w:divBdr>
    </w:div>
    <w:div w:id="888423097">
      <w:marLeft w:val="0"/>
      <w:marRight w:val="0"/>
      <w:marTop w:val="0"/>
      <w:marBottom w:val="0"/>
      <w:divBdr>
        <w:top w:val="none" w:sz="0" w:space="0" w:color="auto"/>
        <w:left w:val="none" w:sz="0" w:space="0" w:color="auto"/>
        <w:bottom w:val="none" w:sz="0" w:space="0" w:color="auto"/>
        <w:right w:val="none" w:sz="0" w:space="0" w:color="auto"/>
      </w:divBdr>
    </w:div>
    <w:div w:id="888423098">
      <w:marLeft w:val="0"/>
      <w:marRight w:val="0"/>
      <w:marTop w:val="0"/>
      <w:marBottom w:val="0"/>
      <w:divBdr>
        <w:top w:val="none" w:sz="0" w:space="0" w:color="auto"/>
        <w:left w:val="none" w:sz="0" w:space="0" w:color="auto"/>
        <w:bottom w:val="none" w:sz="0" w:space="0" w:color="auto"/>
        <w:right w:val="none" w:sz="0" w:space="0" w:color="auto"/>
      </w:divBdr>
    </w:div>
    <w:div w:id="888423099">
      <w:marLeft w:val="0"/>
      <w:marRight w:val="0"/>
      <w:marTop w:val="0"/>
      <w:marBottom w:val="0"/>
      <w:divBdr>
        <w:top w:val="none" w:sz="0" w:space="0" w:color="auto"/>
        <w:left w:val="none" w:sz="0" w:space="0" w:color="auto"/>
        <w:bottom w:val="none" w:sz="0" w:space="0" w:color="auto"/>
        <w:right w:val="none" w:sz="0" w:space="0" w:color="auto"/>
      </w:divBdr>
    </w:div>
    <w:div w:id="888423100">
      <w:marLeft w:val="150"/>
      <w:marRight w:val="150"/>
      <w:marTop w:val="150"/>
      <w:marBottom w:val="150"/>
      <w:divBdr>
        <w:top w:val="none" w:sz="0" w:space="0" w:color="auto"/>
        <w:left w:val="none" w:sz="0" w:space="0" w:color="auto"/>
        <w:bottom w:val="none" w:sz="0" w:space="0" w:color="auto"/>
        <w:right w:val="none" w:sz="0" w:space="0" w:color="auto"/>
      </w:divBdr>
      <w:divsChild>
        <w:div w:id="888423094">
          <w:marLeft w:val="0"/>
          <w:marRight w:val="0"/>
          <w:marTop w:val="0"/>
          <w:marBottom w:val="0"/>
          <w:divBdr>
            <w:top w:val="none" w:sz="0" w:space="0" w:color="auto"/>
            <w:left w:val="none" w:sz="0" w:space="0" w:color="auto"/>
            <w:bottom w:val="none" w:sz="0" w:space="0" w:color="auto"/>
            <w:right w:val="none" w:sz="0" w:space="0" w:color="auto"/>
          </w:divBdr>
        </w:div>
      </w:divsChild>
    </w:div>
    <w:div w:id="1691950885">
      <w:bodyDiv w:val="1"/>
      <w:marLeft w:val="0"/>
      <w:marRight w:val="0"/>
      <w:marTop w:val="0"/>
      <w:marBottom w:val="0"/>
      <w:divBdr>
        <w:top w:val="none" w:sz="0" w:space="0" w:color="auto"/>
        <w:left w:val="none" w:sz="0" w:space="0" w:color="auto"/>
        <w:bottom w:val="none" w:sz="0" w:space="0" w:color="auto"/>
        <w:right w:val="none" w:sz="0" w:space="0" w:color="auto"/>
      </w:divBdr>
    </w:div>
    <w:div w:id="1704014345">
      <w:bodyDiv w:val="1"/>
      <w:marLeft w:val="0"/>
      <w:marRight w:val="0"/>
      <w:marTop w:val="0"/>
      <w:marBottom w:val="0"/>
      <w:divBdr>
        <w:top w:val="none" w:sz="0" w:space="0" w:color="auto"/>
        <w:left w:val="none" w:sz="0" w:space="0" w:color="auto"/>
        <w:bottom w:val="none" w:sz="0" w:space="0" w:color="auto"/>
        <w:right w:val="none" w:sz="0" w:space="0" w:color="auto"/>
      </w:divBdr>
    </w:div>
    <w:div w:id="1712071077">
      <w:bodyDiv w:val="1"/>
      <w:marLeft w:val="0"/>
      <w:marRight w:val="0"/>
      <w:marTop w:val="0"/>
      <w:marBottom w:val="0"/>
      <w:divBdr>
        <w:top w:val="none" w:sz="0" w:space="0" w:color="auto"/>
        <w:left w:val="none" w:sz="0" w:space="0" w:color="auto"/>
        <w:bottom w:val="none" w:sz="0" w:space="0" w:color="auto"/>
        <w:right w:val="none" w:sz="0" w:space="0" w:color="auto"/>
      </w:divBdr>
    </w:div>
    <w:div w:id="1794054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no"?>
<Relationships xmlns="http://schemas.openxmlformats.org/package/2006/relationships">
<Relationship Id="rId1" Target="numbering.xml" Type="http://schemas.openxmlformats.org/officeDocument/2006/relationships/numbering"/>
<Relationship Id="rId10" Target="media/image1.jpeg" Type="http://schemas.openxmlformats.org/officeDocument/2006/relationships/image"/>
<Relationship Id="rId11" Target="media/image2.jpeg" Type="http://schemas.openxmlformats.org/officeDocument/2006/relationships/image"/>
<Relationship Id="rId12" Target="footer2.xml" Type="http://schemas.openxmlformats.org/officeDocument/2006/relationships/footer"/>
<Relationship Id="rId13" Target="footer3.xml" Type="http://schemas.openxmlformats.org/officeDocument/2006/relationships/footer"/>
<Relationship Id="rId14" Target="fontTable.xml" Type="http://schemas.openxmlformats.org/officeDocument/2006/relationships/fontTable"/>
<Relationship Id="rId15" Target="theme/theme1.xml" Type="http://schemas.openxmlformats.org/officeDocument/2006/relationships/theme"/>
<Relationship Id="rId2" Target="styles.xml" Type="http://schemas.openxmlformats.org/officeDocument/2006/relationships/styles"/>
<Relationship Id="rId3" Target="stylesWithEffects.xml" Type="http://schemas.microsoft.com/office/2007/relationships/stylesWithEffects"/>
<Relationship Id="rId4" Target="settings.xml" Type="http://schemas.openxmlformats.org/officeDocument/2006/relationships/settings"/>
<Relationship Id="rId5" Target="webSettings.xml" Type="http://schemas.openxmlformats.org/officeDocument/2006/relationships/webSettings"/>
<Relationship Id="rId6" Target="footnotes.xml" Type="http://schemas.openxmlformats.org/officeDocument/2006/relationships/footnotes"/>
<Relationship Id="rId7" Target="endnotes.xml" Type="http://schemas.openxmlformats.org/officeDocument/2006/relationships/endnotes"/>
<Relationship Id="rId8" Target="header1.xml" Type="http://schemas.openxmlformats.org/officeDocument/2006/relationships/header"/>
<Relationship Id="rId9" Target="footer1.xml" Type="http://schemas.openxmlformats.org/officeDocument/2006/relationships/footer"/>
</Relationships>

</file>

<file path=word/_rels/settings.xml.rels><?xml version="1.0" encoding="UTF-8" standalone="no"?>
<Relationships xmlns="http://schemas.openxmlformats.org/package/2006/relationships">
<Relationship Id="rId1" Target="file:///C:/Users/Administrator/Desktop/abc&#23395;&#25253;.dot" TargetMode="External" Type="http://schemas.openxmlformats.org/officeDocument/2006/relationships/attachedTemplate"/>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abc季报.dot</Template>
  <TotalTime>407</TotalTime>
  <Pages>29</Pages>
  <Words>4352</Words>
  <Characters>24809</Characters>
  <Application>Microsoft Office Word</Application>
  <DocSecurity>0</DocSecurity>
  <Lines>206</Lines>
  <Paragraphs>58</Paragraphs>
  <ScaleCrop>false</ScaleCrop>
  <Company>TRT. Ltd. Co.</Company>
  <LinksUpToDate>false</LinksUpToDate>
  <CharactersWithSpaces>29103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2013-06-21T06:56:00Z</dcterms:created>
  <dc:creator>bonnieliu</dc:creator>
  <cp:lastModifiedBy>swinghan</cp:lastModifiedBy>
  <cp:lastPrinted>2007-07-19T00:46:00Z</cp:lastPrinted>
  <dcterms:modified xsi:type="dcterms:W3CDTF">2020-06-21T03:01:00Z</dcterms:modified>
  <cp:revision>173</cp:revision>
</cp:coreProperties>
</file>