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易方达瑞信灵活配置混合型证券投资基金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中信银行股份有限公司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基金托管人中信银行股份有限公司根据本基金合同规定，于2020年7月17日复核了本报告中的财务指标、净值表现和投资组合报告等内容，保证复核内容不存在虚假记载、误导性陈述或者重大遗漏。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易方达瑞信混合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001441</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2018年1月30日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707,842,123.90</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本基金在控制风险的前提下，追求基金资产的稳健增值。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基于定量与定性相结合的宏观及市场因素、估值及流动性因素、政策因素等分析，确定组合中股票、债券、货币市场工具等资产类别的配置比例。本基金在行业分析、公司基本面分析及估值水平分析的基础上，进行股票组合的构建。当行业、公司的基本面、股票的估值水平出现较大变化时，本基金将对股票组合适时进行动态调整。在债券投资方面，本基金将主要通过类属配置与券种选择两个层次进行投资管理。</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一年期人民币定期存款利率（税后）+2%</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中信银行股份有限公司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易方达瑞信混合I</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易方达瑞信混合E</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001441</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001442</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621,027,070.80</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86,815,053.10</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易方达瑞信混合I</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易方达瑞信混合E</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11,528,675.63</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1,271,083.07</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9,438,721.64</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770,825.66</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0.0202</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0.0146</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814,137,505.46</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113,219,693.52</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1.311</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1.304</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易方达瑞信混合I</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1.71%</w:t>
            </w:r>
          </w:p>
        </w:tc>
        <w:tc>
          <w:tcPr>
            <w:vAlign w:val="center"/>
          </w:tcPr>
          <w:p>
            <w:pPr>
              <w:jc w:val="center"/>
            </w:pPr>
            <w:r>
              <w:rPr>
                <w:color w:val="000000"/>
                <w:sz w:val="24"/>
              </w:rPr>
              <w:t>0.16%</w:t>
            </w:r>
          </w:p>
        </w:tc>
        <w:tc>
          <w:tcPr>
            <w:vAlign w:val="center"/>
          </w:tcPr>
          <w:p>
            <w:pPr>
              <w:jc w:val="center"/>
            </w:pPr>
            <w:r>
              <w:rPr>
                <w:color w:val="000000"/>
                <w:sz w:val="24"/>
              </w:rPr>
              <w:t>0.88%</w:t>
            </w:r>
          </w:p>
        </w:tc>
        <w:tc>
          <w:tcPr>
            <w:vAlign w:val="center"/>
          </w:tcPr>
          <w:p>
            <w:pPr>
              <w:jc w:val="center"/>
            </w:pPr>
            <w:r>
              <w:rPr>
                <w:color w:val="000000"/>
                <w:sz w:val="24"/>
              </w:rPr>
              <w:t>0.01%</w:t>
            </w:r>
          </w:p>
        </w:tc>
        <w:tc>
          <w:tcPr>
            <w:vAlign w:val="center"/>
          </w:tcPr>
          <w:p>
            <w:pPr>
              <w:jc w:val="center"/>
            </w:pPr>
            <w:r>
              <w:rPr>
                <w:color w:val="000000"/>
                <w:sz w:val="24"/>
              </w:rPr>
              <w:t>0.83%</w:t>
            </w:r>
          </w:p>
        </w:tc>
        <w:tc>
          <w:tcPr>
            <w:vAlign w:val="center"/>
          </w:tcPr>
          <w:p>
            <w:pPr>
              <w:jc w:val="center"/>
            </w:pPr>
            <w:r>
              <w:rPr>
                <w:color w:val="000000"/>
                <w:sz w:val="24"/>
              </w:rPr>
              <w:t>0.15%</w:t>
            </w:r>
          </w:p>
        </w:tc>
      </w:tr>
      <w:tr>
        <w:tc>
          <w:tcPr>
            <w:vAlign w:val="center"/>
          </w:tcPr>
          <w:p>
            <w:pPr>
              <w:jc w:val="left"/>
            </w:pPr>
            <w:r>
              <w:rPr>
                <w:color w:val="000000"/>
                <w:sz w:val="24"/>
              </w:rPr>
              <w:t>过去六个月</w:t>
            </w:r>
          </w:p>
        </w:tc>
        <w:tc>
          <w:tcPr>
            <w:vAlign w:val="center"/>
          </w:tcPr>
          <w:p>
            <w:pPr>
              <w:jc w:val="center"/>
            </w:pPr>
            <w:r>
              <w:rPr>
                <w:color w:val="000000"/>
                <w:sz w:val="24"/>
              </w:rPr>
              <w:t>9.07%</w:t>
            </w:r>
          </w:p>
        </w:tc>
        <w:tc>
          <w:tcPr>
            <w:vAlign w:val="center"/>
          </w:tcPr>
          <w:p>
            <w:pPr>
              <w:jc w:val="center"/>
            </w:pPr>
            <w:r>
              <w:rPr>
                <w:color w:val="000000"/>
                <w:sz w:val="24"/>
              </w:rPr>
              <w:t>1.30%</w:t>
            </w:r>
          </w:p>
        </w:tc>
        <w:tc>
          <w:tcPr>
            <w:vAlign w:val="center"/>
          </w:tcPr>
          <w:p>
            <w:pPr>
              <w:jc w:val="center"/>
            </w:pPr>
            <w:r>
              <w:rPr>
                <w:color w:val="000000"/>
                <w:sz w:val="24"/>
              </w:rPr>
              <w:t>1.77%</w:t>
            </w:r>
          </w:p>
        </w:tc>
        <w:tc>
          <w:tcPr>
            <w:vAlign w:val="center"/>
          </w:tcPr>
          <w:p>
            <w:pPr>
              <w:jc w:val="center"/>
            </w:pPr>
            <w:r>
              <w:rPr>
                <w:color w:val="000000"/>
                <w:sz w:val="24"/>
              </w:rPr>
              <w:t>0.01%</w:t>
            </w:r>
          </w:p>
        </w:tc>
        <w:tc>
          <w:tcPr>
            <w:vAlign w:val="center"/>
          </w:tcPr>
          <w:p>
            <w:pPr>
              <w:jc w:val="center"/>
            </w:pPr>
            <w:r>
              <w:rPr>
                <w:color w:val="000000"/>
                <w:sz w:val="24"/>
              </w:rPr>
              <w:t>7.30%</w:t>
            </w:r>
          </w:p>
        </w:tc>
        <w:tc>
          <w:tcPr>
            <w:vAlign w:val="center"/>
          </w:tcPr>
          <w:p>
            <w:pPr>
              <w:jc w:val="center"/>
            </w:pPr>
            <w:r>
              <w:rPr>
                <w:color w:val="000000"/>
                <w:sz w:val="24"/>
              </w:rPr>
              <w:t>1.29%</w:t>
            </w:r>
          </w:p>
        </w:tc>
      </w:tr>
      <w:tr>
        <w:tc>
          <w:tcPr>
            <w:vAlign w:val="center"/>
          </w:tcPr>
          <w:p>
            <w:pPr>
              <w:jc w:val="left"/>
            </w:pPr>
            <w:r>
              <w:rPr>
                <w:color w:val="000000"/>
                <w:sz w:val="24"/>
              </w:rPr>
              <w:t>过去一年</w:t>
            </w:r>
          </w:p>
        </w:tc>
        <w:tc>
          <w:tcPr>
            <w:vAlign w:val="center"/>
          </w:tcPr>
          <w:p>
            <w:pPr>
              <w:jc w:val="center"/>
            </w:pPr>
            <w:r>
              <w:rPr>
                <w:color w:val="000000"/>
                <w:sz w:val="24"/>
              </w:rPr>
              <w:t>35.43%</w:t>
            </w:r>
          </w:p>
        </w:tc>
        <w:tc>
          <w:tcPr>
            <w:vAlign w:val="center"/>
          </w:tcPr>
          <w:p>
            <w:pPr>
              <w:jc w:val="center"/>
            </w:pPr>
            <w:r>
              <w:rPr>
                <w:color w:val="000000"/>
                <w:sz w:val="24"/>
              </w:rPr>
              <w:t>1.15%</w:t>
            </w:r>
          </w:p>
        </w:tc>
        <w:tc>
          <w:tcPr>
            <w:vAlign w:val="center"/>
          </w:tcPr>
          <w:p>
            <w:pPr>
              <w:jc w:val="center"/>
            </w:pPr>
            <w:r>
              <w:rPr>
                <w:color w:val="000000"/>
                <w:sz w:val="24"/>
              </w:rPr>
              <w:t>3.56%</w:t>
            </w:r>
          </w:p>
        </w:tc>
        <w:tc>
          <w:tcPr>
            <w:vAlign w:val="center"/>
          </w:tcPr>
          <w:p>
            <w:pPr>
              <w:jc w:val="center"/>
            </w:pPr>
            <w:r>
              <w:rPr>
                <w:color w:val="000000"/>
                <w:sz w:val="24"/>
              </w:rPr>
              <w:t>0.01%</w:t>
            </w:r>
          </w:p>
        </w:tc>
        <w:tc>
          <w:tcPr>
            <w:vAlign w:val="center"/>
          </w:tcPr>
          <w:p>
            <w:pPr>
              <w:jc w:val="center"/>
            </w:pPr>
            <w:r>
              <w:rPr>
                <w:color w:val="000000"/>
                <w:sz w:val="24"/>
              </w:rPr>
              <w:t>31.87%</w:t>
            </w:r>
          </w:p>
        </w:tc>
        <w:tc>
          <w:tcPr>
            <w:vAlign w:val="center"/>
          </w:tcPr>
          <w:p>
            <w:pPr>
              <w:jc w:val="center"/>
            </w:pPr>
            <w:r>
              <w:rPr>
                <w:color w:val="000000"/>
                <w:sz w:val="24"/>
              </w:rPr>
              <w:t>1.14%</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31.10%</w:t>
            </w:r>
          </w:p>
        </w:tc>
        <w:tc>
          <w:tcPr>
            <w:vAlign w:val="center"/>
          </w:tcPr>
          <w:p>
            <w:pPr>
              <w:jc w:val="center"/>
            </w:pPr>
            <w:r>
              <w:rPr>
                <w:color w:val="000000"/>
                <w:sz w:val="24"/>
              </w:rPr>
              <w:t>1.14%</w:t>
            </w:r>
          </w:p>
        </w:tc>
        <w:tc>
          <w:tcPr>
            <w:vAlign w:val="center"/>
          </w:tcPr>
          <w:p>
            <w:pPr>
              <w:jc w:val="center"/>
            </w:pPr>
            <w:r>
              <w:rPr>
                <w:color w:val="000000"/>
                <w:sz w:val="24"/>
              </w:rPr>
              <w:t>8.58%</w:t>
            </w:r>
          </w:p>
        </w:tc>
        <w:tc>
          <w:tcPr>
            <w:vAlign w:val="center"/>
          </w:tcPr>
          <w:p>
            <w:pPr>
              <w:jc w:val="center"/>
            </w:pPr>
            <w:r>
              <w:rPr>
                <w:color w:val="000000"/>
                <w:sz w:val="24"/>
              </w:rPr>
              <w:t>0.01%</w:t>
            </w:r>
          </w:p>
        </w:tc>
        <w:tc>
          <w:tcPr>
            <w:vAlign w:val="center"/>
          </w:tcPr>
          <w:p>
            <w:pPr>
              <w:jc w:val="center"/>
            </w:pPr>
            <w:r>
              <w:rPr>
                <w:color w:val="000000"/>
                <w:sz w:val="24"/>
              </w:rPr>
              <w:t>22.52%</w:t>
            </w:r>
          </w:p>
        </w:tc>
        <w:tc>
          <w:tcPr>
            <w:vAlign w:val="center"/>
          </w:tcPr>
          <w:p>
            <w:pPr>
              <w:jc w:val="center"/>
            </w:pPr>
            <w:r>
              <w:rPr>
                <w:color w:val="000000"/>
                <w:sz w:val="24"/>
              </w:rPr>
              <w:t>1.13%</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易方达瑞信混合E</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1.64%</w:t>
            </w:r>
          </w:p>
        </w:tc>
        <w:tc>
          <w:tcPr>
            <w:vAlign w:val="center"/>
          </w:tcPr>
          <w:p>
            <w:pPr>
              <w:jc w:val="center"/>
            </w:pPr>
            <w:r>
              <w:rPr>
                <w:color w:val="000000"/>
                <w:sz w:val="24"/>
              </w:rPr>
              <w:t>0.16%</w:t>
            </w:r>
          </w:p>
        </w:tc>
        <w:tc>
          <w:tcPr>
            <w:vAlign w:val="center"/>
          </w:tcPr>
          <w:p>
            <w:pPr>
              <w:jc w:val="center"/>
            </w:pPr>
            <w:r>
              <w:rPr>
                <w:color w:val="000000"/>
                <w:sz w:val="24"/>
              </w:rPr>
              <w:t>0.88%</w:t>
            </w:r>
          </w:p>
        </w:tc>
        <w:tc>
          <w:tcPr>
            <w:vAlign w:val="center"/>
          </w:tcPr>
          <w:p>
            <w:pPr>
              <w:jc w:val="center"/>
            </w:pPr>
            <w:r>
              <w:rPr>
                <w:color w:val="000000"/>
                <w:sz w:val="24"/>
              </w:rPr>
              <w:t>0.01%</w:t>
            </w:r>
          </w:p>
        </w:tc>
        <w:tc>
          <w:tcPr>
            <w:vAlign w:val="center"/>
          </w:tcPr>
          <w:p>
            <w:pPr>
              <w:jc w:val="center"/>
            </w:pPr>
            <w:r>
              <w:rPr>
                <w:color w:val="000000"/>
                <w:sz w:val="24"/>
              </w:rPr>
              <w:t>0.76%</w:t>
            </w:r>
          </w:p>
        </w:tc>
        <w:tc>
          <w:tcPr>
            <w:vAlign w:val="center"/>
          </w:tcPr>
          <w:p>
            <w:pPr>
              <w:jc w:val="center"/>
            </w:pPr>
            <w:r>
              <w:rPr>
                <w:color w:val="000000"/>
                <w:sz w:val="24"/>
              </w:rPr>
              <w:t>0.15%</w:t>
            </w:r>
          </w:p>
        </w:tc>
      </w:tr>
      <w:tr>
        <w:tc>
          <w:tcPr>
            <w:vAlign w:val="center"/>
          </w:tcPr>
          <w:p>
            <w:pPr>
              <w:jc w:val="left"/>
            </w:pPr>
            <w:r>
              <w:rPr>
                <w:color w:val="000000"/>
                <w:sz w:val="24"/>
              </w:rPr>
              <w:t>过去六个月</w:t>
            </w:r>
          </w:p>
        </w:tc>
        <w:tc>
          <w:tcPr>
            <w:vAlign w:val="center"/>
          </w:tcPr>
          <w:p>
            <w:pPr>
              <w:jc w:val="center"/>
            </w:pPr>
            <w:r>
              <w:rPr>
                <w:color w:val="000000"/>
                <w:sz w:val="24"/>
              </w:rPr>
              <w:t>8.94%</w:t>
            </w:r>
          </w:p>
        </w:tc>
        <w:tc>
          <w:tcPr>
            <w:vAlign w:val="center"/>
          </w:tcPr>
          <w:p>
            <w:pPr>
              <w:jc w:val="center"/>
            </w:pPr>
            <w:r>
              <w:rPr>
                <w:color w:val="000000"/>
                <w:sz w:val="24"/>
              </w:rPr>
              <w:t>1.30%</w:t>
            </w:r>
          </w:p>
        </w:tc>
        <w:tc>
          <w:tcPr>
            <w:vAlign w:val="center"/>
          </w:tcPr>
          <w:p>
            <w:pPr>
              <w:jc w:val="center"/>
            </w:pPr>
            <w:r>
              <w:rPr>
                <w:color w:val="000000"/>
                <w:sz w:val="24"/>
              </w:rPr>
              <w:t>1.77%</w:t>
            </w:r>
          </w:p>
        </w:tc>
        <w:tc>
          <w:tcPr>
            <w:vAlign w:val="center"/>
          </w:tcPr>
          <w:p>
            <w:pPr>
              <w:jc w:val="center"/>
            </w:pPr>
            <w:r>
              <w:rPr>
                <w:color w:val="000000"/>
                <w:sz w:val="24"/>
              </w:rPr>
              <w:t>0.01%</w:t>
            </w:r>
          </w:p>
        </w:tc>
        <w:tc>
          <w:tcPr>
            <w:vAlign w:val="center"/>
          </w:tcPr>
          <w:p>
            <w:pPr>
              <w:jc w:val="center"/>
            </w:pPr>
            <w:r>
              <w:rPr>
                <w:color w:val="000000"/>
                <w:sz w:val="24"/>
              </w:rPr>
              <w:t>7.17%</w:t>
            </w:r>
          </w:p>
        </w:tc>
        <w:tc>
          <w:tcPr>
            <w:vAlign w:val="center"/>
          </w:tcPr>
          <w:p>
            <w:pPr>
              <w:jc w:val="center"/>
            </w:pPr>
            <w:r>
              <w:rPr>
                <w:color w:val="000000"/>
                <w:sz w:val="24"/>
              </w:rPr>
              <w:t>1.29%</w:t>
            </w:r>
          </w:p>
        </w:tc>
      </w:tr>
      <w:tr>
        <w:tc>
          <w:tcPr>
            <w:vAlign w:val="center"/>
          </w:tcPr>
          <w:p>
            <w:pPr>
              <w:jc w:val="left"/>
            </w:pPr>
            <w:r>
              <w:rPr>
                <w:color w:val="000000"/>
                <w:sz w:val="24"/>
              </w:rPr>
              <w:t>过去一年</w:t>
            </w:r>
          </w:p>
        </w:tc>
        <w:tc>
          <w:tcPr>
            <w:vAlign w:val="center"/>
          </w:tcPr>
          <w:p>
            <w:pPr>
              <w:jc w:val="center"/>
            </w:pPr>
            <w:r>
              <w:rPr>
                <w:color w:val="000000"/>
                <w:sz w:val="24"/>
              </w:rPr>
              <w:t>35.13%</w:t>
            </w:r>
          </w:p>
        </w:tc>
        <w:tc>
          <w:tcPr>
            <w:vAlign w:val="center"/>
          </w:tcPr>
          <w:p>
            <w:pPr>
              <w:jc w:val="center"/>
            </w:pPr>
            <w:r>
              <w:rPr>
                <w:color w:val="000000"/>
                <w:sz w:val="24"/>
              </w:rPr>
              <w:t>1.15%</w:t>
            </w:r>
          </w:p>
        </w:tc>
        <w:tc>
          <w:tcPr>
            <w:vAlign w:val="center"/>
          </w:tcPr>
          <w:p>
            <w:pPr>
              <w:jc w:val="center"/>
            </w:pPr>
            <w:r>
              <w:rPr>
                <w:color w:val="000000"/>
                <w:sz w:val="24"/>
              </w:rPr>
              <w:t>3.56%</w:t>
            </w:r>
          </w:p>
        </w:tc>
        <w:tc>
          <w:tcPr>
            <w:vAlign w:val="center"/>
          </w:tcPr>
          <w:p>
            <w:pPr>
              <w:jc w:val="center"/>
            </w:pPr>
            <w:r>
              <w:rPr>
                <w:color w:val="000000"/>
                <w:sz w:val="24"/>
              </w:rPr>
              <w:t>0.01%</w:t>
            </w:r>
          </w:p>
        </w:tc>
        <w:tc>
          <w:tcPr>
            <w:vAlign w:val="center"/>
          </w:tcPr>
          <w:p>
            <w:pPr>
              <w:jc w:val="center"/>
            </w:pPr>
            <w:r>
              <w:rPr>
                <w:color w:val="000000"/>
                <w:sz w:val="24"/>
              </w:rPr>
              <w:t>31.57%</w:t>
            </w:r>
          </w:p>
        </w:tc>
        <w:tc>
          <w:tcPr>
            <w:vAlign w:val="center"/>
          </w:tcPr>
          <w:p>
            <w:pPr>
              <w:jc w:val="center"/>
            </w:pPr>
            <w:r>
              <w:rPr>
                <w:color w:val="000000"/>
                <w:sz w:val="24"/>
              </w:rPr>
              <w:t>1.14%</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30.40%</w:t>
            </w:r>
          </w:p>
        </w:tc>
        <w:tc>
          <w:tcPr>
            <w:vAlign w:val="center"/>
          </w:tcPr>
          <w:p>
            <w:pPr>
              <w:jc w:val="center"/>
            </w:pPr>
            <w:r>
              <w:rPr>
                <w:color w:val="000000"/>
                <w:sz w:val="24"/>
              </w:rPr>
              <w:t>1.13%</w:t>
            </w:r>
          </w:p>
        </w:tc>
        <w:tc>
          <w:tcPr>
            <w:vAlign w:val="center"/>
          </w:tcPr>
          <w:p>
            <w:pPr>
              <w:jc w:val="center"/>
            </w:pPr>
            <w:r>
              <w:rPr>
                <w:color w:val="000000"/>
                <w:sz w:val="24"/>
              </w:rPr>
              <w:t>8.58%</w:t>
            </w:r>
          </w:p>
        </w:tc>
        <w:tc>
          <w:tcPr>
            <w:vAlign w:val="center"/>
          </w:tcPr>
          <w:p>
            <w:pPr>
              <w:jc w:val="center"/>
            </w:pPr>
            <w:r>
              <w:rPr>
                <w:color w:val="000000"/>
                <w:sz w:val="24"/>
              </w:rPr>
              <w:t>0.01%</w:t>
            </w:r>
          </w:p>
        </w:tc>
        <w:tc>
          <w:tcPr>
            <w:vAlign w:val="center"/>
          </w:tcPr>
          <w:p>
            <w:pPr>
              <w:jc w:val="center"/>
            </w:pPr>
            <w:r>
              <w:rPr>
                <w:color w:val="000000"/>
                <w:sz w:val="24"/>
              </w:rPr>
              <w:t>21.82%</w:t>
            </w:r>
          </w:p>
        </w:tc>
        <w:tc>
          <w:tcPr>
            <w:vAlign w:val="center"/>
          </w:tcPr>
          <w:p>
            <w:pPr>
              <w:jc w:val="center"/>
            </w:pPr>
            <w:r>
              <w:rPr>
                <w:color w:val="000000"/>
                <w:sz w:val="24"/>
              </w:rPr>
              <w:t>1.12%</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易方达瑞信灵活配置混合型证券投资基金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（2018年1月30日至2020年6月30日）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易方达瑞信混合I</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易方达瑞信混合E</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注：自基金合同生效至报告期末，I类基金份额净值增长率为31.10%，E类基金份额净值增长率为30.40%，同期业绩比较基准收益率为8.58%。</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韩阅川</w:t>
            </w:r>
          </w:p>
        </w:tc>
        <w:tc>
          <w:tcPr>
            <w:vAlign w:val="center"/>
          </w:tcPr>
          <w:p>
            <w:pPr>
              <w:jc w:val="left"/>
            </w:pPr>
            <w:r>
              <w:rPr>
                <w:color w:val="000000"/>
                <w:sz w:val="24"/>
              </w:rPr>
              <w:t>本基金的基金经理、易方达瑞景灵活配置混合型证券投资基金的基金经理、易方达新享灵活配置混合型证券投资基金的基金经理、易方达新鑫灵活配置混合型证券投资基金的基金经理、易方达新利灵活配置混合型证券投资基金的基金经理、易方达瑞祥灵活配置混合型证券投资基金的基金经理、易方达瑞兴灵活配置混合型证券投资基金的基金经理、易方达瑞智灵活配置混合型证券投资基金的基金经理、易方达瑞选灵活配置混合型证券投资基金的基金经理、易方达新益灵活配置混合型证券投资基金的基金经理、易方达裕鑫债券型证券投资基金的基金经理、易方达瑞祺灵活配置混合型证券投资基金的基金经理、易方达瑞和灵活配置混合型证券投资基金的基金经理、易方达鑫转招利混合型证券投资基金的基金经理、易方达鑫转添利混合型证券投资基金的基金经理、易方达瑞川灵活配置混合型发起式证券投资基金的基金经理、易方达丰惠混合型证券投资基金的基金经理、易方达新收益灵活配置混合型证券投资基金的基金经理助理</w:t>
            </w:r>
          </w:p>
        </w:tc>
        <w:tc>
          <w:tcPr>
            <w:vAlign w:val="center"/>
          </w:tcPr>
          <w:p>
            <w:pPr>
              <w:jc w:val="center"/>
            </w:pPr>
            <w:r>
              <w:rPr>
                <w:color w:val="000000"/>
                <w:sz w:val="24"/>
              </w:rPr>
              <w:t>2020-03-07</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硕士研究生，具有基金从业资格。曾任嘉实基金管理有限公司固定收益部研究员、投资经理，易方达基金管理有限公司易方达新享灵活配置混合型证券投资基金基金经理助理、易方达新利灵活配置混合型证券投资基金基金经理助理、易方达瑞景灵活配置混合型证券投资基金基金经理助理、易方达瑞兴灵活配置混合型证券投资基金基金经理助理、易方达瑞祥灵活配置混合型证券投资基金基金经理助理、易方达瑞智灵活配置混合型证券投资基金基金经理助理、易方达新鑫灵活配置混合型证券投资基金基金经理助理、易方达瑞选灵活配置混合型证券投资基金基金经理助理、易方达新益灵活配置混合型证券投资基金基金经理助理、易方达裕鑫债券型证券投资基金基金经理助理、易方达瑞信灵活配置混合型证券投资基金基金经理助理、易方达瑞和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差整体走阔。</w:t>
      </w:r>
    </w:p>
    <w:p>
      <w:pPr>
        <w:spacing w:line="360" w:lineRule="auto"/>
        <w:ind w:firstLine="480" w:firstLineChars="200"/>
        <w:rPr>
          <w:color w:val="000000"/>
          <w:sz w:val="24"/>
        </w:rPr>
      </w:pPr>
      <w:r>
        <w:rPr>
          <w:color w:val="000000"/>
          <w:sz w:val="24"/>
        </w:rPr>
        <w:t>权益市场方面，二季度整体收涨，各类风格及指数品种均呈现较好的弹性。从一季度末开始，在海外金融风险期过后，国内及海外资本市场均有较强的表现，体现出风险偏好的快速提升。从国内市场来看，A股主要沿着业绩“确定性”的方向延伸，其中一季报超预期品种的超额收益尤为确定及显著，医药行业表现持续强势，机构配置持续维持高位。二季度初，伴随海外疫情逐渐消散，国内工业及服务业复工复产快速恢复，与稳增长相关的板块及部分恢复速度较快的可选消费板块表现强劲，其中食品饮料、水泥、半导体等表现突出。市场投资者情绪也呈现快速修复，主动管理基金申购再度回暖。进入5月，中美贸易摩擦再度有所升温，美国疫情进入二次爆发，致使TMT板块的风险偏好有小幅降温，但在海外市场持续强劲的背景下，北上资金不改前期持续流入的趋势，市场并未出现明显调整，保持着结构性行情的震荡格局。6月份以来，资本市场改革政策逐步推出，创业板注册制的快速推进、三板精选层基金的发布等，显著提升了权益市场的风险偏好，也催生二季度后期科技板块的强劲反弹。</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组合权益坚持自下而上选择个股的长期配置价值，逐步增加股票仓位，以提升组合弹性。债券方面，组合继续维持较高的杠杆和中性的久期水平，整体仍按照票息策略的偏绝对收益操作思路为主。此外，组合仍积极参与科创版打新。</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截至报告期末，本基金I类基金份额净值为1.311元，本报告期份额净值增长率为1.71%，同期业绩比较基准收益率为0.88%；E类基金份额净值为1.304元，本报告期份额净值增长率为1.64%，同期业绩比较基准收益率为0.88%。</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139,219,670.19</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12.83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139,219,670.19</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12.83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923,453,982.08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85.13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883,453,982.08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81.45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40,000,000.00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3.69</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12,285,892.68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1.13</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9,763,472.21</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0.90</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1,084,723,017.16</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6,039,816.00</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0.65</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82,642,703.23</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8.91</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6,992,156.32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0.75</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5,810,337.00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0.63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13,143,514.65</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1.42</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5,377,702.99</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0.58</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6,094,078.00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0.66</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13,119,362.00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1.41</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139,219,670.19</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15.01</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601877</w:t>
            </w:r>
          </w:p>
        </w:tc>
        <w:tc>
          <w:tcPr>
            <w:vAlign w:val="center"/>
          </w:tcPr>
          <w:p>
            <w:pPr>
              <w:jc w:val="center"/>
            </w:pPr>
            <w:r>
              <w:rPr>
                <w:color w:val="000000"/>
                <w:sz w:val="24"/>
              </w:rPr>
              <w:t>正泰电器</w:t>
            </w:r>
          </w:p>
        </w:tc>
        <w:tc>
          <w:tcPr>
            <w:vAlign w:val="center"/>
          </w:tcPr>
          <w:p>
            <w:pPr>
              <w:jc w:val="right"/>
            </w:pPr>
            <w:r>
              <w:rPr>
                <w:color w:val="000000"/>
                <w:sz w:val="24"/>
              </w:rPr>
              <w:t>272,900</w:t>
            </w:r>
          </w:p>
        </w:tc>
        <w:tc>
          <w:tcPr>
            <w:vAlign w:val="center"/>
          </w:tcPr>
          <w:p>
            <w:pPr>
              <w:jc w:val="right"/>
            </w:pPr>
            <w:r>
              <w:rPr>
                <w:color w:val="000000"/>
                <w:sz w:val="24"/>
              </w:rPr>
              <w:t>7,190,915.00</w:t>
            </w:r>
          </w:p>
        </w:tc>
        <w:tc>
          <w:tcPr>
            <w:vAlign w:val="center"/>
          </w:tcPr>
          <w:p>
            <w:pPr>
              <w:jc w:val="right"/>
            </w:pPr>
            <w:r>
              <w:rPr>
                <w:color w:val="000000"/>
                <w:sz w:val="24"/>
              </w:rPr>
              <w:t>0.78</w:t>
            </w:r>
          </w:p>
        </w:tc>
      </w:tr>
      <w:tr>
        <w:tc>
          <w:tcPr>
            <w:vAlign w:val="center"/>
          </w:tcPr>
          <w:p>
            <w:pPr>
              <w:jc w:val="center"/>
            </w:pPr>
            <w:r>
              <w:rPr>
                <w:color w:val="000000"/>
                <w:sz w:val="24"/>
              </w:rPr>
              <w:t>2</w:t>
            </w:r>
          </w:p>
        </w:tc>
        <w:tc>
          <w:tcPr>
            <w:vAlign w:val="center"/>
          </w:tcPr>
          <w:p>
            <w:pPr>
              <w:jc w:val="center"/>
            </w:pPr>
            <w:r>
              <w:rPr>
                <w:color w:val="000000"/>
                <w:sz w:val="24"/>
              </w:rPr>
              <w:t>600900</w:t>
            </w:r>
          </w:p>
        </w:tc>
        <w:tc>
          <w:tcPr>
            <w:vAlign w:val="center"/>
          </w:tcPr>
          <w:p>
            <w:pPr>
              <w:jc w:val="center"/>
            </w:pPr>
            <w:r>
              <w:rPr>
                <w:color w:val="000000"/>
                <w:sz w:val="24"/>
              </w:rPr>
              <w:t>长江电力</w:t>
            </w:r>
          </w:p>
        </w:tc>
        <w:tc>
          <w:tcPr>
            <w:vAlign w:val="center"/>
          </w:tcPr>
          <w:p>
            <w:pPr>
              <w:jc w:val="right"/>
            </w:pPr>
            <w:r>
              <w:rPr>
                <w:color w:val="000000"/>
                <w:sz w:val="24"/>
              </w:rPr>
              <w:t>368,500</w:t>
            </w:r>
          </w:p>
        </w:tc>
        <w:tc>
          <w:tcPr>
            <w:vAlign w:val="center"/>
          </w:tcPr>
          <w:p>
            <w:pPr>
              <w:jc w:val="right"/>
            </w:pPr>
            <w:r>
              <w:rPr>
                <w:color w:val="000000"/>
                <w:sz w:val="24"/>
              </w:rPr>
              <w:t>6,979,390.00</w:t>
            </w:r>
          </w:p>
        </w:tc>
        <w:tc>
          <w:tcPr>
            <w:vAlign w:val="center"/>
          </w:tcPr>
          <w:p>
            <w:pPr>
              <w:jc w:val="right"/>
            </w:pPr>
            <w:r>
              <w:rPr>
                <w:color w:val="000000"/>
                <w:sz w:val="24"/>
              </w:rPr>
              <w:t>0.75</w:t>
            </w:r>
          </w:p>
        </w:tc>
      </w:tr>
      <w:tr>
        <w:tc>
          <w:tcPr>
            <w:vAlign w:val="center"/>
          </w:tcPr>
          <w:p>
            <w:pPr>
              <w:jc w:val="center"/>
            </w:pPr>
            <w:r>
              <w:rPr>
                <w:color w:val="000000"/>
                <w:sz w:val="24"/>
              </w:rPr>
              <w:t>3</w:t>
            </w:r>
          </w:p>
        </w:tc>
        <w:tc>
          <w:tcPr>
            <w:vAlign w:val="center"/>
          </w:tcPr>
          <w:p>
            <w:pPr>
              <w:jc w:val="center"/>
            </w:pPr>
            <w:r>
              <w:rPr>
                <w:color w:val="000000"/>
                <w:sz w:val="24"/>
              </w:rPr>
              <w:t>600048</w:t>
            </w:r>
          </w:p>
        </w:tc>
        <w:tc>
          <w:tcPr>
            <w:vAlign w:val="center"/>
          </w:tcPr>
          <w:p>
            <w:pPr>
              <w:jc w:val="center"/>
            </w:pPr>
            <w:r>
              <w:rPr>
                <w:color w:val="000000"/>
                <w:sz w:val="24"/>
              </w:rPr>
              <w:t>保利地产</w:t>
            </w:r>
          </w:p>
        </w:tc>
        <w:tc>
          <w:tcPr>
            <w:vAlign w:val="center"/>
          </w:tcPr>
          <w:p>
            <w:pPr>
              <w:jc w:val="right"/>
            </w:pPr>
            <w:r>
              <w:rPr>
                <w:color w:val="000000"/>
                <w:sz w:val="24"/>
              </w:rPr>
              <w:t>458,100</w:t>
            </w:r>
          </w:p>
        </w:tc>
        <w:tc>
          <w:tcPr>
            <w:vAlign w:val="center"/>
          </w:tcPr>
          <w:p>
            <w:pPr>
              <w:jc w:val="right"/>
            </w:pPr>
            <w:r>
              <w:rPr>
                <w:color w:val="000000"/>
                <w:sz w:val="24"/>
              </w:rPr>
              <w:t>6,770,718.00</w:t>
            </w:r>
          </w:p>
        </w:tc>
        <w:tc>
          <w:tcPr>
            <w:vAlign w:val="center"/>
          </w:tcPr>
          <w:p>
            <w:pPr>
              <w:jc w:val="right"/>
            </w:pPr>
            <w:r>
              <w:rPr>
                <w:color w:val="000000"/>
                <w:sz w:val="24"/>
              </w:rPr>
              <w:t>0.73</w:t>
            </w:r>
          </w:p>
        </w:tc>
      </w:tr>
      <w:tr>
        <w:tc>
          <w:tcPr>
            <w:vAlign w:val="center"/>
          </w:tcPr>
          <w:p>
            <w:pPr>
              <w:jc w:val="center"/>
            </w:pPr>
            <w:r>
              <w:rPr>
                <w:color w:val="000000"/>
                <w:sz w:val="24"/>
              </w:rPr>
              <w:t>4</w:t>
            </w:r>
          </w:p>
        </w:tc>
        <w:tc>
          <w:tcPr>
            <w:vAlign w:val="center"/>
          </w:tcPr>
          <w:p>
            <w:pPr>
              <w:jc w:val="center"/>
            </w:pPr>
            <w:r>
              <w:rPr>
                <w:color w:val="000000"/>
                <w:sz w:val="24"/>
              </w:rPr>
              <w:t>600585</w:t>
            </w:r>
          </w:p>
        </w:tc>
        <w:tc>
          <w:tcPr>
            <w:vAlign w:val="center"/>
          </w:tcPr>
          <w:p>
            <w:pPr>
              <w:jc w:val="center"/>
            </w:pPr>
            <w:r>
              <w:rPr>
                <w:color w:val="000000"/>
                <w:sz w:val="24"/>
              </w:rPr>
              <w:t>海螺水泥</w:t>
            </w:r>
          </w:p>
        </w:tc>
        <w:tc>
          <w:tcPr>
            <w:vAlign w:val="center"/>
          </w:tcPr>
          <w:p>
            <w:pPr>
              <w:jc w:val="right"/>
            </w:pPr>
            <w:r>
              <w:rPr>
                <w:color w:val="000000"/>
                <w:sz w:val="24"/>
              </w:rPr>
              <w:t>121,500</w:t>
            </w:r>
          </w:p>
        </w:tc>
        <w:tc>
          <w:tcPr>
            <w:vAlign w:val="center"/>
          </w:tcPr>
          <w:p>
            <w:pPr>
              <w:jc w:val="right"/>
            </w:pPr>
            <w:r>
              <w:rPr>
                <w:color w:val="000000"/>
                <w:sz w:val="24"/>
              </w:rPr>
              <w:t>6,428,565.00</w:t>
            </w:r>
          </w:p>
        </w:tc>
        <w:tc>
          <w:tcPr>
            <w:vAlign w:val="center"/>
          </w:tcPr>
          <w:p>
            <w:pPr>
              <w:jc w:val="right"/>
            </w:pPr>
            <w:r>
              <w:rPr>
                <w:color w:val="000000"/>
                <w:sz w:val="24"/>
              </w:rPr>
              <w:t>0.69</w:t>
            </w:r>
          </w:p>
        </w:tc>
      </w:tr>
      <w:tr>
        <w:tc>
          <w:tcPr>
            <w:vAlign w:val="center"/>
          </w:tcPr>
          <w:p>
            <w:pPr>
              <w:jc w:val="center"/>
            </w:pPr>
            <w:r>
              <w:rPr>
                <w:color w:val="000000"/>
                <w:sz w:val="24"/>
              </w:rPr>
              <w:t>5</w:t>
            </w:r>
          </w:p>
        </w:tc>
        <w:tc>
          <w:tcPr>
            <w:vAlign w:val="center"/>
          </w:tcPr>
          <w:p>
            <w:pPr>
              <w:jc w:val="center"/>
            </w:pPr>
            <w:r>
              <w:rPr>
                <w:color w:val="000000"/>
                <w:sz w:val="24"/>
              </w:rPr>
              <w:t>600377</w:t>
            </w:r>
          </w:p>
        </w:tc>
        <w:tc>
          <w:tcPr>
            <w:vAlign w:val="center"/>
          </w:tcPr>
          <w:p>
            <w:pPr>
              <w:jc w:val="center"/>
            </w:pPr>
            <w:r>
              <w:rPr>
                <w:color w:val="000000"/>
                <w:sz w:val="24"/>
              </w:rPr>
              <w:t>宁沪高速</w:t>
            </w:r>
          </w:p>
        </w:tc>
        <w:tc>
          <w:tcPr>
            <w:vAlign w:val="center"/>
          </w:tcPr>
          <w:p>
            <w:pPr>
              <w:jc w:val="right"/>
            </w:pPr>
            <w:r>
              <w:rPr>
                <w:color w:val="000000"/>
                <w:sz w:val="24"/>
              </w:rPr>
              <w:t>624,100</w:t>
            </w:r>
          </w:p>
        </w:tc>
        <w:tc>
          <w:tcPr>
            <w:vAlign w:val="center"/>
          </w:tcPr>
          <w:p>
            <w:pPr>
              <w:jc w:val="right"/>
            </w:pPr>
            <w:r>
              <w:rPr>
                <w:color w:val="000000"/>
                <w:sz w:val="24"/>
              </w:rPr>
              <w:t>6,122,421.00</w:t>
            </w:r>
          </w:p>
        </w:tc>
        <w:tc>
          <w:tcPr>
            <w:vAlign w:val="center"/>
          </w:tcPr>
          <w:p>
            <w:pPr>
              <w:jc w:val="right"/>
            </w:pPr>
            <w:r>
              <w:rPr>
                <w:color w:val="000000"/>
                <w:sz w:val="24"/>
              </w:rPr>
              <w:t>0.66</w:t>
            </w:r>
          </w:p>
        </w:tc>
      </w:tr>
      <w:tr>
        <w:tc>
          <w:tcPr>
            <w:vAlign w:val="center"/>
          </w:tcPr>
          <w:p>
            <w:pPr>
              <w:jc w:val="center"/>
            </w:pPr>
            <w:r>
              <w:rPr>
                <w:color w:val="000000"/>
                <w:sz w:val="24"/>
              </w:rPr>
              <w:t>6</w:t>
            </w:r>
          </w:p>
        </w:tc>
        <w:tc>
          <w:tcPr>
            <w:vAlign w:val="center"/>
          </w:tcPr>
          <w:p>
            <w:pPr>
              <w:jc w:val="center"/>
            </w:pPr>
            <w:r>
              <w:rPr>
                <w:color w:val="000000"/>
                <w:sz w:val="24"/>
              </w:rPr>
              <w:t>600066</w:t>
            </w:r>
          </w:p>
        </w:tc>
        <w:tc>
          <w:tcPr>
            <w:vAlign w:val="center"/>
          </w:tcPr>
          <w:p>
            <w:pPr>
              <w:jc w:val="center"/>
            </w:pPr>
            <w:r>
              <w:rPr>
                <w:color w:val="000000"/>
                <w:sz w:val="24"/>
              </w:rPr>
              <w:t>宇通客车</w:t>
            </w:r>
          </w:p>
        </w:tc>
        <w:tc>
          <w:tcPr>
            <w:vAlign w:val="center"/>
          </w:tcPr>
          <w:p>
            <w:pPr>
              <w:jc w:val="right"/>
            </w:pPr>
            <w:r>
              <w:rPr>
                <w:color w:val="000000"/>
                <w:sz w:val="24"/>
              </w:rPr>
              <w:t>498,554</w:t>
            </w:r>
          </w:p>
        </w:tc>
        <w:tc>
          <w:tcPr>
            <w:vAlign w:val="center"/>
          </w:tcPr>
          <w:p>
            <w:pPr>
              <w:jc w:val="right"/>
            </w:pPr>
            <w:r>
              <w:rPr>
                <w:color w:val="000000"/>
                <w:sz w:val="24"/>
              </w:rPr>
              <w:t>6,082,358.80</w:t>
            </w:r>
          </w:p>
        </w:tc>
        <w:tc>
          <w:tcPr>
            <w:vAlign w:val="center"/>
          </w:tcPr>
          <w:p>
            <w:pPr>
              <w:jc w:val="right"/>
            </w:pPr>
            <w:r>
              <w:rPr>
                <w:color w:val="000000"/>
                <w:sz w:val="24"/>
              </w:rPr>
              <w:t>0.66</w:t>
            </w:r>
          </w:p>
        </w:tc>
      </w:tr>
      <w:tr>
        <w:tc>
          <w:tcPr>
            <w:vAlign w:val="center"/>
          </w:tcPr>
          <w:p>
            <w:pPr>
              <w:jc w:val="center"/>
            </w:pPr>
            <w:r>
              <w:rPr>
                <w:color w:val="000000"/>
                <w:sz w:val="24"/>
              </w:rPr>
              <w:t>7</w:t>
            </w:r>
          </w:p>
        </w:tc>
        <w:tc>
          <w:tcPr>
            <w:vAlign w:val="center"/>
          </w:tcPr>
          <w:p>
            <w:pPr>
              <w:jc w:val="center"/>
            </w:pPr>
            <w:r>
              <w:rPr>
                <w:color w:val="000000"/>
                <w:sz w:val="24"/>
              </w:rPr>
              <w:t>601088</w:t>
            </w:r>
          </w:p>
        </w:tc>
        <w:tc>
          <w:tcPr>
            <w:vAlign w:val="center"/>
          </w:tcPr>
          <w:p>
            <w:pPr>
              <w:jc w:val="center"/>
            </w:pPr>
            <w:r>
              <w:rPr>
                <w:color w:val="000000"/>
                <w:sz w:val="24"/>
              </w:rPr>
              <w:t>中国神华</w:t>
            </w:r>
          </w:p>
        </w:tc>
        <w:tc>
          <w:tcPr>
            <w:vAlign w:val="center"/>
          </w:tcPr>
          <w:p>
            <w:pPr>
              <w:jc w:val="right"/>
            </w:pPr>
            <w:r>
              <w:rPr>
                <w:color w:val="000000"/>
                <w:sz w:val="24"/>
              </w:rPr>
              <w:t>420,600</w:t>
            </w:r>
          </w:p>
        </w:tc>
        <w:tc>
          <w:tcPr>
            <w:vAlign w:val="center"/>
          </w:tcPr>
          <w:p>
            <w:pPr>
              <w:jc w:val="right"/>
            </w:pPr>
            <w:r>
              <w:rPr>
                <w:color w:val="000000"/>
                <w:sz w:val="24"/>
              </w:rPr>
              <w:t>6,039,816.00</w:t>
            </w:r>
          </w:p>
        </w:tc>
        <w:tc>
          <w:tcPr>
            <w:vAlign w:val="center"/>
          </w:tcPr>
          <w:p>
            <w:pPr>
              <w:jc w:val="right"/>
            </w:pPr>
            <w:r>
              <w:rPr>
                <w:color w:val="000000"/>
                <w:sz w:val="24"/>
              </w:rPr>
              <w:t>0.65</w:t>
            </w:r>
          </w:p>
        </w:tc>
      </w:tr>
      <w:tr>
        <w:tc>
          <w:tcPr>
            <w:vAlign w:val="center"/>
          </w:tcPr>
          <w:p>
            <w:pPr>
              <w:jc w:val="center"/>
            </w:pPr>
            <w:r>
              <w:rPr>
                <w:color w:val="000000"/>
                <w:sz w:val="24"/>
              </w:rPr>
              <w:t>8</w:t>
            </w:r>
          </w:p>
        </w:tc>
        <w:tc>
          <w:tcPr>
            <w:vAlign w:val="center"/>
          </w:tcPr>
          <w:p>
            <w:pPr>
              <w:jc w:val="center"/>
            </w:pPr>
            <w:r>
              <w:rPr>
                <w:color w:val="000000"/>
                <w:sz w:val="24"/>
              </w:rPr>
              <w:t>601668</w:t>
            </w:r>
          </w:p>
        </w:tc>
        <w:tc>
          <w:tcPr>
            <w:vAlign w:val="center"/>
          </w:tcPr>
          <w:p>
            <w:pPr>
              <w:jc w:val="center"/>
            </w:pPr>
            <w:r>
              <w:rPr>
                <w:color w:val="000000"/>
                <w:sz w:val="24"/>
              </w:rPr>
              <w:t>中国建筑</w:t>
            </w:r>
          </w:p>
        </w:tc>
        <w:tc>
          <w:tcPr>
            <w:vAlign w:val="center"/>
          </w:tcPr>
          <w:p>
            <w:pPr>
              <w:jc w:val="right"/>
            </w:pPr>
            <w:r>
              <w:rPr>
                <w:color w:val="000000"/>
                <w:sz w:val="24"/>
              </w:rPr>
              <w:t>1,218,100</w:t>
            </w:r>
          </w:p>
        </w:tc>
        <w:tc>
          <w:tcPr>
            <w:vAlign w:val="center"/>
          </w:tcPr>
          <w:p>
            <w:pPr>
              <w:jc w:val="right"/>
            </w:pPr>
            <w:r>
              <w:rPr>
                <w:color w:val="000000"/>
                <w:sz w:val="24"/>
              </w:rPr>
              <w:t>5,810,337.00</w:t>
            </w:r>
          </w:p>
        </w:tc>
        <w:tc>
          <w:tcPr>
            <w:vAlign w:val="center"/>
          </w:tcPr>
          <w:p>
            <w:pPr>
              <w:jc w:val="right"/>
            </w:pPr>
            <w:r>
              <w:rPr>
                <w:color w:val="000000"/>
                <w:sz w:val="24"/>
              </w:rPr>
              <w:t>0.63</w:t>
            </w:r>
          </w:p>
        </w:tc>
      </w:tr>
      <w:tr>
        <w:tc>
          <w:tcPr>
            <w:vAlign w:val="center"/>
          </w:tcPr>
          <w:p>
            <w:pPr>
              <w:jc w:val="center"/>
            </w:pPr>
            <w:r>
              <w:rPr>
                <w:color w:val="000000"/>
                <w:sz w:val="24"/>
              </w:rPr>
              <w:t>9</w:t>
            </w:r>
          </w:p>
        </w:tc>
        <w:tc>
          <w:tcPr>
            <w:vAlign w:val="center"/>
          </w:tcPr>
          <w:p>
            <w:pPr>
              <w:jc w:val="center"/>
            </w:pPr>
            <w:r>
              <w:rPr>
                <w:color w:val="000000"/>
                <w:sz w:val="24"/>
              </w:rPr>
              <w:t>600104</w:t>
            </w:r>
          </w:p>
        </w:tc>
        <w:tc>
          <w:tcPr>
            <w:vAlign w:val="center"/>
          </w:tcPr>
          <w:p>
            <w:pPr>
              <w:jc w:val="center"/>
            </w:pPr>
            <w:r>
              <w:rPr>
                <w:color w:val="000000"/>
                <w:sz w:val="24"/>
              </w:rPr>
              <w:t>上汽集团</w:t>
            </w:r>
          </w:p>
        </w:tc>
        <w:tc>
          <w:tcPr>
            <w:vAlign w:val="center"/>
          </w:tcPr>
          <w:p>
            <w:pPr>
              <w:jc w:val="right"/>
            </w:pPr>
            <w:r>
              <w:rPr>
                <w:color w:val="000000"/>
                <w:sz w:val="24"/>
              </w:rPr>
              <w:t>338,201</w:t>
            </w:r>
          </w:p>
        </w:tc>
        <w:tc>
          <w:tcPr>
            <w:vAlign w:val="center"/>
          </w:tcPr>
          <w:p>
            <w:pPr>
              <w:jc w:val="right"/>
            </w:pPr>
            <w:r>
              <w:rPr>
                <w:color w:val="000000"/>
                <w:sz w:val="24"/>
              </w:rPr>
              <w:t>5,746,034.99</w:t>
            </w:r>
          </w:p>
        </w:tc>
        <w:tc>
          <w:tcPr>
            <w:vAlign w:val="center"/>
          </w:tcPr>
          <w:p>
            <w:pPr>
              <w:jc w:val="right"/>
            </w:pPr>
            <w:r>
              <w:rPr>
                <w:color w:val="000000"/>
                <w:sz w:val="24"/>
              </w:rPr>
              <w:t>0.62</w:t>
            </w:r>
          </w:p>
        </w:tc>
      </w:tr>
      <w:tr>
        <w:tc>
          <w:tcPr>
            <w:vAlign w:val="center"/>
          </w:tcPr>
          <w:p>
            <w:pPr>
              <w:jc w:val="center"/>
            </w:pPr>
            <w:r>
              <w:rPr>
                <w:color w:val="000000"/>
                <w:sz w:val="24"/>
              </w:rPr>
              <w:t>10</w:t>
            </w:r>
          </w:p>
        </w:tc>
        <w:tc>
          <w:tcPr>
            <w:vAlign w:val="center"/>
          </w:tcPr>
          <w:p>
            <w:pPr>
              <w:jc w:val="center"/>
            </w:pPr>
            <w:r>
              <w:rPr>
                <w:color w:val="000000"/>
                <w:sz w:val="24"/>
              </w:rPr>
              <w:t>300657</w:t>
            </w:r>
          </w:p>
        </w:tc>
        <w:tc>
          <w:tcPr>
            <w:vAlign w:val="center"/>
          </w:tcPr>
          <w:p>
            <w:pPr>
              <w:jc w:val="center"/>
            </w:pPr>
            <w:r>
              <w:rPr>
                <w:color w:val="000000"/>
                <w:sz w:val="24"/>
              </w:rPr>
              <w:t>弘信电子</w:t>
            </w:r>
          </w:p>
        </w:tc>
        <w:tc>
          <w:tcPr>
            <w:vAlign w:val="center"/>
          </w:tcPr>
          <w:p>
            <w:pPr>
              <w:jc w:val="right"/>
            </w:pPr>
            <w:r>
              <w:rPr>
                <w:color w:val="000000"/>
                <w:sz w:val="24"/>
              </w:rPr>
              <w:t>311,586</w:t>
            </w:r>
          </w:p>
        </w:tc>
        <w:tc>
          <w:tcPr>
            <w:vAlign w:val="center"/>
          </w:tcPr>
          <w:p>
            <w:pPr>
              <w:jc w:val="right"/>
            </w:pPr>
            <w:r>
              <w:rPr>
                <w:color w:val="000000"/>
                <w:sz w:val="24"/>
              </w:rPr>
              <w:t>5,630,359.02</w:t>
            </w:r>
          </w:p>
        </w:tc>
        <w:tc>
          <w:tcPr>
            <w:vAlign w:val="center"/>
          </w:tcPr>
          <w:p>
            <w:pPr>
              <w:jc w:val="right"/>
            </w:pPr>
            <w:r>
              <w:rPr>
                <w:color w:val="000000"/>
                <w:sz w:val="24"/>
              </w:rPr>
              <w:t>0.61</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1,300,650.00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0.14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45,307,500.00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4.89</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45,307,500.00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4.89</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296,335,506.00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31.95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99,859,000.00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10.77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440,591,000.00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47.51</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60,326.08</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0.01</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883,453,982.08</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95.27</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143609</w:t>
            </w:r>
          </w:p>
        </w:tc>
        <w:tc>
          <w:tcPr>
            <w:vAlign w:val="center"/>
          </w:tcPr>
          <w:p>
            <w:pPr>
              <w:jc w:val="center"/>
            </w:pPr>
            <w:r>
              <w:rPr>
                <w:color w:val="000000"/>
                <w:sz w:val="24"/>
              </w:rPr>
              <w:t>18津创01</w:t>
            </w:r>
          </w:p>
        </w:tc>
        <w:tc>
          <w:tcPr>
            <w:vAlign w:val="center"/>
          </w:tcPr>
          <w:p>
            <w:pPr>
              <w:jc w:val="right"/>
            </w:pPr>
            <w:r>
              <w:rPr>
                <w:color w:val="000000"/>
                <w:sz w:val="24"/>
              </w:rPr>
              <w:t>300,000</w:t>
            </w:r>
          </w:p>
        </w:tc>
        <w:tc>
          <w:tcPr>
            <w:vAlign w:val="center"/>
          </w:tcPr>
          <w:p>
            <w:pPr>
              <w:jc w:val="right"/>
            </w:pPr>
            <w:r>
              <w:rPr>
                <w:color w:val="000000"/>
                <w:sz w:val="24"/>
              </w:rPr>
              <w:t>30,465,000.00</w:t>
            </w:r>
          </w:p>
        </w:tc>
        <w:tc>
          <w:tcPr>
            <w:vAlign w:val="center"/>
          </w:tcPr>
          <w:p>
            <w:pPr>
              <w:jc w:val="right"/>
            </w:pPr>
            <w:r>
              <w:rPr>
                <w:color w:val="000000"/>
                <w:sz w:val="24"/>
              </w:rPr>
              <w:t>3.29</w:t>
            </w:r>
          </w:p>
        </w:tc>
      </w:tr>
      <w:tr>
        <w:tc>
          <w:tcPr>
            <w:vAlign w:val="center"/>
          </w:tcPr>
          <w:p>
            <w:pPr>
              <w:jc w:val="center"/>
            </w:pPr>
            <w:r>
              <w:rPr>
                <w:color w:val="000000"/>
                <w:sz w:val="24"/>
              </w:rPr>
              <w:t>2</w:t>
            </w:r>
          </w:p>
        </w:tc>
        <w:tc>
          <w:tcPr>
            <w:vAlign w:val="center"/>
          </w:tcPr>
          <w:p>
            <w:pPr>
              <w:jc w:val="center"/>
            </w:pPr>
            <w:r>
              <w:rPr>
                <w:color w:val="000000"/>
                <w:sz w:val="24"/>
              </w:rPr>
              <w:t>042000172</w:t>
            </w:r>
          </w:p>
        </w:tc>
        <w:tc>
          <w:tcPr>
            <w:vAlign w:val="center"/>
          </w:tcPr>
          <w:p>
            <w:pPr>
              <w:jc w:val="center"/>
            </w:pPr>
            <w:r>
              <w:rPr>
                <w:color w:val="000000"/>
                <w:sz w:val="24"/>
              </w:rPr>
              <w:t>20邯郸交建CP002</w:t>
            </w:r>
          </w:p>
        </w:tc>
        <w:tc>
          <w:tcPr>
            <w:vAlign w:val="center"/>
          </w:tcPr>
          <w:p>
            <w:pPr>
              <w:jc w:val="right"/>
            </w:pPr>
            <w:r>
              <w:rPr>
                <w:color w:val="000000"/>
                <w:sz w:val="24"/>
              </w:rPr>
              <w:t>300,000</w:t>
            </w:r>
          </w:p>
        </w:tc>
        <w:tc>
          <w:tcPr>
            <w:vAlign w:val="center"/>
          </w:tcPr>
          <w:p>
            <w:pPr>
              <w:jc w:val="right"/>
            </w:pPr>
            <w:r>
              <w:rPr>
                <w:color w:val="000000"/>
                <w:sz w:val="24"/>
              </w:rPr>
              <w:t>29,955,000.00</w:t>
            </w:r>
          </w:p>
        </w:tc>
        <w:tc>
          <w:tcPr>
            <w:vAlign w:val="center"/>
          </w:tcPr>
          <w:p>
            <w:pPr>
              <w:jc w:val="right"/>
            </w:pPr>
            <w:r>
              <w:rPr>
                <w:color w:val="000000"/>
                <w:sz w:val="24"/>
              </w:rPr>
              <w:t>3.23</w:t>
            </w:r>
          </w:p>
        </w:tc>
      </w:tr>
      <w:tr>
        <w:tc>
          <w:tcPr>
            <w:vAlign w:val="center"/>
          </w:tcPr>
          <w:p>
            <w:pPr>
              <w:jc w:val="center"/>
            </w:pPr>
            <w:r>
              <w:rPr>
                <w:color w:val="000000"/>
                <w:sz w:val="24"/>
              </w:rPr>
              <w:t>3</w:t>
            </w:r>
          </w:p>
        </w:tc>
        <w:tc>
          <w:tcPr>
            <w:vAlign w:val="center"/>
          </w:tcPr>
          <w:p>
            <w:pPr>
              <w:jc w:val="center"/>
            </w:pPr>
            <w:r>
              <w:rPr>
                <w:color w:val="000000"/>
                <w:sz w:val="24"/>
              </w:rPr>
              <w:t>163458</w:t>
            </w:r>
          </w:p>
        </w:tc>
        <w:tc>
          <w:tcPr>
            <w:vAlign w:val="center"/>
          </w:tcPr>
          <w:p>
            <w:pPr>
              <w:jc w:val="center"/>
            </w:pPr>
            <w:r>
              <w:rPr>
                <w:color w:val="000000"/>
                <w:sz w:val="24"/>
              </w:rPr>
              <w:t>20新际02</w:t>
            </w:r>
          </w:p>
        </w:tc>
        <w:tc>
          <w:tcPr>
            <w:vAlign w:val="center"/>
          </w:tcPr>
          <w:p>
            <w:pPr>
              <w:jc w:val="right"/>
            </w:pPr>
            <w:r>
              <w:rPr>
                <w:color w:val="000000"/>
                <w:sz w:val="24"/>
              </w:rPr>
              <w:t>300,000</w:t>
            </w:r>
          </w:p>
        </w:tc>
        <w:tc>
          <w:tcPr>
            <w:vAlign w:val="center"/>
          </w:tcPr>
          <w:p>
            <w:pPr>
              <w:jc w:val="right"/>
            </w:pPr>
            <w:r>
              <w:rPr>
                <w:color w:val="000000"/>
                <w:sz w:val="24"/>
              </w:rPr>
              <w:t>29,640,000.00</w:t>
            </w:r>
          </w:p>
        </w:tc>
        <w:tc>
          <w:tcPr>
            <w:vAlign w:val="center"/>
          </w:tcPr>
          <w:p>
            <w:pPr>
              <w:jc w:val="right"/>
            </w:pPr>
            <w:r>
              <w:rPr>
                <w:color w:val="000000"/>
                <w:sz w:val="24"/>
              </w:rPr>
              <w:t>3.20</w:t>
            </w:r>
          </w:p>
        </w:tc>
      </w:tr>
      <w:tr>
        <w:tc>
          <w:tcPr>
            <w:vAlign w:val="center"/>
          </w:tcPr>
          <w:p>
            <w:pPr>
              <w:jc w:val="center"/>
            </w:pPr>
            <w:r>
              <w:rPr>
                <w:color w:val="000000"/>
                <w:sz w:val="24"/>
              </w:rPr>
              <w:t>4</w:t>
            </w:r>
          </w:p>
        </w:tc>
        <w:tc>
          <w:tcPr>
            <w:vAlign w:val="center"/>
          </w:tcPr>
          <w:p>
            <w:pPr>
              <w:jc w:val="center"/>
            </w:pPr>
            <w:r>
              <w:rPr>
                <w:color w:val="000000"/>
                <w:sz w:val="24"/>
              </w:rPr>
              <w:t>163495</w:t>
            </w:r>
          </w:p>
        </w:tc>
        <w:tc>
          <w:tcPr>
            <w:vAlign w:val="center"/>
          </w:tcPr>
          <w:p>
            <w:pPr>
              <w:jc w:val="center"/>
            </w:pPr>
            <w:r>
              <w:rPr>
                <w:color w:val="000000"/>
                <w:sz w:val="24"/>
              </w:rPr>
              <w:t>20一汽01</w:t>
            </w:r>
          </w:p>
        </w:tc>
        <w:tc>
          <w:tcPr>
            <w:vAlign w:val="center"/>
          </w:tcPr>
          <w:p>
            <w:pPr>
              <w:jc w:val="right"/>
            </w:pPr>
            <w:r>
              <w:rPr>
                <w:color w:val="000000"/>
                <w:sz w:val="24"/>
              </w:rPr>
              <w:t>300,000</w:t>
            </w:r>
          </w:p>
        </w:tc>
        <w:tc>
          <w:tcPr>
            <w:vAlign w:val="center"/>
          </w:tcPr>
          <w:p>
            <w:pPr>
              <w:jc w:val="right"/>
            </w:pPr>
            <w:r>
              <w:rPr>
                <w:color w:val="000000"/>
                <w:sz w:val="24"/>
              </w:rPr>
              <w:t>29,448,000.00</w:t>
            </w:r>
          </w:p>
        </w:tc>
        <w:tc>
          <w:tcPr>
            <w:vAlign w:val="center"/>
          </w:tcPr>
          <w:p>
            <w:pPr>
              <w:jc w:val="right"/>
            </w:pPr>
            <w:r>
              <w:rPr>
                <w:color w:val="000000"/>
                <w:sz w:val="24"/>
              </w:rPr>
              <w:t>3.18</w:t>
            </w:r>
          </w:p>
        </w:tc>
      </w:tr>
      <w:tr>
        <w:tc>
          <w:tcPr>
            <w:vAlign w:val="center"/>
          </w:tcPr>
          <w:p>
            <w:pPr>
              <w:jc w:val="center"/>
            </w:pPr>
            <w:r>
              <w:rPr>
                <w:color w:val="000000"/>
                <w:sz w:val="24"/>
              </w:rPr>
              <w:t>5</w:t>
            </w:r>
          </w:p>
        </w:tc>
        <w:tc>
          <w:tcPr>
            <w:vAlign w:val="center"/>
          </w:tcPr>
          <w:p>
            <w:pPr>
              <w:jc w:val="center"/>
            </w:pPr>
            <w:r>
              <w:rPr>
                <w:color w:val="000000"/>
                <w:sz w:val="24"/>
              </w:rPr>
              <w:t>101900761</w:t>
            </w:r>
          </w:p>
        </w:tc>
        <w:tc>
          <w:tcPr>
            <w:vAlign w:val="center"/>
          </w:tcPr>
          <w:p>
            <w:pPr>
              <w:jc w:val="center"/>
            </w:pPr>
            <w:r>
              <w:rPr>
                <w:color w:val="000000"/>
                <w:sz w:val="24"/>
              </w:rPr>
              <w:t>19首钢MTN004</w:t>
            </w:r>
          </w:p>
        </w:tc>
        <w:tc>
          <w:tcPr>
            <w:vAlign w:val="center"/>
          </w:tcPr>
          <w:p>
            <w:pPr>
              <w:jc w:val="right"/>
            </w:pPr>
            <w:r>
              <w:rPr>
                <w:color w:val="000000"/>
                <w:sz w:val="24"/>
              </w:rPr>
              <w:t>200,000</w:t>
            </w:r>
          </w:p>
        </w:tc>
        <w:tc>
          <w:tcPr>
            <w:vAlign w:val="center"/>
          </w:tcPr>
          <w:p>
            <w:pPr>
              <w:jc w:val="right"/>
            </w:pPr>
            <w:r>
              <w:rPr>
                <w:color w:val="000000"/>
                <w:sz w:val="24"/>
              </w:rPr>
              <w:t>20,542,000.00</w:t>
            </w:r>
          </w:p>
        </w:tc>
        <w:tc>
          <w:tcPr>
            <w:vAlign w:val="center"/>
          </w:tcPr>
          <w:p>
            <w:pPr>
              <w:jc w:val="right"/>
            </w:pPr>
            <w:r>
              <w:rPr>
                <w:color w:val="000000"/>
                <w:sz w:val="24"/>
              </w:rPr>
              <w:t>2.22</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168608</w:t>
            </w:r>
          </w:p>
        </w:tc>
        <w:tc>
          <w:tcPr>
            <w:vAlign w:val="center"/>
          </w:tcPr>
          <w:p>
            <w:pPr>
              <w:jc w:val="center"/>
            </w:pPr>
            <w:r>
              <w:rPr>
                <w:color w:val="000000"/>
                <w:sz w:val="24"/>
              </w:rPr>
              <w:t>健弘04A</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1.08</w:t>
            </w:r>
          </w:p>
        </w:tc>
      </w:tr>
      <w:tr>
        <w:tc>
          <w:tcPr>
            <w:vAlign w:val="center"/>
          </w:tcPr>
          <w:p>
            <w:pPr>
              <w:jc w:val="center"/>
            </w:pPr>
            <w:r>
              <w:rPr>
                <w:color w:val="000000"/>
                <w:sz w:val="24"/>
              </w:rPr>
              <w:t>1</w:t>
            </w:r>
          </w:p>
        </w:tc>
        <w:tc>
          <w:tcPr>
            <w:vAlign w:val="center"/>
          </w:tcPr>
          <w:p>
            <w:pPr>
              <w:jc w:val="center"/>
            </w:pPr>
            <w:r>
              <w:rPr>
                <w:color w:val="000000"/>
                <w:sz w:val="24"/>
              </w:rPr>
              <w:t>168613</w:t>
            </w:r>
          </w:p>
        </w:tc>
        <w:tc>
          <w:tcPr>
            <w:vAlign w:val="center"/>
          </w:tcPr>
          <w:p>
            <w:pPr>
              <w:jc w:val="center"/>
            </w:pPr>
            <w:r>
              <w:rPr>
                <w:color w:val="000000"/>
                <w:sz w:val="24"/>
              </w:rPr>
              <w:t>智禾01A</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1.08</w:t>
            </w:r>
          </w:p>
        </w:tc>
      </w:tr>
      <w:tr>
        <w:tc>
          <w:tcPr>
            <w:vAlign w:val="center"/>
          </w:tcPr>
          <w:p>
            <w:pPr>
              <w:jc w:val="center"/>
            </w:pPr>
            <w:r>
              <w:rPr>
                <w:color w:val="000000"/>
                <w:sz w:val="24"/>
              </w:rPr>
              <w:t>1</w:t>
            </w:r>
          </w:p>
        </w:tc>
        <w:tc>
          <w:tcPr>
            <w:vAlign w:val="center"/>
          </w:tcPr>
          <w:p>
            <w:pPr>
              <w:jc w:val="center"/>
            </w:pPr>
            <w:r>
              <w:rPr>
                <w:color w:val="000000"/>
                <w:sz w:val="24"/>
              </w:rPr>
              <w:t>168620</w:t>
            </w:r>
          </w:p>
        </w:tc>
        <w:tc>
          <w:tcPr>
            <w:vAlign w:val="center"/>
          </w:tcPr>
          <w:p>
            <w:pPr>
              <w:jc w:val="center"/>
            </w:pPr>
            <w:r>
              <w:rPr>
                <w:color w:val="000000"/>
                <w:sz w:val="24"/>
              </w:rPr>
              <w:t>益行03A1</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1.08</w:t>
            </w:r>
          </w:p>
        </w:tc>
      </w:tr>
      <w:tr>
        <w:tc>
          <w:tcPr>
            <w:vAlign w:val="center"/>
          </w:tcPr>
          <w:p>
            <w:pPr>
              <w:jc w:val="center"/>
            </w:pPr>
            <w:r>
              <w:rPr>
                <w:color w:val="000000"/>
                <w:sz w:val="24"/>
              </w:rPr>
              <w:t>1</w:t>
            </w:r>
          </w:p>
        </w:tc>
        <w:tc>
          <w:tcPr>
            <w:vAlign w:val="center"/>
          </w:tcPr>
          <w:p>
            <w:pPr>
              <w:jc w:val="center"/>
            </w:pPr>
            <w:r>
              <w:rPr>
                <w:color w:val="000000"/>
                <w:sz w:val="24"/>
              </w:rPr>
              <w:t>168733</w:t>
            </w:r>
          </w:p>
        </w:tc>
        <w:tc>
          <w:tcPr>
            <w:vAlign w:val="center"/>
          </w:tcPr>
          <w:p>
            <w:pPr>
              <w:jc w:val="center"/>
            </w:pPr>
            <w:r>
              <w:rPr>
                <w:color w:val="000000"/>
                <w:sz w:val="24"/>
              </w:rPr>
              <w:t>申程01优</w:t>
            </w:r>
          </w:p>
        </w:tc>
        <w:tc>
          <w:tcPr>
            <w:vAlign w:val="center"/>
          </w:tcPr>
          <w:p>
            <w:pPr>
              <w:jc w:val="right"/>
            </w:pPr>
            <w:r>
              <w:rPr>
                <w:color w:val="000000"/>
                <w:sz w:val="24"/>
              </w:rPr>
              <w:t>100,000</w:t>
            </w:r>
          </w:p>
        </w:tc>
        <w:tc>
          <w:tcPr>
            <w:vAlign w:val="center"/>
          </w:tcPr>
          <w:p>
            <w:pPr>
              <w:jc w:val="right"/>
            </w:pPr>
            <w:r>
              <w:rPr>
                <w:color w:val="000000"/>
                <w:sz w:val="24"/>
              </w:rPr>
              <w:t>10,000,000.00</w:t>
            </w:r>
          </w:p>
        </w:tc>
        <w:tc>
          <w:tcPr>
            <w:vAlign w:val="center"/>
          </w:tcPr>
          <w:p>
            <w:pPr>
              <w:jc w:val="right"/>
            </w:pPr>
            <w:r>
              <w:rPr>
                <w:color w:val="000000"/>
                <w:sz w:val="24"/>
              </w:rPr>
              <w:t>1.08</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2019年11月18日，北京市规划委员会石景山分局对首钢集团有限公司“因设计失误造成实测建筑面积超出规划许可建筑面积”的行为罚款额58765.25元。</w:t>
      </w:r>
    </w:p>
    <w:p>
      <w:pPr>
        <w:widowControl/>
        <w:spacing w:line="360" w:lineRule="auto"/>
        <w:rPr>
          <w:color w:val="000000"/>
          <w:sz w:val="24"/>
        </w:rPr>
      </w:pPr>
      <w:r>
        <w:rPr>
          <w:color w:val="000000"/>
          <w:sz w:val="24"/>
        </w:rPr>
        <w:t>本基金投资19首钢MTN004的投资决策程序符合公司投资制度的规定。</w:t>
      </w:r>
    </w:p>
    <w:p>
      <w:pPr>
        <w:widowControl/>
        <w:spacing w:line="360" w:lineRule="auto"/>
        <w:rPr>
          <w:color w:val="000000"/>
          <w:sz w:val="24"/>
        </w:rPr>
      </w:pPr>
      <w:r>
        <w:rPr>
          <w:color w:val="000000"/>
          <w:sz w:val="24"/>
        </w:rPr>
        <w:t>除19首钢MTN004外，本基金投资的前十名证券的发行主体本期没有出现被监管部门立案调查，或在报告编制日前一年内受到公开谴责、处罚的情形。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206,425.53</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978,568.81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8,559,062.18</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19,415.69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9,763,472.21</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F016DD" w:rsidRPr="00E85E29" w:rsidTr="00F4518C">
        <w:tc>
          <w:tcPr>
            <w:tcW w:type="dxa" w:w="108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302"/>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301"/>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805"/>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type="dxa" w:w="1655"/>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type="dxa" w:w="1367"/>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流通受限情况说明</w:t>
            </w:r>
          </w:p>
        </w:tc>
      </w:tr>
      <w:tr>
        <w:tc>
          <w:tcPr>
            <w:vAlign w:val="center"/>
          </w:tcPr>
          <w:p>
            <w:pPr>
              <w:jc w:val="center"/>
            </w:pPr>
            <w:r>
              <w:rPr>
                <w:color w:val="000000"/>
                <w:sz w:val="24"/>
              </w:rPr>
              <w:t>1</w:t>
            </w:r>
          </w:p>
        </w:tc>
        <w:tc>
          <w:tcPr>
            <w:vAlign w:val="center"/>
          </w:tcPr>
          <w:p>
            <w:pPr>
              <w:jc w:val="center"/>
            </w:pPr>
            <w:r>
              <w:rPr>
                <w:color w:val="000000"/>
                <w:sz w:val="24"/>
              </w:rPr>
              <w:t>300657</w:t>
            </w:r>
          </w:p>
        </w:tc>
        <w:tc>
          <w:tcPr>
            <w:vAlign w:val="center"/>
          </w:tcPr>
          <w:p>
            <w:pPr>
              <w:jc w:val="center"/>
            </w:pPr>
            <w:r>
              <w:rPr>
                <w:color w:val="000000"/>
                <w:sz w:val="24"/>
              </w:rPr>
              <w:t>弘信电子</w:t>
            </w:r>
          </w:p>
        </w:tc>
        <w:tc>
          <w:tcPr>
            <w:vAlign w:val="center"/>
          </w:tcPr>
          <w:p>
            <w:pPr>
              <w:jc w:val="right"/>
            </w:pPr>
            <w:r>
              <w:rPr>
                <w:color w:val="000000"/>
                <w:sz w:val="24"/>
              </w:rPr>
              <w:t>2,939,813.91</w:t>
            </w:r>
          </w:p>
        </w:tc>
        <w:tc>
          <w:tcPr>
            <w:vAlign w:val="center"/>
          </w:tcPr>
          <w:p>
            <w:pPr>
              <w:jc w:val="right"/>
            </w:pPr>
            <w:r>
              <w:rPr>
                <w:color w:val="000000"/>
                <w:sz w:val="24"/>
              </w:rPr>
              <w:t>0.32</w:t>
            </w:r>
          </w:p>
        </w:tc>
        <w:tc>
          <w:tcPr>
            <w:vAlign w:val="center"/>
          </w:tcPr>
          <w:p>
            <w:pPr>
              <w:jc w:val="right"/>
            </w:pPr>
            <w:r>
              <w:rPr>
                <w:color w:val="000000"/>
                <w:sz w:val="24"/>
              </w:rPr>
              <w:t>非公开发行流通受限</w:t>
            </w:r>
          </w:p>
        </w:tc>
      </w:tr>
      <w:tr>
        <w:tc>
          <w:tcPr>
            <w:vAlign w:val="center"/>
          </w:tcPr>
          <w:p>
            <w:pPr>
              <w:jc w:val="center"/>
            </w:pPr>
            <w:r>
              <w:rPr>
                <w:color w:val="000000"/>
                <w:sz w:val="24"/>
              </w:rPr>
              <w:t>2</w:t>
            </w:r>
          </w:p>
        </w:tc>
        <w:tc>
          <w:tcPr>
            <w:vAlign w:val="center"/>
          </w:tcPr>
          <w:p>
            <w:pPr>
              <w:jc w:val="center"/>
            </w:pPr>
            <w:r>
              <w:rPr>
                <w:color w:val="000000"/>
                <w:sz w:val="24"/>
              </w:rPr>
              <w:t>300657</w:t>
            </w:r>
          </w:p>
        </w:tc>
        <w:tc>
          <w:tcPr>
            <w:vAlign w:val="center"/>
          </w:tcPr>
          <w:p>
            <w:pPr>
              <w:jc w:val="center"/>
            </w:pPr>
            <w:r>
              <w:rPr>
                <w:color w:val="000000"/>
                <w:sz w:val="24"/>
              </w:rPr>
              <w:t>弘信电子</w:t>
            </w:r>
          </w:p>
        </w:tc>
        <w:tc>
          <w:tcPr>
            <w:vAlign w:val="center"/>
          </w:tcPr>
          <w:p>
            <w:pPr>
              <w:jc w:val="right"/>
            </w:pPr>
            <w:r>
              <w:rPr>
                <w:color w:val="000000"/>
                <w:sz w:val="24"/>
              </w:rPr>
              <w:t>2,690,545.11</w:t>
            </w:r>
          </w:p>
        </w:tc>
        <w:tc>
          <w:tcPr>
            <w:vAlign w:val="center"/>
          </w:tcPr>
          <w:p>
            <w:pPr>
              <w:jc w:val="right"/>
            </w:pPr>
            <w:r>
              <w:rPr>
                <w:color w:val="000000"/>
                <w:sz w:val="24"/>
              </w:rPr>
              <w:t>0.29</w:t>
            </w:r>
          </w:p>
        </w:tc>
        <w:tc>
          <w:tcPr>
            <w:vAlign w:val="center"/>
          </w:tcPr>
          <w:p>
            <w:pPr>
              <w:jc w:val="right"/>
            </w:pPr>
            <w:r>
              <w:rPr>
                <w:color w:val="000000"/>
                <w:sz w:val="24"/>
              </w:rPr>
              <w:t>非公开发行流通受限</w:t>
            </w:r>
          </w:p>
        </w:tc>
      </w:tr>
    </w:tbl>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根据《深圳/上海证券交易所上市公司股东及董事、监事、高级管理人员减持股份实施细则》，大股东以外的股东减持所持有的上市公司非公开发行股份，采取集中竞价交易方式的，在任意连续90日内，减持股份的总数不得超过公司股份总数的1%。持有上市公司非公开发行股份的股东，通过集中竞价交易减持该部分股份的，除遵守前款规定外，自股份解除限售之日起12个月内，减持数量不得超过其持有该次非公开发行股份数量的50%。</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易方达瑞信混合I</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易方达瑞信混合E</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296,241,494.72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35,308,128.45</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341,653,411.77</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83,511,397.07</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16,867,835.69</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32,004,472.42</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621,027,070.80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86,815,053.10</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本报告期内基金管理人未持有本基金份额。 </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 xml:space="preserve">本报告期内基金管理人未运用固有资金申购、赎回、买卖本基金份额。 </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1.中国证监会准予易方达瑞信灵活配置混合型证券投资基金注册的文件；</w:t>
      </w:r>
    </w:p>
    <w:p>
      <w:pPr>
        <w:spacing w:line="360" w:lineRule="auto"/>
        <w:ind w:firstLine="480" w:firstLineChars="200"/>
        <w:rPr>
          <w:color w:val="000000"/>
          <w:sz w:val="24"/>
        </w:rPr>
      </w:pPr>
      <w:r>
        <w:rPr>
          <w:color w:val="000000"/>
          <w:sz w:val="24"/>
        </w:rPr>
        <w:t>2.《易方达瑞信灵活配置混合型证券投资基金基金合同》；</w:t>
      </w:r>
    </w:p>
    <w:p>
      <w:pPr>
        <w:spacing w:line="360" w:lineRule="auto"/>
        <w:ind w:firstLine="480" w:firstLineChars="200"/>
        <w:rPr>
          <w:color w:val="000000"/>
          <w:sz w:val="24"/>
        </w:rPr>
      </w:pPr>
      <w:r>
        <w:rPr>
          <w:color w:val="000000"/>
          <w:sz w:val="24"/>
        </w:rPr>
        <w:t>3.《易方达瑞信灵活配置混合型证券投资基金托管协议》；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易方达瑞信灵活配置混合型证券投资基金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