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FC13C8" w:rsidR="00F016DD" w:rsidRDefault="00F016DD" w:rsidRPr="0078105B">
      <w:pPr>
        <w:spacing w:line="360" w:lineRule="auto"/>
        <w:jc w:val="center"/>
        <w:rPr>
          <w:rFonts w:ascii="宋体" w:hAnsi="宋体"/>
          <w:b/>
          <w:sz w:val="36"/>
          <w:szCs w:val="36"/>
        </w:rPr>
      </w:pPr>
      <w:r w:rsidRPr="0078105B">
        <w:rPr>
          <w:rFonts w:ascii="宋体"/>
          <w:b/>
          <w:sz w:val="36"/>
          <w:szCs w:val="36"/>
        </w:rPr>
        <w:t/>
      </w:r>
      <w:proofErr w:type="spellStart"/>
      <w:proofErr w:type="gramStart"/>
      <w:r w:rsidRPr="0078105B">
        <w:rPr>
          <w:rFonts w:ascii="宋体" w:hAnsi="宋体"/>
          <w:b/>
          <w:sz w:val="36"/>
          <w:szCs w:val="36"/>
        </w:rPr>
        <w:t/>
      </w:r>
      <w:proofErr w:type="spellEnd"/>
      <w:proofErr w:type="gramEnd"/>
      <w:r w:rsidRPr="0078105B">
        <w:rPr>
          <w:rFonts w:ascii="宋体" w:hAnsi="宋体"/>
          <w:b/>
          <w:sz w:val="36"/>
          <w:szCs w:val="36"/>
        </w:rPr>
        <w:t>易方达瑞享灵活配置混合型证券投资基金</w:t>
      </w:r>
    </w:p>
    <w:p w:rsidP="00FC13C8" w:rsidR="00F016DD" w:rsidRDefault="00F016DD" w:rsidRPr="0078105B">
      <w:pPr>
        <w:spacing w:line="360" w:lineRule="auto"/>
        <w:jc w:val="center"/>
        <w:rPr>
          <w:rFonts w:ascii="宋体" w:hAnsi="宋体"/>
          <w:b/>
          <w:sz w:val="36"/>
          <w:szCs w:val="36"/>
        </w:rPr>
      </w:pPr>
      <w:r w:rsidRPr="0078105B">
        <w:rPr>
          <w:rFonts w:ascii="宋体" w:hAnsi="宋体"/>
          <w:b/>
          <w:sz w:val="36"/>
          <w:szCs w:val="36"/>
        </w:rPr>
        <w:t/>
      </w:r>
      <w:proofErr w:type="spellStart"/>
      <w:r w:rsidRPr="0078105B">
        <w:rPr>
          <w:rFonts w:ascii="宋体" w:hAnsi="宋体"/>
          <w:b/>
          <w:sz w:val="36"/>
          <w:szCs w:val="36"/>
        </w:rPr>
        <w:t/>
      </w:r>
      <w:proofErr w:type="spellEnd"/>
      <w:r w:rsidRPr="0078105B">
        <w:rPr>
          <w:rFonts w:ascii="宋体" w:hAnsi="宋体"/>
          <w:b/>
          <w:sz w:val="36"/>
          <w:szCs w:val="36"/>
        </w:rPr>
        <w:t>2020年第2季度报告</w:t>
      </w:r>
    </w:p>
    <w:p w:rsidP="00FC13C8" w:rsidR="00F016DD" w:rsidRDefault="00F016DD" w:rsidRPr="00DA451D">
      <w:pPr>
        <w:spacing w:line="360" w:lineRule="auto"/>
        <w:jc w:val="center"/>
        <w:rPr>
          <w:rFonts w:ascii="宋体" w:hAnsi="宋体"/>
          <w:b/>
          <w:sz w:val="24"/>
        </w:rPr>
      </w:pPr>
      <w:r w:rsidRPr="00DA451D">
        <w:rPr>
          <w:rFonts w:ascii="宋体"/>
          <w:b/>
          <w:sz w:val="24"/>
        </w:rPr>
        <w:t/>
      </w:r>
      <w:proofErr w:type="spellStart"/>
      <w:proofErr w:type="gramStart"/>
      <w:r w:rsidRPr="00DA451D">
        <w:rPr>
          <w:rFonts w:ascii="宋体" w:hAnsi="宋体"/>
          <w:b/>
          <w:sz w:val="24"/>
        </w:rPr>
        <w:t/>
      </w:r>
      <w:proofErr w:type="spellEnd"/>
      <w:proofErr w:type="gramEnd"/>
      <w:r w:rsidRPr="00DA451D">
        <w:rPr>
          <w:rFonts w:ascii="宋体" w:hAnsi="宋体"/>
          <w:b/>
          <w:sz w:val="24"/>
        </w:rPr>
        <w:t>2020年6月30日</w:t>
      </w: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E27360" w:rsidR="00F016DD" w:rsidRDefault="00F016DD" w:rsidRPr="0078105B">
      <w:pPr>
        <w:spacing w:line="360" w:lineRule="auto"/>
        <w:jc w:val="center"/>
        <w:rPr>
          <w:rFonts w:ascii="宋体"/>
          <w:b/>
          <w:color w:val="000000"/>
          <w:sz w:val="24"/>
        </w:rPr>
      </w:pPr>
    </w:p>
    <w:p w:rsidP="00E27360"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rPr>
          <w:rFonts w:ascii="宋体"/>
          <w:b/>
          <w:color w:val="000000"/>
          <w:sz w:val="24"/>
        </w:rPr>
      </w:pPr>
    </w:p>
    <w:p w:rsidP="00174038" w:rsidR="00F016DD" w:rsidRDefault="00F016DD" w:rsidRPr="0078105B">
      <w:pPr>
        <w:spacing w:line="360" w:lineRule="auto"/>
        <w:ind w:firstLine="2168" w:firstLineChars="900"/>
        <w:rPr>
          <w:rFonts w:ascii="宋体" w:hAnsi="宋体"/>
          <w:b/>
          <w:color w:val="000000"/>
          <w:sz w:val="24"/>
        </w:rPr>
      </w:pPr>
      <w:r w:rsidRPr="0078105B">
        <w:rPr>
          <w:rFonts w:ascii="宋体" w:hAnsi="宋体" w:hint="eastAsia"/>
          <w:b/>
          <w:color w:val="000000"/>
          <w:sz w:val="24"/>
        </w:rPr>
        <w:t>基金管理人：</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易方达基金管理有限公司</w:t>
      </w:r>
    </w:p>
    <w:p w:rsidP="00174038" w:rsidR="00F016DD" w:rsidRDefault="00F016DD" w:rsidRPr="0078105B">
      <w:pPr>
        <w:spacing w:line="360" w:lineRule="auto"/>
        <w:ind w:firstLine="2168" w:firstLineChars="900"/>
        <w:rPr>
          <w:rFonts w:ascii="宋体" w:hAnsi="宋体"/>
          <w:b/>
          <w:color w:val="000000"/>
          <w:sz w:val="24"/>
        </w:rPr>
      </w:pPr>
      <w:r w:rsidRPr="0078105B">
        <w:rPr>
          <w:rFonts w:ascii="宋体" w:hAnsi="宋体" w:hint="eastAsia"/>
          <w:b/>
          <w:color w:val="000000"/>
          <w:sz w:val="24"/>
        </w:rPr>
        <w:t>基金托管人：</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中国农业银行股份有限公司</w:t>
      </w:r>
    </w:p>
    <w:p w:rsidP="00174038" w:rsidR="00F016DD" w:rsidRDefault="00F016DD" w:rsidRPr="0078105B">
      <w:pPr>
        <w:spacing w:line="360" w:lineRule="auto"/>
        <w:ind w:firstLine="2168" w:firstLineChars="900"/>
        <w:rPr>
          <w:rFonts w:ascii="宋体"/>
          <w:sz w:val="24"/>
        </w:rPr>
        <w:sectPr w:rsidR="00F016DD" w:rsidRPr="0078105B" w:rsidSect="00F7094A">
          <w:headerReference r:id="rId8" w:type="default"/>
          <w:footerReference r:id="rId9" w:type="default"/>
          <w:pgSz w:h="15840" w:w="11926"/>
          <w:pgMar w:bottom="851" w:footer="992" w:gutter="0" w:header="851" w:left="1418" w:right="1418" w:top="1418"/>
          <w:cols w:space="720"/>
          <w:noEndnote/>
        </w:sectPr>
      </w:pPr>
      <w:r w:rsidRPr="0078105B">
        <w:rPr>
          <w:rFonts w:ascii="宋体" w:hAnsi="宋体" w:hint="eastAsia"/>
          <w:b/>
          <w:color w:val="000000"/>
          <w:sz w:val="24"/>
        </w:rPr>
        <w:t>报告送出日期：</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二〇二〇年七月二十一日</w:t>
      </w:r>
    </w:p>
    <w:p w:rsidP="00B54884" w:rsidR="00F016DD" w:rsidRDefault="00F016DD" w:rsidRPr="0078105B">
      <w:pPr>
        <w:pStyle w:val="1"/>
        <w:spacing w:after="312" w:afterLines="100" w:before="312" w:beforeLines="100" w:line="360" w:lineRule="auto"/>
        <w:jc w:val="center"/>
        <w:rPr>
          <w:rFonts w:ascii="宋体" w:cs="Arial"/>
          <w:b w:val="0"/>
          <w:color w:val="000000"/>
          <w:kern w:val="0"/>
          <w:sz w:val="24"/>
          <w:szCs w:val="24"/>
        </w:rPr>
      </w:pPr>
      <w:r w:rsidRPr="0078105B">
        <w:rPr>
          <w:rFonts w:ascii="宋体" w:cs="Arial" w:hAnsi="宋体" w:hint="eastAsia"/>
          <w:color w:val="000000"/>
          <w:kern w:val="0"/>
          <w:sz w:val="24"/>
          <w:szCs w:val="24"/>
        </w:rPr>
        <w:lastRenderedPageBreak/>
        <w:t>§</w:t>
      </w:r>
      <w:r w:rsidRPr="0078105B">
        <w:rPr>
          <w:rFonts w:ascii="宋体" w:cs="Arial" w:hAnsi="宋体"/>
          <w:color w:val="000000"/>
          <w:kern w:val="0"/>
          <w:sz w:val="24"/>
          <w:szCs w:val="24"/>
        </w:rPr>
        <w:t xml:space="preserve">1  </w:t>
      </w:r>
      <w:r w:rsidRPr="0078105B">
        <w:rPr>
          <w:rFonts w:ascii="宋体" w:cs="Arial" w:hAnsi="宋体" w:hint="eastAsia"/>
          <w:color w:val="000000"/>
          <w:kern w:val="0"/>
          <w:sz w:val="24"/>
          <w:szCs w:val="24"/>
        </w:rPr>
        <w:t>重要提示</w:t>
      </w:r>
    </w:p>
    <w:p>
      <w:pPr>
        <w:spacing w:line="360" w:lineRule="auto"/>
        <w:ind w:firstLine="480" w:firstLineChars="200"/>
        <w:rPr>
          <w:color w:val="000000"/>
          <w:sz w:val="24"/>
        </w:rPr>
      </w:pPr>
      <w:r>
        <w:rPr>
          <w:color w:val="000000"/>
          <w:sz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rPr>
      </w:pPr>
      <w:r>
        <w:rPr>
          <w:color w:val="000000"/>
          <w:sz w:val="24"/>
        </w:rPr>
        <w:t xml:space="preserve">基金托管人中国农业银行股份有限公司根据本基金合同规定，于2020年7月17日复核了本报告中的财务指标、净值表现和投资组合报告等内容，保证复核内容不存在虚假记载、误导性陈述或者重大遗漏。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rPr>
      </w:pPr>
      <w:r>
        <w:rPr>
          <w:color w:val="000000"/>
          <w:sz w:val="24"/>
        </w:rPr>
        <w:t xml:space="preserve">基金管理人承诺以诚实信用、勤勉尽责的原则管理和运用基金资产，但不保证基金一定盈利。 </w:t>
      </w:r>
    </w:p>
    <w:p>
      <w:pPr>
        <w:spacing w:line="360" w:lineRule="auto"/>
        <w:ind w:firstLine="480" w:firstLineChars="200"/>
        <w:rPr>
          <w:color w:val="000000"/>
          <w:sz w:val="24"/>
        </w:rPr>
      </w:pPr>
      <w:r>
        <w:rPr>
          <w:color w:val="000000"/>
          <w:sz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rPr>
      </w:pPr>
      <w:r>
        <w:rPr>
          <w:color w:val="000000"/>
          <w:sz w:val="24"/>
        </w:rPr>
        <w:t>本报告中财务资料未经审计。</w:t>
      </w:r>
    </w:p>
    <w:p w:rsidP="00C30CFF" w:rsidR="00F016DD" w:rsidRDefault="00F016DD" w:rsidRPr="00C30CFF">
      <w:pPr>
        <w:spacing w:line="360" w:lineRule="auto"/>
        <w:ind w:firstLine="480" w:firstLineChars="200"/>
        <w:rPr>
          <w:color w:val="000000"/>
          <w:sz w:val="24"/>
        </w:rPr>
      </w:pPr>
      <w:r w:rsidRPr="00C30CFF">
        <w:rPr>
          <w:color w:val="000000"/>
          <w:sz w:val="24"/>
        </w:rPr>
        <w:t/>
      </w:r>
      <w:proofErr w:type="spellStart"/>
      <w:proofErr w:type="gramStart"/>
      <w:r w:rsidRPr="00C30CFF">
        <w:rPr>
          <w:color w:val="000000"/>
          <w:sz w:val="24"/>
        </w:rPr>
        <w:t/>
      </w:r>
      <w:proofErr w:type="spellEnd"/>
      <w:proofErr w:type="gramEnd"/>
      <w:r w:rsidRPr="00C30CFF">
        <w:rPr>
          <w:color w:val="000000"/>
          <w:sz w:val="24"/>
        </w:rPr>
        <w:t>本报告期自2020年4月1日起至6月30日止。</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2  </w:t>
      </w:r>
      <w:r w:rsidRPr="0078105B">
        <w:rPr>
          <w:rFonts w:ascii="宋体" w:cs="Arial"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90"/>
      </w:tblGrid>
      <w:tr w:rsidR="00F016DD" w:rsidRPr="0078105B" w:rsidTr="00414367">
        <w:tc>
          <w:tcPr>
            <w:tcW w:type="dxa" w:w="2835"/>
          </w:tcPr>
          <w:p w:rsidP="00E205AA" w:rsidR="00F016DD" w:rsidRDefault="00F016DD" w:rsidRPr="00C30CFF">
            <w:pPr>
              <w:adjustRightInd w:val="0"/>
              <w:spacing w:before="29" w:line="360" w:lineRule="auto"/>
              <w:ind w:left="17"/>
              <w:jc w:val="left"/>
              <w:rPr>
                <w:kern w:val="0"/>
                <w:sz w:val="24"/>
              </w:rPr>
            </w:pPr>
            <w:r w:rsidRPr="00C30CFF">
              <w:rPr>
                <w:kern w:val="0"/>
                <w:sz w:val="24"/>
              </w:rPr>
              <w:t>基金简称</w:t>
            </w:r>
          </w:p>
        </w:tc>
        <w:tc>
          <w:tcPr>
            <w:tcW w:type="dxa" w:w="5529"/>
            <w:gridSpan w:val="2"/>
          </w:tcPr>
          <w:p w:rsidP="00E205AA"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易方达瑞享混合</w:t>
            </w:r>
          </w:p>
        </w:tc>
      </w:tr>
      <w:tr w:rsidR="00F016DD" w:rsidRPr="0078105B" w:rsidTr="00414367">
        <w:tc>
          <w:tcPr>
            <w:tcW w:type="dxa" w:w="2835"/>
          </w:tcPr>
          <w:p w:rsidP="00E205AA" w:rsidR="00F016DD" w:rsidRDefault="00F016DD" w:rsidRPr="00C30CFF">
            <w:pPr>
              <w:adjustRightInd w:val="0"/>
              <w:spacing w:before="29" w:line="360" w:lineRule="auto"/>
              <w:ind w:left="17"/>
              <w:jc w:val="left"/>
              <w:rPr>
                <w:kern w:val="0"/>
                <w:sz w:val="24"/>
              </w:rPr>
            </w:pPr>
            <w:r w:rsidRPr="00C30CFF">
              <w:rPr>
                <w:kern w:val="0"/>
                <w:sz w:val="24"/>
              </w:rPr>
              <w:t>基金主代码</w:t>
            </w:r>
          </w:p>
        </w:tc>
        <w:tc>
          <w:tcPr>
            <w:tcW w:type="dxa" w:w="5529"/>
            <w:gridSpan w:val="2"/>
          </w:tcPr>
          <w:p w:rsidP="00E205AA"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001437</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基金运作方式</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契约型开放式</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基金合同生效日</w:t>
            </w:r>
          </w:p>
        </w:tc>
        <w:tc>
          <w:tcPr>
            <w:tcW w:type="dxa" w:w="5529"/>
            <w:gridSpan w:val="2"/>
          </w:tcPr>
          <w:p w:rsidP="00121533"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2015年6月26日</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报告期末基金份额总额</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102,266,792.32</w:t>
            </w:r>
            <w:r w:rsidRPr="00C30CFF">
              <w:rPr>
                <w:color w:val="000000"/>
                <w:kern w:val="0"/>
                <w:sz w:val="24"/>
              </w:rPr>
              <w:t>份</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投资目标</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本基金在控制风险的前提下，追求基金资产的稳健增值。</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投资策略</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本基金通过定量与定性相结合的宏观及市场分析，确定组合中股票、债券、货币市场工具等资产类别的配置比例，严格遵守低估值的股票投资逻辑，以绝对收益为目标，力争获得稳健、持续的投资收益。</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业绩比较基准</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一年期人民币定期存款利率（税后）+2%</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风险收益特征</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本基金为混合型基金，理论上其预期风险与预期收益水平低于股票型基金，高于债券型基金和货币市场基金。</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基金管理人</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易方达基金管理有限公司</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基金托管人</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中国农业银行股份有限公司</w:t>
            </w:r>
          </w:p>
        </w:tc>
      </w:tr>
      <w:tr w:rsidR="00F016DD" w:rsidRPr="0078105B" w:rsidTr="00414367">
        <w:tc>
          <w:tcPr>
            <w:tcW w:type="dxa" w:w="2835"/>
          </w:tcPr>
          <w:p w:rsidP="003F13CD" w:rsidR="00F016DD" w:rsidRDefault="00F016DD" w:rsidRPr="00C30CFF">
            <w:pPr>
              <w:adjustRightInd w:val="0"/>
              <w:spacing w:before="29" w:line="360" w:lineRule="auto"/>
              <w:ind w:left="17"/>
              <w:jc w:val="left"/>
              <w:rPr>
                <w:kern w:val="0"/>
                <w:sz w:val="24"/>
              </w:rPr>
            </w:pPr>
            <w:r w:rsidRPr="00C30CFF">
              <w:rPr>
                <w:color w:val="000000"/>
                <w:sz w:val="24"/>
              </w:rPr>
              <w:t>下属</w:t>
            </w:r>
            <w:r w:rsidR="003F13CD" w:rsidRPr="00C30CFF">
              <w:rPr>
                <w:color w:val="000000"/>
                <w:sz w:val="24"/>
              </w:rPr>
              <w:t>分</w:t>
            </w:r>
            <w:r w:rsidRPr="00C30CFF">
              <w:rPr>
                <w:color w:val="000000"/>
                <w:sz w:val="24"/>
              </w:rPr>
              <w:t>级基金的基金简称</w:t>
            </w:r>
          </w:p>
        </w:tc>
        <w:tc>
          <w:tcPr>
            <w:tcW w:type="dxa" w:w="2739"/>
            <w:vAlign w:val="center"/>
          </w:tcPr>
          <w:p w:rsidP="00950413" w:rsidR="00F016DD" w:rsidRDefault="00F016DD" w:rsidRPr="00C30CFF">
            <w:pPr>
              <w:jc w:val="left"/>
              <w:rPr>
                <w:sz w:val="24"/>
              </w:rPr>
            </w:pPr>
            <w:r w:rsidRPr="00C30CFF">
              <w:rPr>
                <w:color w:val="000000"/>
                <w:kern w:val="0"/>
                <w:sz w:val="24"/>
              </w:rPr>
              <w:t/>
            </w:r>
            <w:proofErr w:type="spellStart"/>
            <w:r w:rsidRPr="00C30CFF">
              <w:rPr>
                <w:color w:val="000000"/>
                <w:kern w:val="0"/>
                <w:sz w:val="24"/>
              </w:rPr>
              <w:t/>
            </w:r>
            <w:proofErr w:type="spellEnd"/>
            <w:r w:rsidRPr="00C30CFF">
              <w:rPr>
                <w:sz w:val="24"/>
              </w:rPr>
              <w:t>易方达瑞享混合I</w:t>
            </w:r>
          </w:p>
        </w:tc>
        <w:tc>
          <w:tcPr>
            <w:tcW w:type="dxa" w:w="2790"/>
            <w:vAlign w:val="center"/>
          </w:tcPr>
          <w:p w:rsidP="00950413" w:rsidR="00F016DD" w:rsidRDefault="00F016DD" w:rsidRPr="00C30CFF">
            <w:pPr>
              <w:jc w:val="left"/>
              <w:rPr>
                <w:sz w:val="24"/>
              </w:rPr>
            </w:pPr>
            <w:r w:rsidRPr="00C30CFF">
              <w:rPr>
                <w:color w:val="000000"/>
                <w:kern w:val="0"/>
                <w:sz w:val="24"/>
              </w:rPr>
              <w:t/>
            </w:r>
            <w:r w:rsidRPr="00C30CFF">
              <w:rPr>
                <w:sz w:val="24"/>
              </w:rPr>
              <w:t>易方达瑞享混合E</w:t>
            </w:r>
          </w:p>
        </w:tc>
      </w:tr>
      <w:tr w:rsidR="00F016DD" w:rsidRPr="004D29A9" w:rsidTr="00414367">
        <w:tc>
          <w:tcPr>
            <w:tcW w:type="dxa" w:w="2835"/>
          </w:tcPr>
          <w:p w:rsidP="003F13CD" w:rsidR="00F016DD" w:rsidRDefault="00F016DD" w:rsidRPr="00C30CFF">
            <w:pPr>
              <w:adjustRightInd w:val="0"/>
              <w:spacing w:before="29" w:line="360" w:lineRule="auto"/>
              <w:ind w:left="17"/>
              <w:jc w:val="left"/>
              <w:rPr>
                <w:color w:val="000000"/>
                <w:sz w:val="24"/>
              </w:rPr>
            </w:pPr>
            <w:r w:rsidRPr="00C30CFF">
              <w:rPr>
                <w:color w:val="000000"/>
                <w:sz w:val="24"/>
              </w:rPr>
              <w:t>下属</w:t>
            </w:r>
            <w:r w:rsidR="003F13CD" w:rsidRPr="00C30CFF">
              <w:rPr>
                <w:color w:val="000000"/>
                <w:sz w:val="24"/>
              </w:rPr>
              <w:t>分</w:t>
            </w:r>
            <w:r w:rsidRPr="00C30CFF">
              <w:rPr>
                <w:color w:val="000000"/>
                <w:sz w:val="24"/>
              </w:rPr>
              <w:t>级基金的交易代</w:t>
            </w:r>
            <w:r w:rsidRPr="00C30CFF">
              <w:rPr>
                <w:color w:val="000000"/>
                <w:sz w:val="24"/>
              </w:rPr>
              <w:lastRenderedPageBreak/>
              <w:t>码</w:t>
            </w:r>
            <w:r w:rsidRPr="00C30CFF">
              <w:rPr>
                <w:color w:val="000000"/>
                <w:sz w:val="24"/>
              </w:rPr>
              <w:t/>
            </w:r>
            <w:proofErr w:type="spellStart"/>
            <w:r w:rsidRPr="00C30CFF">
              <w:rPr>
                <w:color w:val="000000"/>
              </w:rPr>
              <w:t/>
            </w:r>
            <w:proofErr w:type="spellEnd"/>
            <w:r w:rsidRPr="00C30CFF">
              <w:rPr>
                <w:color w:val="000000"/>
                <w:sz w:val="24"/>
              </w:rPr>
              <w:t/>
            </w:r>
          </w:p>
        </w:tc>
        <w:tc>
          <w:tcPr>
            <w:tcW w:type="dxa" w:w="2739"/>
            <w:vAlign w:val="center"/>
          </w:tcPr>
          <w:p w:rsidP="00950413" w:rsidR="00F016DD" w:rsidRDefault="00F016DD" w:rsidRPr="00C30CFF">
            <w:pPr>
              <w:jc w:val="left"/>
              <w:rPr>
                <w:color w:val="000000"/>
                <w:sz w:val="24"/>
              </w:rPr>
            </w:pPr>
            <w:r w:rsidRPr="00C30CFF">
              <w:rPr>
                <w:color w:val="000000"/>
                <w:kern w:val="0"/>
                <w:sz w:val="24"/>
              </w:rPr>
              <w:lastRenderedPageBreak/>
              <w:t/>
            </w:r>
            <w:proofErr w:type="spellStart"/>
            <w:r w:rsidRPr="00C30CFF">
              <w:rPr>
                <w:color w:val="000000"/>
                <w:kern w:val="0"/>
                <w:sz w:val="24"/>
              </w:rPr>
              <w:t/>
            </w:r>
            <w:proofErr w:type="spellEnd"/>
            <w:r w:rsidRPr="00C30CFF">
              <w:rPr>
                <w:color w:val="000000"/>
                <w:kern w:val="0"/>
                <w:sz w:val="24"/>
              </w:rPr>
              <w:t/>
            </w:r>
            <w:proofErr w:type="spellStart"/>
            <w:r w:rsidRPr="00C30CFF">
              <w:rPr>
                <w:color w:val="000000"/>
                <w:sz w:val="24"/>
              </w:rPr>
              <w:t/>
            </w:r>
            <w:proofErr w:type="spellEnd"/>
            <w:r w:rsidRPr="00C30CFF">
              <w:rPr>
                <w:color w:val="000000"/>
                <w:sz w:val="24"/>
              </w:rPr>
              <w:t/>
            </w:r>
            <w:r w:rsidRPr="00C30CFF">
              <w:rPr>
                <w:color w:val="000000"/>
                <w:sz w:val="24"/>
              </w:rPr>
              <w:lastRenderedPageBreak/>
              <w:t>001437</w:t>
            </w:r>
          </w:p>
        </w:tc>
        <w:tc>
          <w:tcPr>
            <w:tcW w:type="dxa" w:w="2790"/>
            <w:vAlign w:val="center"/>
          </w:tcPr>
          <w:p w:rsidP="00950413" w:rsidR="00F016DD" w:rsidRDefault="00F016DD" w:rsidRPr="00C30CFF">
            <w:pPr>
              <w:jc w:val="left"/>
              <w:rPr>
                <w:color w:val="000000"/>
                <w:sz w:val="24"/>
              </w:rPr>
            </w:pPr>
            <w:r w:rsidRPr="00C30CFF">
              <w:rPr>
                <w:color w:val="000000"/>
                <w:kern w:val="0"/>
                <w:sz w:val="24"/>
              </w:rPr>
              <w:lastRenderedPageBreak/>
              <w:t/>
            </w:r>
            <w:proofErr w:type="spellStart"/>
            <w:r w:rsidRPr="00C30CFF">
              <w:rPr>
                <w:color w:val="000000"/>
                <w:kern w:val="0"/>
                <w:sz w:val="24"/>
              </w:rPr>
              <w:t/>
            </w:r>
            <w:proofErr w:type="spellEnd"/>
            <w:r w:rsidRPr="00C30CFF">
              <w:rPr>
                <w:color w:val="000000"/>
                <w:kern w:val="0"/>
                <w:sz w:val="24"/>
              </w:rPr>
              <w:t/>
            </w:r>
            <w:r w:rsidRPr="00C30CFF">
              <w:rPr>
                <w:color w:val="000000"/>
                <w:sz w:val="24"/>
              </w:rPr>
              <w:t>001438</w:t>
            </w:r>
          </w:p>
        </w:tc>
      </w:tr>
      <w:tr w:rsidR="00F016DD" w:rsidRPr="0078105B" w:rsidTr="00414367">
        <w:tc>
          <w:tcPr>
            <w:tcW w:type="dxa" w:w="2835"/>
          </w:tcPr>
          <w:p w:rsidP="00162D92" w:rsidR="00F016DD" w:rsidRDefault="00F016DD" w:rsidRPr="00C30CFF">
            <w:pPr>
              <w:adjustRightInd w:val="0"/>
              <w:spacing w:before="29" w:line="360" w:lineRule="auto"/>
              <w:ind w:left="17"/>
              <w:jc w:val="left"/>
              <w:rPr>
                <w:color w:val="000000"/>
                <w:sz w:val="24"/>
              </w:rPr>
            </w:pPr>
            <w:r w:rsidRPr="00C30CFF">
              <w:rPr>
                <w:color w:val="000000"/>
                <w:sz w:val="24"/>
              </w:rPr>
              <w:t>报告期末下属</w:t>
            </w:r>
            <w:r w:rsidR="00162D92" w:rsidRPr="00C30CFF">
              <w:rPr>
                <w:color w:val="000000"/>
                <w:sz w:val="24"/>
              </w:rPr>
              <w:t>分</w:t>
            </w:r>
            <w:r w:rsidRPr="00C30CFF">
              <w:rPr>
                <w:color w:val="000000"/>
                <w:sz w:val="24"/>
              </w:rPr>
              <w:t>级基金的份额总额</w:t>
            </w:r>
          </w:p>
        </w:tc>
        <w:tc>
          <w:tcPr>
            <w:tcW w:type="dxa" w:w="2739"/>
            <w:vAlign w:val="center"/>
          </w:tcPr>
          <w:p w:rsidP="00950413" w:rsidR="00F016DD" w:rsidRDefault="00F016DD" w:rsidRPr="00C30CFF">
            <w:pPr>
              <w:jc w:val="left"/>
              <w:rPr>
                <w:sz w:val="24"/>
              </w:rPr>
            </w:pPr>
            <w:r w:rsidRPr="00C30CFF">
              <w:rPr>
                <w:color w:val="000000"/>
                <w:kern w:val="0"/>
                <w:sz w:val="24"/>
              </w:rPr>
              <w:t/>
            </w:r>
            <w:proofErr w:type="spellStart"/>
            <w:r w:rsidRPr="00C30CFF">
              <w:rPr>
                <w:color w:val="000000"/>
                <w:kern w:val="0"/>
                <w:sz w:val="24"/>
              </w:rPr>
              <w:t/>
            </w:r>
            <w:proofErr w:type="spellEnd"/>
            <w:r w:rsidRPr="00C30CFF">
              <w:rPr>
                <w:sz w:val="24"/>
              </w:rPr>
              <w:t>88,728,717.75</w:t>
            </w:r>
            <w:r w:rsidRPr="00C30CFF">
              <w:rPr>
                <w:color w:val="000000"/>
                <w:kern w:val="0"/>
                <w:sz w:val="24"/>
              </w:rPr>
              <w:t>份</w:t>
            </w:r>
          </w:p>
        </w:tc>
        <w:tc>
          <w:tcPr>
            <w:tcW w:type="dxa" w:w="2790"/>
            <w:vAlign w:val="center"/>
          </w:tcPr>
          <w:p w:rsidP="00950413" w:rsidR="00F016DD" w:rsidRDefault="00F016DD" w:rsidRPr="00C30CFF">
            <w:pPr>
              <w:jc w:val="left"/>
              <w:rPr>
                <w:sz w:val="24"/>
              </w:rPr>
            </w:pPr>
            <w:r w:rsidRPr="00C30CFF">
              <w:rPr>
                <w:color w:val="000000"/>
                <w:kern w:val="0"/>
                <w:sz w:val="24"/>
              </w:rPr>
              <w:t/>
            </w:r>
            <w:r w:rsidRPr="00C30CFF">
              <w:rPr>
                <w:sz w:val="24"/>
              </w:rPr>
              <w:t>13,538,074.57</w:t>
            </w:r>
            <w:r w:rsidRPr="00C30CFF">
              <w:rPr>
                <w:color w:val="000000"/>
                <w:kern w:val="0"/>
                <w:sz w:val="24"/>
              </w:rPr>
              <w:t>份</w:t>
            </w:r>
          </w:p>
        </w:tc>
      </w:tr>
    </w:tbl>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3  </w:t>
      </w:r>
      <w:r w:rsidRPr="0078105B">
        <w:rPr>
          <w:rFonts w:ascii="宋体" w:cs="Arial" w:hAnsi="宋体" w:hint="eastAsia"/>
          <w:color w:val="000000"/>
          <w:kern w:val="0"/>
          <w:sz w:val="24"/>
          <w:szCs w:val="24"/>
        </w:rPr>
        <w:t>主要财务指标和基金净值表现</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3.1 </w:t>
      </w:r>
      <w:r w:rsidRPr="0078105B">
        <w:rPr>
          <w:rFonts w:ascii="宋体" w:cs="Arial" w:hAnsi="宋体" w:hint="eastAsia"/>
          <w:b/>
          <w:color w:val="000000"/>
          <w:kern w:val="0"/>
          <w:sz w:val="24"/>
        </w:rPr>
        <w:t>主要财务指标</w:t>
      </w:r>
    </w:p>
    <w:p w:rsidP="00E27360" w:rsidR="00F016DD" w:rsidRDefault="00F016DD" w:rsidRPr="00FA472B">
      <w:pPr>
        <w:autoSpaceDE w:val="0"/>
        <w:autoSpaceDN w:val="0"/>
        <w:adjustRightInd w:val="0"/>
        <w:spacing w:before="29" w:line="288" w:lineRule="auto"/>
        <w:ind w:left="15" w:right="480"/>
        <w:jc w:val="right"/>
        <w:rPr>
          <w:rFonts w:ascii="宋体" w:cs="Arial" w:hAnsi="宋体"/>
          <w:color w:val="000000"/>
          <w:kern w:val="0"/>
          <w:sz w:val="24"/>
        </w:rPr>
      </w:pPr>
      <w:r w:rsidRPr="00FA472B">
        <w:rPr>
          <w:rFonts w:ascii="宋体" w:cs="Arial" w:hAnsi="宋体" w:hint="eastAsia"/>
          <w:color w:val="000000"/>
          <w:kern w:val="0"/>
          <w:sz w:val="24"/>
        </w:rPr>
        <w:t>单位：人民币元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481"/>
        <w:gridCol w:w="2481"/>
      </w:tblGrid>
      <w:tr w:rsidR="00F016DD" w:rsidRPr="00FA472B" w:rsidTr="008B5312">
        <w:tc>
          <w:tcPr>
            <w:tcW w:type="dxa" w:w="3402"/>
            <w:vMerge w:val="restart"/>
            <w:vAlign w:val="center"/>
          </w:tcPr>
          <w:p w:rsidP="00E205AA" w:rsidR="00F016DD" w:rsidRDefault="00F016DD" w:rsidRPr="00FA472B">
            <w:pPr>
              <w:adjustRightInd w:val="0"/>
              <w:spacing w:before="29" w:line="360" w:lineRule="auto"/>
              <w:ind w:left="17"/>
              <w:jc w:val="center"/>
              <w:rPr>
                <w:kern w:val="0"/>
                <w:sz w:val="24"/>
              </w:rPr>
            </w:pPr>
            <w:r w:rsidRPr="00FA472B">
              <w:rPr>
                <w:kern w:val="0"/>
                <w:sz w:val="24"/>
              </w:rPr>
              <w:t>主要财务指标</w:t>
            </w:r>
          </w:p>
        </w:tc>
        <w:tc>
          <w:tcPr>
            <w:tcW w:type="dxa" w:w="4962"/>
            <w:gridSpan w:val="2"/>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sz w:val="24"/>
              </w:rPr>
              <w:t>报告期</w:t>
            </w:r>
          </w:p>
          <w:p w:rsidP="00E205AA" w:rsidR="00F016DD" w:rsidRDefault="00F016DD" w:rsidRPr="00FA472B">
            <w:pPr>
              <w:adjustRightInd w:val="0"/>
              <w:spacing w:before="29" w:line="360" w:lineRule="auto"/>
              <w:ind w:left="17"/>
              <w:jc w:val="center"/>
              <w:rPr>
                <w:color w:val="000000"/>
                <w:sz w:val="24"/>
              </w:rPr>
            </w:pPr>
            <w:r w:rsidRPr="00FA472B">
              <w:rPr>
                <w:color w:val="000000"/>
                <w:sz w:val="24"/>
              </w:rPr>
              <w:t>(</w:t>
            </w:r>
            <w:proofErr w:type="spellStart"/>
            <w:r w:rsidRPr="00FA472B">
              <w:rPr>
                <w:color w:val="000000"/>
                <w:sz w:val="24"/>
              </w:rPr>
              <w:t/>
            </w:r>
            <w:proofErr w:type="spellEnd"/>
            <w:r w:rsidRPr="00FA472B">
              <w:rPr>
                <w:color w:val="000000"/>
                <w:sz w:val="24"/>
              </w:rPr>
              <w:t>2020年4月1日-</w:t>
            </w:r>
            <w:proofErr w:type="spellStart"/>
            <w:r w:rsidRPr="00FA472B">
              <w:rPr>
                <w:color w:val="000000"/>
                <w:sz w:val="24"/>
              </w:rPr>
              <w:t/>
            </w:r>
            <w:proofErr w:type="spellEnd"/>
            <w:r w:rsidRPr="00FA472B">
              <w:rPr>
                <w:color w:val="000000"/>
                <w:sz w:val="24"/>
              </w:rPr>
              <w:t>2020年6月30日)</w:t>
            </w:r>
          </w:p>
        </w:tc>
      </w:tr>
      <w:tr w:rsidR="00F016DD" w:rsidRPr="00FA472B" w:rsidTr="008B5312">
        <w:tc>
          <w:tcPr>
            <w:tcW w:type="dxa" w:w="3402"/>
            <w:vMerge/>
            <w:vAlign w:val="center"/>
          </w:tcPr>
          <w:p w:rsidP="00E205AA" w:rsidR="00F016DD" w:rsidRDefault="00F016DD" w:rsidRPr="00FA472B">
            <w:pPr>
              <w:adjustRightInd w:val="0"/>
              <w:spacing w:before="29" w:line="360" w:lineRule="auto"/>
              <w:ind w:left="17"/>
              <w:jc w:val="center"/>
              <w:rPr>
                <w:kern w:val="0"/>
                <w:sz w:val="24"/>
              </w:rPr>
            </w:pPr>
          </w:p>
        </w:tc>
        <w:tc>
          <w:tcPr>
            <w:tcW w:type="dxa" w:w="2481"/>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kern w:val="0"/>
                <w:sz w:val="24"/>
              </w:rPr>
              <w:t/>
            </w:r>
            <w:proofErr w:type="spellStart"/>
            <w:r w:rsidRPr="00FA472B">
              <w:rPr>
                <w:sz w:val="24"/>
              </w:rPr>
              <w:t/>
            </w:r>
            <w:proofErr w:type="spellEnd"/>
            <w:r w:rsidRPr="00FA472B">
              <w:rPr>
                <w:sz w:val="24"/>
              </w:rPr>
              <w:t>易方达瑞享混合I</w:t>
            </w:r>
          </w:p>
        </w:tc>
        <w:tc>
          <w:tcPr>
            <w:tcW w:type="dxa" w:w="2481"/>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kern w:val="0"/>
                <w:sz w:val="24"/>
              </w:rPr>
              <w:t/>
            </w:r>
            <w:r w:rsidRPr="00FA472B">
              <w:rPr>
                <w:sz w:val="24"/>
              </w:rPr>
              <w:t>易方达瑞享混合E</w:t>
            </w:r>
          </w:p>
        </w:tc>
      </w:tr>
      <w:tr w:rsidR="00F016DD" w:rsidRPr="00FA472B" w:rsidTr="00973B57">
        <w:tc>
          <w:tcPr>
            <w:tcW w:type="dxa" w:w="3402"/>
          </w:tcPr>
          <w:p w:rsidP="00973B57" w:rsidR="00F016DD" w:rsidRDefault="00F016DD" w:rsidRPr="00FA472B">
            <w:pPr>
              <w:adjustRightInd w:val="0"/>
              <w:spacing w:before="29" w:line="360" w:lineRule="auto"/>
              <w:ind w:left="17"/>
              <w:rPr>
                <w:kern w:val="0"/>
                <w:sz w:val="24"/>
              </w:rPr>
            </w:pPr>
            <w:r w:rsidRPr="00FA472B">
              <w:rPr>
                <w:kern w:val="0"/>
                <w:sz w:val="24"/>
              </w:rPr>
              <w:t>1.</w:t>
            </w:r>
            <w:r w:rsidRPr="00FA472B">
              <w:rPr>
                <w:kern w:val="0"/>
                <w:sz w:val="24"/>
              </w:rPr>
              <w:t>本期已实现收益</w:t>
            </w:r>
          </w:p>
        </w:tc>
        <w:tc>
          <w:tcPr>
            <w:tcW w:type="dxa" w:w="2481"/>
            <w:vAlign w:val="bottom"/>
          </w:tcPr>
          <w:p w:rsidP="00973B57" w:rsidR="00F016DD" w:rsidRDefault="00F016DD" w:rsidRPr="00FA472B">
            <w:pPr>
              <w:adjustRightInd w:val="0"/>
              <w:spacing w:before="29" w:line="360" w:lineRule="auto"/>
              <w:ind w:left="17"/>
              <w:jc w:val="right"/>
              <w:rPr>
                <w:color w:val="000000"/>
                <w:sz w:val="24"/>
              </w:rPr>
            </w:pPr>
            <w:r w:rsidRPr="00FA472B">
              <w:rPr>
                <w:color w:val="000000"/>
                <w:sz w:val="24"/>
              </w:rPr>
              <w:t>3,147,112.07</w:t>
            </w:r>
          </w:p>
        </w:tc>
        <w:tc>
          <w:tcPr>
            <w:tcW w:type="dxa" w:w="2481"/>
            <w:vAlign w:val="bottom"/>
          </w:tcPr>
          <w:p w:rsidP="0037768B" w:rsidR="00F016DD" w:rsidRDefault="00F016DD" w:rsidRPr="00FA472B">
            <w:pPr>
              <w:adjustRightInd w:val="0"/>
              <w:spacing w:before="29" w:line="360" w:lineRule="auto"/>
              <w:ind w:left="17"/>
              <w:jc w:val="right"/>
              <w:rPr>
                <w:color w:val="000000"/>
                <w:sz w:val="24"/>
              </w:rPr>
            </w:pPr>
            <w:r w:rsidRPr="00FA472B">
              <w:rPr>
                <w:color w:val="000000"/>
                <w:sz w:val="24"/>
              </w:rPr>
              <w:t>203,426.29</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2.</w:t>
            </w:r>
            <w:r w:rsidRPr="00FA472B">
              <w:rPr>
                <w:kern w:val="0"/>
                <w:sz w:val="24"/>
              </w:rPr>
              <w:t>本期利润</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47,687,331.46</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3,684,535.72</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3.</w:t>
            </w:r>
            <w:r w:rsidRPr="00FA472B">
              <w:rPr>
                <w:kern w:val="0"/>
                <w:sz w:val="24"/>
              </w:rPr>
              <w:t>加权平均基金份额本期利润</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0.5444</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0.4469</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4.</w:t>
            </w:r>
            <w:r w:rsidRPr="00FA472B">
              <w:rPr>
                <w:kern w:val="0"/>
                <w:sz w:val="24"/>
              </w:rPr>
              <w:t>期末基金资产净值</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177,706,190.96</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22,187,140.96</w:t>
            </w:r>
          </w:p>
        </w:tc>
      </w:tr>
      <w:tr w:rsidR="00F016DD" w:rsidRPr="00FA472B" w:rsidTr="009A5C1D">
        <w:trPr>
          <w:trHeight w:val="158"/>
        </w:trPr>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lastRenderedPageBreak/>
              <w:t>5.</w:t>
            </w:r>
            <w:r w:rsidRPr="00FA472B">
              <w:rPr>
                <w:kern w:val="0"/>
                <w:sz w:val="24"/>
              </w:rPr>
              <w:t>期末基金份额净值</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2.003</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1.639</w:t>
            </w:r>
          </w:p>
        </w:tc>
      </w:tr>
    </w:tbl>
    <w:p>
      <w:pPr>
        <w:spacing w:line="360" w:lineRule="auto"/>
        <w:ind w:firstLine="480" w:firstLineChars="200"/>
        <w:rPr>
          <w:color w:val="000000"/>
          <w:sz w:val="24"/>
        </w:rPr>
      </w:pPr>
      <w:r>
        <w:rPr>
          <w:color w:val="000000"/>
          <w:sz w:val="24"/>
        </w:rPr>
        <w:t>注：1.所述基金业绩指标不包括持有人认购或交易基金的各项费用，计入费用后实际收益水平要低于所列数字。</w:t>
      </w:r>
    </w:p>
    <w:p w:rsidP="00C30CFF" w:rsidR="00F016DD" w:rsidRDefault="00F016DD" w:rsidRPr="00C30CFF">
      <w:pPr>
        <w:spacing w:line="360" w:lineRule="auto"/>
        <w:ind w:firstLine="480" w:firstLineChars="200"/>
        <w:rPr>
          <w:color w:val="000000"/>
          <w:sz w:val="24"/>
        </w:rPr>
      </w:pPr>
      <w:r w:rsidRPr="00C30CFF">
        <w:rPr>
          <w:color w:val="000000"/>
          <w:sz w:val="24"/>
        </w:rPr>
        <w:t/>
      </w:r>
      <w:proofErr w:type="spellStart"/>
      <w:proofErr w:type="gramStart"/>
      <w:r w:rsidRPr="00C30CFF">
        <w:rPr>
          <w:color w:val="000000"/>
          <w:sz w:val="24"/>
        </w:rPr>
        <w:t/>
      </w:r>
      <w:proofErr w:type="spellEnd"/>
      <w:proofErr w:type="gramEnd"/>
      <w:r w:rsidRPr="00C30CFF">
        <w:rPr>
          <w:color w:val="000000"/>
          <w:sz w:val="24"/>
        </w:rPr>
        <w:t>2.本期已实现收益指基金本期利息收入、投资收益、其他收入（不含公允价值变动收益）扣除相关费用后的余额，本期利润为本期已实现收益加上本期公允价值变动收益。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3.2 </w:t>
      </w:r>
      <w:r w:rsidRPr="0078105B">
        <w:rPr>
          <w:rFonts w:ascii="宋体" w:cs="Arial" w:hAnsi="宋体" w:hint="eastAsia"/>
          <w:b/>
          <w:color w:val="000000"/>
          <w:kern w:val="0"/>
          <w:sz w:val="24"/>
        </w:rPr>
        <w:t>基金净值表现</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3.2.1</w:t>
      </w:r>
      <w:r w:rsidRPr="0078105B">
        <w:rPr>
          <w:rFonts w:ascii="宋体" w:cs="Arial" w:hAnsi="宋体" w:hint="eastAsia"/>
          <w:b/>
          <w:color w:val="000000"/>
          <w:kern w:val="0"/>
          <w:sz w:val="24"/>
        </w:rPr>
        <w:t>本报告</w:t>
      </w:r>
      <w:proofErr w:type="gramStart"/>
      <w:r w:rsidRPr="0078105B">
        <w:rPr>
          <w:rFonts w:ascii="宋体" w:cs="Arial" w:hAnsi="宋体" w:hint="eastAsia"/>
          <w:b/>
          <w:color w:val="000000"/>
          <w:kern w:val="0"/>
          <w:sz w:val="24"/>
        </w:rPr>
        <w:t>期基金</w:t>
      </w:r>
      <w:proofErr w:type="gramEnd"/>
      <w:r w:rsidRPr="0078105B">
        <w:rPr>
          <w:rFonts w:ascii="宋体" w:cs="Arial" w:hAnsi="宋体" w:hint="eastAsia"/>
          <w:b/>
          <w:color w:val="000000"/>
          <w:kern w:val="0"/>
          <w:sz w:val="24"/>
        </w:rPr>
        <w:t>份额净值增长率及其与同期业绩比较基准收益率的比较</w:t>
      </w:r>
    </w:p>
    <w:p w:rsidP="00174038" w:rsidR="00F016DD" w:rsidRDefault="00F016DD" w:rsidRPr="0078105B">
      <w:pPr>
        <w:spacing w:line="360" w:lineRule="auto"/>
        <w:ind w:firstLine="361" w:firstLineChars="150"/>
        <w:rPr>
          <w:rFonts w:ascii="宋体"/>
          <w:b/>
          <w:sz w:val="24"/>
        </w:rPr>
      </w:pPr>
      <w:r w:rsidRPr="0078105B">
        <w:rPr>
          <w:rFonts w:ascii="宋体" w:cs="Arial"/>
          <w:b/>
          <w:color w:val="000000"/>
          <w:kern w:val="0"/>
          <w:sz w:val="24"/>
        </w:rPr>
        <w:t/>
      </w:r>
      <w:proofErr w:type="gramStart"/>
      <w:r w:rsidRPr="0078105B">
        <w:rPr>
          <w:rFonts w:ascii="宋体" w:cs="Arial" w:hAnsi="宋体"/>
          <w:b/>
          <w:color w:val="000000"/>
          <w:kern w:val="0"/>
          <w:sz w:val="24"/>
        </w:rPr>
        <w:t/>
      </w:r>
      <w:proofErr w:type="spellStart"/>
      <w:r w:rsidRPr="0078105B">
        <w:rPr>
          <w:rFonts w:ascii="宋体" w:cs="Arial" w:hAnsi="宋体"/>
          <w:b/>
          <w:color w:val="000000"/>
          <w:kern w:val="0"/>
          <w:sz w:val="24"/>
        </w:rPr>
        <w:t/>
      </w:r>
      <w:proofErr w:type="spellEnd"/>
      <w:r w:rsidRPr="0078105B">
        <w:rPr>
          <w:rFonts w:ascii="宋体" w:cs="Arial" w:hAnsi="宋体"/>
          <w:b/>
          <w:color w:val="000000"/>
          <w:kern w:val="0"/>
          <w:sz w:val="24"/>
        </w:rPr>
        <w:t/>
      </w:r>
      <w:proofErr w:type="gramEnd"/>
      <w:r w:rsidRPr="0078105B">
        <w:rPr>
          <w:rFonts w:ascii="宋体" w:cs="Arial" w:hAnsi="宋体"/>
          <w:b/>
          <w:color w:val="000000"/>
          <w:kern w:val="0"/>
          <w:sz w:val="24"/>
        </w:rPr>
        <w:t>易方达瑞享混合I</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290"/>
        <w:gridCol w:w="1291"/>
        <w:gridCol w:w="1291"/>
        <w:gridCol w:w="1291"/>
        <w:gridCol w:w="1291"/>
        <w:gridCol w:w="1291"/>
        <w:gridCol w:w="1291"/>
      </w:tblGrid>
      <w:tr w:rsidR="00F016DD" w:rsidRPr="0078105B" w:rsidTr="00414367">
        <w:tc>
          <w:tcPr>
            <w:tcW w:type="dxa" w:w="1290"/>
            <w:vAlign w:val="center"/>
          </w:tcPr>
          <w:p w:rsidP="00F4518C" w:rsidR="00F016DD" w:rsidRDefault="00F016DD" w:rsidRPr="00FA472B">
            <w:pPr>
              <w:snapToGrid w:val="0"/>
              <w:spacing w:line="288" w:lineRule="auto"/>
              <w:jc w:val="center"/>
              <w:rPr>
                <w:color w:val="000000"/>
                <w:sz w:val="24"/>
              </w:rPr>
            </w:pPr>
            <w:r w:rsidRPr="00FA472B">
              <w:rPr>
                <w:color w:val="000000"/>
                <w:sz w:val="24"/>
              </w:rPr>
              <w:t>阶段</w:t>
            </w:r>
            <w:r w:rsidRPr="00FA472B">
              <w:rPr>
                <w:color w:val="000000"/>
                <w:sz w:val="24"/>
              </w:rPr>
              <w:t/>
            </w:r>
            <w:proofErr w:type="spellStart"/>
            <w:r w:rsidRPr="00FA472B">
              <w:rPr>
                <w:color w:val="000000"/>
                <w:sz w:val="24"/>
              </w:rPr>
              <w:t/>
            </w:r>
            <w:proofErr w:type="spellEnd"/>
            <w:r w:rsidRPr="00FA472B">
              <w:rPr>
                <w:color w:val="000000"/>
                <w:sz w:val="24"/>
              </w:rPr>
              <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净值增长率</w:t>
            </w:r>
            <w:r w:rsidRPr="00414367">
              <w:rPr>
                <w:rFonts w:ascii="宋体" w:cs="宋体" w:hAnsi="宋体" w:hint="eastAsia"/>
                <w:color w:val="000000"/>
                <w:sz w:val="24"/>
              </w:rPr>
              <w:t>①</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净值增长率标准差</w:t>
            </w:r>
            <w:r w:rsidRPr="00414367">
              <w:rPr>
                <w:rFonts w:ascii="宋体" w:cs="宋体" w:hAnsi="宋体" w:hint="eastAsia"/>
                <w:color w:val="000000"/>
                <w:sz w:val="24"/>
              </w:rPr>
              <w:t>②</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业绩比较基准收益率标准差</w:t>
            </w:r>
            <w:r w:rsidRPr="00414367">
              <w:rPr>
                <w:rFonts w:ascii="宋体" w:cs="宋体" w:hAnsi="宋体" w:hint="eastAsia"/>
                <w:color w:val="000000"/>
                <w:sz w:val="24"/>
              </w:rPr>
              <w:t>④</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①</w:t>
            </w:r>
            <w:r w:rsidRPr="00FA472B">
              <w:rPr>
                <w:color w:val="000000"/>
                <w:sz w:val="24"/>
              </w:rPr>
              <w:t>－</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②</w:t>
            </w:r>
            <w:r w:rsidRPr="00FA472B">
              <w:rPr>
                <w:color w:val="000000"/>
                <w:sz w:val="24"/>
              </w:rPr>
              <w:t>－</w:t>
            </w:r>
            <w:r w:rsidRPr="00414367">
              <w:rPr>
                <w:rFonts w:ascii="宋体" w:cs="宋体" w:hAnsi="宋体" w:hint="eastAsia"/>
                <w:color w:val="000000"/>
                <w:sz w:val="24"/>
              </w:rPr>
              <w:t>④</w:t>
            </w:r>
          </w:p>
        </w:tc>
      </w:tr>
      <w:tr>
        <w:tc>
          <w:tcPr>
            <w:vAlign w:val="center"/>
          </w:tcPr>
          <w:p>
            <w:pPr>
              <w:jc w:val="left"/>
            </w:pPr>
            <w:r>
              <w:rPr>
                <w:color w:val="000000"/>
                <w:sz w:val="24"/>
              </w:rPr>
              <w:t>过去三个月</w:t>
            </w:r>
          </w:p>
        </w:tc>
        <w:tc>
          <w:tcPr>
            <w:vAlign w:val="center"/>
          </w:tcPr>
          <w:p>
            <w:pPr>
              <w:jc w:val="center"/>
            </w:pPr>
            <w:r>
              <w:rPr>
                <w:color w:val="000000"/>
                <w:sz w:val="24"/>
              </w:rPr>
              <w:t>37.47%</w:t>
            </w:r>
          </w:p>
        </w:tc>
        <w:tc>
          <w:tcPr>
            <w:vAlign w:val="center"/>
          </w:tcPr>
          <w:p>
            <w:pPr>
              <w:jc w:val="center"/>
            </w:pPr>
            <w:r>
              <w:rPr>
                <w:color w:val="000000"/>
                <w:sz w:val="24"/>
              </w:rPr>
              <w:t>1.42%</w:t>
            </w:r>
          </w:p>
        </w:tc>
        <w:tc>
          <w:tcPr>
            <w:vAlign w:val="center"/>
          </w:tcPr>
          <w:p>
            <w:pPr>
              <w:jc w:val="center"/>
            </w:pPr>
            <w:r>
              <w:rPr>
                <w:color w:val="000000"/>
                <w:sz w:val="24"/>
              </w:rPr>
              <w:t>0.88%</w:t>
            </w:r>
          </w:p>
        </w:tc>
        <w:tc>
          <w:tcPr>
            <w:vAlign w:val="center"/>
          </w:tcPr>
          <w:p>
            <w:pPr>
              <w:jc w:val="center"/>
            </w:pPr>
            <w:r>
              <w:rPr>
                <w:color w:val="000000"/>
                <w:sz w:val="24"/>
              </w:rPr>
              <w:t>0.01%</w:t>
            </w:r>
          </w:p>
        </w:tc>
        <w:tc>
          <w:tcPr>
            <w:vAlign w:val="center"/>
          </w:tcPr>
          <w:p>
            <w:pPr>
              <w:jc w:val="center"/>
            </w:pPr>
            <w:r>
              <w:rPr>
                <w:color w:val="000000"/>
                <w:sz w:val="24"/>
              </w:rPr>
              <w:t>36.59%</w:t>
            </w:r>
          </w:p>
        </w:tc>
        <w:tc>
          <w:tcPr>
            <w:vAlign w:val="center"/>
          </w:tcPr>
          <w:p>
            <w:pPr>
              <w:jc w:val="center"/>
            </w:pPr>
            <w:r>
              <w:rPr>
                <w:color w:val="000000"/>
                <w:sz w:val="24"/>
              </w:rPr>
              <w:t>1.41%</w:t>
            </w:r>
          </w:p>
        </w:tc>
      </w:tr>
      <w:tr>
        <w:tc>
          <w:tcPr>
            <w:vAlign w:val="center"/>
          </w:tcPr>
          <w:p>
            <w:pPr>
              <w:jc w:val="left"/>
            </w:pPr>
            <w:r>
              <w:rPr>
                <w:color w:val="000000"/>
                <w:sz w:val="24"/>
              </w:rPr>
              <w:t>过去六个月</w:t>
            </w:r>
          </w:p>
        </w:tc>
        <w:tc>
          <w:tcPr>
            <w:vAlign w:val="center"/>
          </w:tcPr>
          <w:p>
            <w:pPr>
              <w:jc w:val="center"/>
            </w:pPr>
            <w:r>
              <w:rPr>
                <w:color w:val="000000"/>
                <w:sz w:val="24"/>
              </w:rPr>
              <w:t>35.16%</w:t>
            </w:r>
          </w:p>
        </w:tc>
        <w:tc>
          <w:tcPr>
            <w:vAlign w:val="center"/>
          </w:tcPr>
          <w:p>
            <w:pPr>
              <w:jc w:val="center"/>
            </w:pPr>
            <w:r>
              <w:rPr>
                <w:color w:val="000000"/>
                <w:sz w:val="24"/>
              </w:rPr>
              <w:t>2.06%</w:t>
            </w:r>
          </w:p>
        </w:tc>
        <w:tc>
          <w:tcPr>
            <w:vAlign w:val="center"/>
          </w:tcPr>
          <w:p>
            <w:pPr>
              <w:jc w:val="center"/>
            </w:pPr>
            <w:r>
              <w:rPr>
                <w:color w:val="000000"/>
                <w:sz w:val="24"/>
              </w:rPr>
              <w:t>1.77%</w:t>
            </w:r>
          </w:p>
        </w:tc>
        <w:tc>
          <w:tcPr>
            <w:vAlign w:val="center"/>
          </w:tcPr>
          <w:p>
            <w:pPr>
              <w:jc w:val="center"/>
            </w:pPr>
            <w:r>
              <w:rPr>
                <w:color w:val="000000"/>
                <w:sz w:val="24"/>
              </w:rPr>
              <w:t>0.01%</w:t>
            </w:r>
          </w:p>
        </w:tc>
        <w:tc>
          <w:tcPr>
            <w:vAlign w:val="center"/>
          </w:tcPr>
          <w:p>
            <w:pPr>
              <w:jc w:val="center"/>
            </w:pPr>
            <w:r>
              <w:rPr>
                <w:color w:val="000000"/>
                <w:sz w:val="24"/>
              </w:rPr>
              <w:t>33.39%</w:t>
            </w:r>
          </w:p>
        </w:tc>
        <w:tc>
          <w:tcPr>
            <w:vAlign w:val="center"/>
          </w:tcPr>
          <w:p>
            <w:pPr>
              <w:jc w:val="center"/>
            </w:pPr>
            <w:r>
              <w:rPr>
                <w:color w:val="000000"/>
                <w:sz w:val="24"/>
              </w:rPr>
              <w:t>2.05%</w:t>
            </w:r>
          </w:p>
        </w:tc>
      </w:tr>
      <w:tr>
        <w:tc>
          <w:tcPr>
            <w:vAlign w:val="center"/>
          </w:tcPr>
          <w:p>
            <w:pPr>
              <w:jc w:val="left"/>
            </w:pPr>
            <w:r>
              <w:rPr>
                <w:color w:val="000000"/>
                <w:sz w:val="24"/>
              </w:rPr>
              <w:t>过去一年</w:t>
            </w:r>
          </w:p>
        </w:tc>
        <w:tc>
          <w:tcPr>
            <w:vAlign w:val="center"/>
          </w:tcPr>
          <w:p>
            <w:pPr>
              <w:jc w:val="center"/>
            </w:pPr>
            <w:r>
              <w:rPr>
                <w:color w:val="000000"/>
                <w:sz w:val="24"/>
              </w:rPr>
              <w:t>63.11%</w:t>
            </w:r>
          </w:p>
        </w:tc>
        <w:tc>
          <w:tcPr>
            <w:vAlign w:val="center"/>
          </w:tcPr>
          <w:p>
            <w:pPr>
              <w:jc w:val="center"/>
            </w:pPr>
            <w:r>
              <w:rPr>
                <w:color w:val="000000"/>
                <w:sz w:val="24"/>
              </w:rPr>
              <w:t>1.69%</w:t>
            </w:r>
          </w:p>
        </w:tc>
        <w:tc>
          <w:tcPr>
            <w:vAlign w:val="center"/>
          </w:tcPr>
          <w:p>
            <w:pPr>
              <w:jc w:val="center"/>
            </w:pPr>
            <w:r>
              <w:rPr>
                <w:color w:val="000000"/>
                <w:sz w:val="24"/>
              </w:rPr>
              <w:t>3.56%</w:t>
            </w:r>
          </w:p>
        </w:tc>
        <w:tc>
          <w:tcPr>
            <w:vAlign w:val="center"/>
          </w:tcPr>
          <w:p>
            <w:pPr>
              <w:jc w:val="center"/>
            </w:pPr>
            <w:r>
              <w:rPr>
                <w:color w:val="000000"/>
                <w:sz w:val="24"/>
              </w:rPr>
              <w:t>0.01%</w:t>
            </w:r>
          </w:p>
        </w:tc>
        <w:tc>
          <w:tcPr>
            <w:vAlign w:val="center"/>
          </w:tcPr>
          <w:p>
            <w:pPr>
              <w:jc w:val="center"/>
            </w:pPr>
            <w:r>
              <w:rPr>
                <w:color w:val="000000"/>
                <w:sz w:val="24"/>
              </w:rPr>
              <w:t>59.55%</w:t>
            </w:r>
          </w:p>
        </w:tc>
        <w:tc>
          <w:tcPr>
            <w:vAlign w:val="center"/>
          </w:tcPr>
          <w:p>
            <w:pPr>
              <w:jc w:val="center"/>
            </w:pPr>
            <w:r>
              <w:rPr>
                <w:color w:val="000000"/>
                <w:sz w:val="24"/>
              </w:rPr>
              <w:t>1.68%</w:t>
            </w:r>
          </w:p>
        </w:tc>
      </w:tr>
      <w:tr>
        <w:tc>
          <w:tcPr>
            <w:vAlign w:val="center"/>
          </w:tcPr>
          <w:p>
            <w:pPr>
              <w:jc w:val="left"/>
            </w:pPr>
            <w:r>
              <w:rPr>
                <w:color w:val="000000"/>
                <w:sz w:val="24"/>
              </w:rPr>
              <w:t>过去三年</w:t>
            </w:r>
          </w:p>
        </w:tc>
        <w:tc>
          <w:tcPr>
            <w:vAlign w:val="center"/>
          </w:tcPr>
          <w:p>
            <w:pPr>
              <w:jc w:val="center"/>
            </w:pPr>
            <w:r>
              <w:rPr>
                <w:color w:val="000000"/>
                <w:sz w:val="24"/>
              </w:rPr>
              <w:t>50.38%</w:t>
            </w:r>
          </w:p>
        </w:tc>
        <w:tc>
          <w:tcPr>
            <w:vAlign w:val="center"/>
          </w:tcPr>
          <w:p>
            <w:pPr>
              <w:jc w:val="center"/>
            </w:pPr>
            <w:r>
              <w:rPr>
                <w:color w:val="000000"/>
                <w:sz w:val="24"/>
              </w:rPr>
              <w:t>1.59%</w:t>
            </w:r>
          </w:p>
        </w:tc>
        <w:tc>
          <w:tcPr>
            <w:vAlign w:val="center"/>
          </w:tcPr>
          <w:p>
            <w:pPr>
              <w:jc w:val="center"/>
            </w:pPr>
            <w:r>
              <w:rPr>
                <w:color w:val="000000"/>
                <w:sz w:val="24"/>
              </w:rPr>
              <w:t>10.66%</w:t>
            </w:r>
          </w:p>
        </w:tc>
        <w:tc>
          <w:tcPr>
            <w:vAlign w:val="center"/>
          </w:tcPr>
          <w:p>
            <w:pPr>
              <w:jc w:val="center"/>
            </w:pPr>
            <w:r>
              <w:rPr>
                <w:color w:val="000000"/>
                <w:sz w:val="24"/>
              </w:rPr>
              <w:t>0.01%</w:t>
            </w:r>
          </w:p>
        </w:tc>
        <w:tc>
          <w:tcPr>
            <w:vAlign w:val="center"/>
          </w:tcPr>
          <w:p>
            <w:pPr>
              <w:jc w:val="center"/>
            </w:pPr>
            <w:r>
              <w:rPr>
                <w:color w:val="000000"/>
                <w:sz w:val="24"/>
              </w:rPr>
              <w:t>39.72%</w:t>
            </w:r>
          </w:p>
        </w:tc>
        <w:tc>
          <w:tcPr>
            <w:vAlign w:val="center"/>
          </w:tcPr>
          <w:p>
            <w:pPr>
              <w:jc w:val="center"/>
            </w:pPr>
            <w:r>
              <w:rPr>
                <w:color w:val="000000"/>
                <w:sz w:val="24"/>
              </w:rPr>
              <w:t>1.58%</w:t>
            </w:r>
          </w:p>
        </w:tc>
      </w:tr>
      <w:tr>
        <w:tc>
          <w:tcPr>
            <w:vAlign w:val="center"/>
          </w:tcPr>
          <w:p>
            <w:pPr>
              <w:jc w:val="left"/>
            </w:pPr>
            <w:r>
              <w:rPr>
                <w:color w:val="000000"/>
                <w:sz w:val="24"/>
              </w:rPr>
              <w:t>过去五年</w:t>
            </w:r>
          </w:p>
        </w:tc>
        <w:tc>
          <w:tcPr>
            <w:vAlign w:val="center"/>
          </w:tcPr>
          <w:p>
            <w:pPr>
              <w:jc w:val="center"/>
            </w:pPr>
            <w:r>
              <w:rPr>
                <w:color w:val="000000"/>
                <w:sz w:val="24"/>
              </w:rPr>
              <w:t>100.30%</w:t>
            </w:r>
          </w:p>
        </w:tc>
        <w:tc>
          <w:tcPr>
            <w:vAlign w:val="center"/>
          </w:tcPr>
          <w:p>
            <w:pPr>
              <w:jc w:val="center"/>
            </w:pPr>
            <w:r>
              <w:rPr>
                <w:color w:val="000000"/>
                <w:sz w:val="24"/>
              </w:rPr>
              <w:t>1.59%</w:t>
            </w:r>
          </w:p>
        </w:tc>
        <w:tc>
          <w:tcPr>
            <w:vAlign w:val="center"/>
          </w:tcPr>
          <w:p>
            <w:pPr>
              <w:jc w:val="center"/>
            </w:pPr>
            <w:r>
              <w:rPr>
                <w:color w:val="000000"/>
                <w:sz w:val="24"/>
              </w:rPr>
              <w:t>17.88%</w:t>
            </w:r>
          </w:p>
        </w:tc>
        <w:tc>
          <w:tcPr>
            <w:vAlign w:val="center"/>
          </w:tcPr>
          <w:p>
            <w:pPr>
              <w:jc w:val="center"/>
            </w:pPr>
            <w:r>
              <w:rPr>
                <w:color w:val="000000"/>
                <w:sz w:val="24"/>
              </w:rPr>
              <w:t>0.01%</w:t>
            </w:r>
          </w:p>
        </w:tc>
        <w:tc>
          <w:tcPr>
            <w:vAlign w:val="center"/>
          </w:tcPr>
          <w:p>
            <w:pPr>
              <w:jc w:val="center"/>
            </w:pPr>
            <w:r>
              <w:rPr>
                <w:color w:val="000000"/>
                <w:sz w:val="24"/>
              </w:rPr>
              <w:t>82.42%</w:t>
            </w:r>
          </w:p>
        </w:tc>
        <w:tc>
          <w:tcPr>
            <w:vAlign w:val="center"/>
          </w:tcPr>
          <w:p>
            <w:pPr>
              <w:jc w:val="center"/>
            </w:pPr>
            <w:r>
              <w:rPr>
                <w:color w:val="000000"/>
                <w:sz w:val="24"/>
              </w:rPr>
              <w:t>1.58%</w:t>
            </w:r>
          </w:p>
        </w:tc>
      </w:tr>
      <w:tr>
        <w:tc>
          <w:tcPr>
            <w:vAlign w:val="center"/>
          </w:tcPr>
          <w:p>
            <w:pPr>
              <w:jc w:val="left"/>
            </w:pPr>
            <w:r>
              <w:rPr>
                <w:color w:val="000000"/>
                <w:sz w:val="24"/>
              </w:rPr>
              <w:t>自基金合同生效起至今</w:t>
            </w:r>
          </w:p>
        </w:tc>
        <w:tc>
          <w:tcPr>
            <w:vAlign w:val="center"/>
          </w:tcPr>
          <w:p>
            <w:pPr>
              <w:jc w:val="center"/>
            </w:pPr>
            <w:r>
              <w:rPr>
                <w:color w:val="000000"/>
                <w:sz w:val="24"/>
              </w:rPr>
              <w:t>100.30%</w:t>
            </w:r>
          </w:p>
        </w:tc>
        <w:tc>
          <w:tcPr>
            <w:vAlign w:val="center"/>
          </w:tcPr>
          <w:p>
            <w:pPr>
              <w:jc w:val="center"/>
            </w:pPr>
            <w:r>
              <w:rPr>
                <w:color w:val="000000"/>
                <w:sz w:val="24"/>
              </w:rPr>
              <w:t>1.59%</w:t>
            </w:r>
          </w:p>
        </w:tc>
        <w:tc>
          <w:tcPr>
            <w:vAlign w:val="center"/>
          </w:tcPr>
          <w:p>
            <w:pPr>
              <w:jc w:val="center"/>
            </w:pPr>
            <w:r>
              <w:rPr>
                <w:color w:val="000000"/>
                <w:sz w:val="24"/>
              </w:rPr>
              <w:t>17.94%</w:t>
            </w:r>
          </w:p>
        </w:tc>
        <w:tc>
          <w:tcPr>
            <w:vAlign w:val="center"/>
          </w:tcPr>
          <w:p>
            <w:pPr>
              <w:jc w:val="center"/>
            </w:pPr>
            <w:r>
              <w:rPr>
                <w:color w:val="000000"/>
                <w:sz w:val="24"/>
              </w:rPr>
              <w:t>0.01%</w:t>
            </w:r>
          </w:p>
        </w:tc>
        <w:tc>
          <w:tcPr>
            <w:vAlign w:val="center"/>
          </w:tcPr>
          <w:p>
            <w:pPr>
              <w:jc w:val="center"/>
            </w:pPr>
            <w:r>
              <w:rPr>
                <w:color w:val="000000"/>
                <w:sz w:val="24"/>
              </w:rPr>
              <w:t>82.36%</w:t>
            </w:r>
          </w:p>
        </w:tc>
        <w:tc>
          <w:tcPr>
            <w:vAlign w:val="center"/>
          </w:tcPr>
          <w:p>
            <w:pPr>
              <w:jc w:val="center"/>
            </w:pPr>
            <w:r>
              <w:rPr>
                <w:color w:val="000000"/>
                <w:sz w:val="24"/>
              </w:rPr>
              <w:t>1.58%</w:t>
            </w:r>
          </w:p>
        </w:tc>
      </w:tr>
    </w:tbl>
    <w:p w:rsidP="00174038" w:rsidR="00F016DD" w:rsidRDefault="00F016DD" w:rsidRPr="0078105B">
      <w:pPr>
        <w:adjustRightInd w:val="0"/>
        <w:spacing w:line="360" w:lineRule="auto"/>
        <w:ind w:firstLine="361" w:firstLineChars="150"/>
        <w:rPr>
          <w:rFonts w:ascii="宋体" w:cs="Arial"/>
          <w:b/>
          <w:color w:val="000000"/>
          <w:kern w:val="0"/>
          <w:sz w:val="24"/>
        </w:rPr>
      </w:pPr>
      <w:r w:rsidRPr="0078105B">
        <w:rPr>
          <w:rFonts w:ascii="宋体" w:cs="Arial"/>
          <w:b/>
          <w:color w:val="000000"/>
          <w:kern w:val="0"/>
          <w:sz w:val="24"/>
        </w:rPr>
        <w:t/>
      </w:r>
      <w:proofErr w:type="gramStart"/>
      <w:r w:rsidRPr="0078105B">
        <w:rPr>
          <w:rFonts w:ascii="宋体" w:cs="Arial" w:hAnsi="宋体"/>
          <w:b/>
          <w:color w:val="000000"/>
          <w:kern w:val="0"/>
          <w:sz w:val="24"/>
        </w:rPr>
        <w:t/>
      </w:r>
      <w:proofErr w:type="gramEnd"/>
      <w:r w:rsidRPr="0078105B">
        <w:rPr>
          <w:rFonts w:ascii="宋体" w:cs="Arial" w:hAnsi="宋体"/>
          <w:b/>
          <w:color w:val="000000"/>
          <w:kern w:val="0"/>
          <w:sz w:val="24"/>
        </w:rPr>
        <w:t>易方达瑞享混合E</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290"/>
        <w:gridCol w:w="1291"/>
        <w:gridCol w:w="1291"/>
        <w:gridCol w:w="1291"/>
        <w:gridCol w:w="1291"/>
        <w:gridCol w:w="1291"/>
        <w:gridCol w:w="1291"/>
      </w:tblGrid>
      <w:tr w:rsidR="00F016DD" w:rsidRPr="0078105B" w:rsidTr="00F4518C">
        <w:tc>
          <w:tcPr>
            <w:tcW w:type="dxa" w:w="1290"/>
            <w:vAlign w:val="center"/>
          </w:tcPr>
          <w:p w:rsidP="00F4518C" w:rsidR="00F016DD" w:rsidRDefault="00F016DD" w:rsidRPr="00FA472B">
            <w:pPr>
              <w:snapToGrid w:val="0"/>
              <w:spacing w:line="288" w:lineRule="auto"/>
              <w:jc w:val="center"/>
              <w:rPr>
                <w:color w:val="000000"/>
                <w:sz w:val="24"/>
              </w:rPr>
            </w:pPr>
            <w:r w:rsidRPr="00FA472B">
              <w:rPr>
                <w:color w:val="000000"/>
                <w:sz w:val="24"/>
              </w:rPr>
              <w:t>阶段</w:t>
            </w:r>
            <w:r w:rsidRPr="00FA472B">
              <w:rPr>
                <w:color w:val="000000"/>
                <w:sz w:val="24"/>
              </w:rPr>
              <w:t/>
            </w:r>
            <w:proofErr w:type="spellStart"/>
            <w:r w:rsidRPr="00FA472B">
              <w:rPr>
                <w:color w:val="000000"/>
                <w:sz w:val="24"/>
              </w:rPr>
              <w:t/>
            </w:r>
            <w:proofErr w:type="spellEnd"/>
            <w:r w:rsidRPr="00FA472B">
              <w:rPr>
                <w:color w:val="000000"/>
                <w:sz w:val="24"/>
              </w:rPr>
              <w:t/>
            </w:r>
          </w:p>
        </w:tc>
        <w:tc>
          <w:tcPr>
            <w:tcW w:type="dxa" w:w="1291"/>
            <w:vAlign w:val="center"/>
          </w:tcPr>
          <w:p w:rsidP="00F4518C" w:rsidR="00F016DD" w:rsidRDefault="00F016DD" w:rsidRPr="00FA472B">
            <w:pPr>
              <w:snapToGrid w:val="0"/>
              <w:spacing w:line="288" w:lineRule="auto"/>
              <w:jc w:val="center"/>
              <w:rPr>
                <w:color w:val="000000"/>
                <w:sz w:val="24"/>
                <w:highlight w:val="green"/>
              </w:rPr>
            </w:pPr>
            <w:r w:rsidRPr="00FA472B">
              <w:rPr>
                <w:color w:val="000000"/>
                <w:sz w:val="24"/>
              </w:rPr>
              <w:t>净值增长率</w:t>
            </w:r>
            <w:r w:rsidRPr="00414367">
              <w:rPr>
                <w:rFonts w:ascii="宋体" w:cs="宋体" w:hAnsi="宋体" w:hint="eastAsia"/>
                <w:color w:val="000000"/>
                <w:sz w:val="24"/>
              </w:rPr>
              <w:t>①</w:t>
            </w:r>
          </w:p>
        </w:tc>
        <w:tc>
          <w:tcPr>
            <w:tcW w:type="dxa" w:w="1291"/>
            <w:vAlign w:val="center"/>
          </w:tcPr>
          <w:p w:rsidP="00F4518C" w:rsidR="00F016DD" w:rsidRDefault="00F016DD" w:rsidRPr="00FA472B">
            <w:pPr>
              <w:snapToGrid w:val="0"/>
              <w:spacing w:line="288" w:lineRule="auto"/>
              <w:jc w:val="center"/>
              <w:rPr>
                <w:color w:val="000000"/>
                <w:sz w:val="24"/>
                <w:highlight w:val="green"/>
              </w:rPr>
            </w:pPr>
            <w:r w:rsidRPr="00FA472B">
              <w:rPr>
                <w:color w:val="000000"/>
                <w:sz w:val="24"/>
              </w:rPr>
              <w:t>净值增长率标准差</w:t>
            </w:r>
            <w:r w:rsidRPr="00414367">
              <w:rPr>
                <w:rFonts w:ascii="宋体" w:cs="宋体" w:hAnsi="宋体" w:hint="eastAsia"/>
                <w:color w:val="000000"/>
                <w:sz w:val="24"/>
              </w:rPr>
              <w:t>②</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业绩比较基准收益率标准差</w:t>
            </w:r>
            <w:r w:rsidRPr="00414367">
              <w:rPr>
                <w:rFonts w:ascii="宋体" w:cs="宋体" w:hAnsi="宋体" w:hint="eastAsia"/>
                <w:color w:val="000000"/>
                <w:sz w:val="24"/>
              </w:rPr>
              <w:t>④</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①</w:t>
            </w:r>
            <w:r w:rsidRPr="00FA472B">
              <w:rPr>
                <w:color w:val="000000"/>
                <w:sz w:val="24"/>
              </w:rPr>
              <w:t>－</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②</w:t>
            </w:r>
            <w:r w:rsidRPr="00FA472B">
              <w:rPr>
                <w:color w:val="000000"/>
                <w:sz w:val="24"/>
              </w:rPr>
              <w:t>－</w:t>
            </w:r>
            <w:r w:rsidRPr="00414367">
              <w:rPr>
                <w:rFonts w:ascii="宋体" w:cs="宋体" w:hAnsi="宋体" w:hint="eastAsia"/>
                <w:color w:val="000000"/>
                <w:sz w:val="24"/>
              </w:rPr>
              <w:t>④</w:t>
            </w:r>
          </w:p>
        </w:tc>
      </w:tr>
      <w:tr>
        <w:tc>
          <w:tcPr>
            <w:vAlign w:val="center"/>
          </w:tcPr>
          <w:p>
            <w:pPr>
              <w:jc w:val="left"/>
            </w:pPr>
            <w:r>
              <w:rPr>
                <w:color w:val="000000"/>
                <w:sz w:val="24"/>
              </w:rPr>
              <w:t>过去三个月</w:t>
            </w:r>
          </w:p>
        </w:tc>
        <w:tc>
          <w:tcPr>
            <w:vAlign w:val="center"/>
          </w:tcPr>
          <w:p>
            <w:pPr>
              <w:jc w:val="center"/>
            </w:pPr>
            <w:r>
              <w:rPr>
                <w:color w:val="000000"/>
                <w:sz w:val="24"/>
              </w:rPr>
              <w:t>37.38%</w:t>
            </w:r>
          </w:p>
        </w:tc>
        <w:tc>
          <w:tcPr>
            <w:vAlign w:val="center"/>
          </w:tcPr>
          <w:p>
            <w:pPr>
              <w:jc w:val="center"/>
            </w:pPr>
            <w:r>
              <w:rPr>
                <w:color w:val="000000"/>
                <w:sz w:val="24"/>
              </w:rPr>
              <w:t>1.41%</w:t>
            </w:r>
          </w:p>
        </w:tc>
        <w:tc>
          <w:tcPr>
            <w:vAlign w:val="center"/>
          </w:tcPr>
          <w:p>
            <w:pPr>
              <w:jc w:val="center"/>
            </w:pPr>
            <w:r>
              <w:rPr>
                <w:color w:val="000000"/>
                <w:sz w:val="24"/>
              </w:rPr>
              <w:t>0.88%</w:t>
            </w:r>
          </w:p>
        </w:tc>
        <w:tc>
          <w:tcPr>
            <w:vAlign w:val="center"/>
          </w:tcPr>
          <w:p>
            <w:pPr>
              <w:jc w:val="center"/>
            </w:pPr>
            <w:r>
              <w:rPr>
                <w:color w:val="000000"/>
                <w:sz w:val="24"/>
              </w:rPr>
              <w:t>0.01%</w:t>
            </w:r>
          </w:p>
        </w:tc>
        <w:tc>
          <w:tcPr>
            <w:vAlign w:val="center"/>
          </w:tcPr>
          <w:p>
            <w:pPr>
              <w:jc w:val="center"/>
            </w:pPr>
            <w:r>
              <w:rPr>
                <w:color w:val="000000"/>
                <w:sz w:val="24"/>
              </w:rPr>
              <w:t>36.50%</w:t>
            </w:r>
          </w:p>
        </w:tc>
        <w:tc>
          <w:tcPr>
            <w:vAlign w:val="center"/>
          </w:tcPr>
          <w:p>
            <w:pPr>
              <w:jc w:val="center"/>
            </w:pPr>
            <w:r>
              <w:rPr>
                <w:color w:val="000000"/>
                <w:sz w:val="24"/>
              </w:rPr>
              <w:t>1.40%</w:t>
            </w:r>
          </w:p>
        </w:tc>
      </w:tr>
      <w:tr>
        <w:tc>
          <w:tcPr>
            <w:vAlign w:val="center"/>
          </w:tcPr>
          <w:p>
            <w:pPr>
              <w:jc w:val="left"/>
            </w:pPr>
            <w:r>
              <w:rPr>
                <w:color w:val="000000"/>
                <w:sz w:val="24"/>
              </w:rPr>
              <w:t>过去六个月</w:t>
            </w:r>
          </w:p>
        </w:tc>
        <w:tc>
          <w:tcPr>
            <w:vAlign w:val="center"/>
          </w:tcPr>
          <w:p>
            <w:pPr>
              <w:jc w:val="center"/>
            </w:pPr>
            <w:r>
              <w:rPr>
                <w:color w:val="000000"/>
                <w:sz w:val="24"/>
              </w:rPr>
              <w:t>35.01%</w:t>
            </w:r>
          </w:p>
        </w:tc>
        <w:tc>
          <w:tcPr>
            <w:vAlign w:val="center"/>
          </w:tcPr>
          <w:p>
            <w:pPr>
              <w:jc w:val="center"/>
            </w:pPr>
            <w:r>
              <w:rPr>
                <w:color w:val="000000"/>
                <w:sz w:val="24"/>
              </w:rPr>
              <w:t>2.06%</w:t>
            </w:r>
          </w:p>
        </w:tc>
        <w:tc>
          <w:tcPr>
            <w:vAlign w:val="center"/>
          </w:tcPr>
          <w:p>
            <w:pPr>
              <w:jc w:val="center"/>
            </w:pPr>
            <w:r>
              <w:rPr>
                <w:color w:val="000000"/>
                <w:sz w:val="24"/>
              </w:rPr>
              <w:t>1.77%</w:t>
            </w:r>
          </w:p>
        </w:tc>
        <w:tc>
          <w:tcPr>
            <w:vAlign w:val="center"/>
          </w:tcPr>
          <w:p>
            <w:pPr>
              <w:jc w:val="center"/>
            </w:pPr>
            <w:r>
              <w:rPr>
                <w:color w:val="000000"/>
                <w:sz w:val="24"/>
              </w:rPr>
              <w:t>0.01%</w:t>
            </w:r>
          </w:p>
        </w:tc>
        <w:tc>
          <w:tcPr>
            <w:vAlign w:val="center"/>
          </w:tcPr>
          <w:p>
            <w:pPr>
              <w:jc w:val="center"/>
            </w:pPr>
            <w:r>
              <w:rPr>
                <w:color w:val="000000"/>
                <w:sz w:val="24"/>
              </w:rPr>
              <w:t>33.24%</w:t>
            </w:r>
          </w:p>
        </w:tc>
        <w:tc>
          <w:tcPr>
            <w:vAlign w:val="center"/>
          </w:tcPr>
          <w:p>
            <w:pPr>
              <w:jc w:val="center"/>
            </w:pPr>
            <w:r>
              <w:rPr>
                <w:color w:val="000000"/>
                <w:sz w:val="24"/>
              </w:rPr>
              <w:t>2.05%</w:t>
            </w:r>
          </w:p>
        </w:tc>
      </w:tr>
      <w:tr>
        <w:tc>
          <w:tcPr>
            <w:vAlign w:val="center"/>
          </w:tcPr>
          <w:p>
            <w:pPr>
              <w:jc w:val="left"/>
            </w:pPr>
            <w:r>
              <w:rPr>
                <w:color w:val="000000"/>
                <w:sz w:val="24"/>
              </w:rPr>
              <w:t>过去一年</w:t>
            </w:r>
          </w:p>
        </w:tc>
        <w:tc>
          <w:tcPr>
            <w:vAlign w:val="center"/>
          </w:tcPr>
          <w:p>
            <w:pPr>
              <w:jc w:val="center"/>
            </w:pPr>
            <w:r>
              <w:rPr>
                <w:color w:val="000000"/>
                <w:sz w:val="24"/>
              </w:rPr>
              <w:t>62.76%</w:t>
            </w:r>
          </w:p>
        </w:tc>
        <w:tc>
          <w:tcPr>
            <w:vAlign w:val="center"/>
          </w:tcPr>
          <w:p>
            <w:pPr>
              <w:jc w:val="center"/>
            </w:pPr>
            <w:r>
              <w:rPr>
                <w:color w:val="000000"/>
                <w:sz w:val="24"/>
              </w:rPr>
              <w:t>1.68%</w:t>
            </w:r>
          </w:p>
        </w:tc>
        <w:tc>
          <w:tcPr>
            <w:vAlign w:val="center"/>
          </w:tcPr>
          <w:p>
            <w:pPr>
              <w:jc w:val="center"/>
            </w:pPr>
            <w:r>
              <w:rPr>
                <w:color w:val="000000"/>
                <w:sz w:val="24"/>
              </w:rPr>
              <w:t>3.56%</w:t>
            </w:r>
          </w:p>
        </w:tc>
        <w:tc>
          <w:tcPr>
            <w:vAlign w:val="center"/>
          </w:tcPr>
          <w:p>
            <w:pPr>
              <w:jc w:val="center"/>
            </w:pPr>
            <w:r>
              <w:rPr>
                <w:color w:val="000000"/>
                <w:sz w:val="24"/>
              </w:rPr>
              <w:t>0.01%</w:t>
            </w:r>
          </w:p>
        </w:tc>
        <w:tc>
          <w:tcPr>
            <w:vAlign w:val="center"/>
          </w:tcPr>
          <w:p>
            <w:pPr>
              <w:jc w:val="center"/>
            </w:pPr>
            <w:r>
              <w:rPr>
                <w:color w:val="000000"/>
                <w:sz w:val="24"/>
              </w:rPr>
              <w:t>59.20%</w:t>
            </w:r>
          </w:p>
        </w:tc>
        <w:tc>
          <w:tcPr>
            <w:vAlign w:val="center"/>
          </w:tcPr>
          <w:p>
            <w:pPr>
              <w:jc w:val="center"/>
            </w:pPr>
            <w:r>
              <w:rPr>
                <w:color w:val="000000"/>
                <w:sz w:val="24"/>
              </w:rPr>
              <w:t>1.67%</w:t>
            </w:r>
          </w:p>
        </w:tc>
      </w:tr>
      <w:tr>
        <w:tc>
          <w:tcPr>
            <w:vAlign w:val="center"/>
          </w:tcPr>
          <w:p>
            <w:pPr>
              <w:jc w:val="left"/>
            </w:pPr>
            <w:r>
              <w:rPr>
                <w:color w:val="000000"/>
                <w:sz w:val="24"/>
              </w:rPr>
              <w:t>过去三年</w:t>
            </w:r>
          </w:p>
        </w:tc>
        <w:tc>
          <w:tcPr>
            <w:vAlign w:val="center"/>
          </w:tcPr>
          <w:p>
            <w:pPr>
              <w:jc w:val="center"/>
            </w:pPr>
            <w:r>
              <w:rPr>
                <w:color w:val="000000"/>
                <w:sz w:val="24"/>
              </w:rPr>
              <w:t>49.54%</w:t>
            </w:r>
          </w:p>
        </w:tc>
        <w:tc>
          <w:tcPr>
            <w:vAlign w:val="center"/>
          </w:tcPr>
          <w:p>
            <w:pPr>
              <w:jc w:val="center"/>
            </w:pPr>
            <w:r>
              <w:rPr>
                <w:color w:val="000000"/>
                <w:sz w:val="24"/>
              </w:rPr>
              <w:t>1.58%</w:t>
            </w:r>
          </w:p>
        </w:tc>
        <w:tc>
          <w:tcPr>
            <w:vAlign w:val="center"/>
          </w:tcPr>
          <w:p>
            <w:pPr>
              <w:jc w:val="center"/>
            </w:pPr>
            <w:r>
              <w:rPr>
                <w:color w:val="000000"/>
                <w:sz w:val="24"/>
              </w:rPr>
              <w:t>10.66%</w:t>
            </w:r>
          </w:p>
        </w:tc>
        <w:tc>
          <w:tcPr>
            <w:vAlign w:val="center"/>
          </w:tcPr>
          <w:p>
            <w:pPr>
              <w:jc w:val="center"/>
            </w:pPr>
            <w:r>
              <w:rPr>
                <w:color w:val="000000"/>
                <w:sz w:val="24"/>
              </w:rPr>
              <w:t>0.01%</w:t>
            </w:r>
          </w:p>
        </w:tc>
        <w:tc>
          <w:tcPr>
            <w:vAlign w:val="center"/>
          </w:tcPr>
          <w:p>
            <w:pPr>
              <w:jc w:val="center"/>
            </w:pPr>
            <w:r>
              <w:rPr>
                <w:color w:val="000000"/>
                <w:sz w:val="24"/>
              </w:rPr>
              <w:t>38.88%</w:t>
            </w:r>
          </w:p>
        </w:tc>
        <w:tc>
          <w:tcPr>
            <w:vAlign w:val="center"/>
          </w:tcPr>
          <w:p>
            <w:pPr>
              <w:jc w:val="center"/>
            </w:pPr>
            <w:r>
              <w:rPr>
                <w:color w:val="000000"/>
                <w:sz w:val="24"/>
              </w:rPr>
              <w:t>1.57%</w:t>
            </w:r>
          </w:p>
        </w:tc>
      </w:tr>
      <w:tr>
        <w:tc>
          <w:tcPr>
            <w:vAlign w:val="center"/>
          </w:tcPr>
          <w:p>
            <w:pPr>
              <w:jc w:val="left"/>
            </w:pPr>
            <w:r>
              <w:rPr>
                <w:color w:val="000000"/>
                <w:sz w:val="24"/>
              </w:rPr>
              <w:t>过去五年</w:t>
            </w:r>
          </w:p>
        </w:tc>
        <w:tc>
          <w:tcPr>
            <w:vAlign w:val="center"/>
          </w:tcPr>
          <w:p>
            <w:pPr>
              <w:jc w:val="center"/>
            </w:pPr>
            <w:r>
              <w:rPr>
                <w:color w:val="000000"/>
                <w:sz w:val="24"/>
              </w:rPr>
              <w:t>63.90%</w:t>
            </w:r>
          </w:p>
        </w:tc>
        <w:tc>
          <w:tcPr>
            <w:vAlign w:val="center"/>
          </w:tcPr>
          <w:p>
            <w:pPr>
              <w:jc w:val="center"/>
            </w:pPr>
            <w:r>
              <w:rPr>
                <w:color w:val="000000"/>
                <w:sz w:val="24"/>
              </w:rPr>
              <w:t>1.47%</w:t>
            </w:r>
          </w:p>
        </w:tc>
        <w:tc>
          <w:tcPr>
            <w:vAlign w:val="center"/>
          </w:tcPr>
          <w:p>
            <w:pPr>
              <w:jc w:val="center"/>
            </w:pPr>
            <w:r>
              <w:rPr>
                <w:color w:val="000000"/>
                <w:sz w:val="24"/>
              </w:rPr>
              <w:t>17.88%</w:t>
            </w:r>
          </w:p>
        </w:tc>
        <w:tc>
          <w:tcPr>
            <w:vAlign w:val="center"/>
          </w:tcPr>
          <w:p>
            <w:pPr>
              <w:jc w:val="center"/>
            </w:pPr>
            <w:r>
              <w:rPr>
                <w:color w:val="000000"/>
                <w:sz w:val="24"/>
              </w:rPr>
              <w:t>0.01%</w:t>
            </w:r>
          </w:p>
        </w:tc>
        <w:tc>
          <w:tcPr>
            <w:vAlign w:val="center"/>
          </w:tcPr>
          <w:p>
            <w:pPr>
              <w:jc w:val="center"/>
            </w:pPr>
            <w:r>
              <w:rPr>
                <w:color w:val="000000"/>
                <w:sz w:val="24"/>
              </w:rPr>
              <w:t>46.02%</w:t>
            </w:r>
          </w:p>
        </w:tc>
        <w:tc>
          <w:tcPr>
            <w:vAlign w:val="center"/>
          </w:tcPr>
          <w:p>
            <w:pPr>
              <w:jc w:val="center"/>
            </w:pPr>
            <w:r>
              <w:rPr>
                <w:color w:val="000000"/>
                <w:sz w:val="24"/>
              </w:rPr>
              <w:t>1.46%</w:t>
            </w:r>
          </w:p>
        </w:tc>
      </w:tr>
      <w:tr>
        <w:tc>
          <w:tcPr>
            <w:vAlign w:val="center"/>
          </w:tcPr>
          <w:p>
            <w:pPr>
              <w:jc w:val="left"/>
            </w:pPr>
            <w:r>
              <w:rPr>
                <w:color w:val="000000"/>
                <w:sz w:val="24"/>
              </w:rPr>
              <w:t>自基金合同生效起至今</w:t>
            </w:r>
          </w:p>
        </w:tc>
        <w:tc>
          <w:tcPr>
            <w:vAlign w:val="center"/>
          </w:tcPr>
          <w:p>
            <w:pPr>
              <w:jc w:val="center"/>
            </w:pPr>
            <w:r>
              <w:rPr>
                <w:color w:val="000000"/>
                <w:sz w:val="24"/>
              </w:rPr>
              <w:t>63.90%</w:t>
            </w:r>
          </w:p>
        </w:tc>
        <w:tc>
          <w:tcPr>
            <w:vAlign w:val="center"/>
          </w:tcPr>
          <w:p>
            <w:pPr>
              <w:jc w:val="center"/>
            </w:pPr>
            <w:r>
              <w:rPr>
                <w:color w:val="000000"/>
                <w:sz w:val="24"/>
              </w:rPr>
              <w:t>1.47%</w:t>
            </w:r>
          </w:p>
        </w:tc>
        <w:tc>
          <w:tcPr>
            <w:vAlign w:val="center"/>
          </w:tcPr>
          <w:p>
            <w:pPr>
              <w:jc w:val="center"/>
            </w:pPr>
            <w:r>
              <w:rPr>
                <w:color w:val="000000"/>
                <w:sz w:val="24"/>
              </w:rPr>
              <w:t>17.94%</w:t>
            </w:r>
          </w:p>
        </w:tc>
        <w:tc>
          <w:tcPr>
            <w:vAlign w:val="center"/>
          </w:tcPr>
          <w:p>
            <w:pPr>
              <w:jc w:val="center"/>
            </w:pPr>
            <w:r>
              <w:rPr>
                <w:color w:val="000000"/>
                <w:sz w:val="24"/>
              </w:rPr>
              <w:t>0.01%</w:t>
            </w:r>
          </w:p>
        </w:tc>
        <w:tc>
          <w:tcPr>
            <w:vAlign w:val="center"/>
          </w:tcPr>
          <w:p>
            <w:pPr>
              <w:jc w:val="center"/>
            </w:pPr>
            <w:r>
              <w:rPr>
                <w:color w:val="000000"/>
                <w:sz w:val="24"/>
              </w:rPr>
              <w:t>45.96%</w:t>
            </w:r>
          </w:p>
        </w:tc>
        <w:tc>
          <w:tcPr>
            <w:vAlign w:val="center"/>
          </w:tcPr>
          <w:p>
            <w:pPr>
              <w:jc w:val="center"/>
            </w:pPr>
            <w:r>
              <w:rPr>
                <w:color w:val="000000"/>
                <w:sz w:val="24"/>
              </w:rPr>
              <w:t>1.46%</w:t>
            </w:r>
          </w:p>
        </w:tc>
      </w:tr>
    </w:tbl>
    <w:p w:rsidP="00FC13C8" w:rsidR="00F016DD" w:rsidRDefault="00F016DD" w:rsidRPr="0078105B">
      <w:pPr>
        <w:spacing w:line="360" w:lineRule="auto"/>
        <w:rPr>
          <w:rFonts w:ascii="宋体" w:cs="Arial"/>
          <w:b/>
          <w:color w:val="000000"/>
          <w:kern w:val="0"/>
          <w:sz w:val="24"/>
        </w:rPr>
      </w:pPr>
      <w:r w:rsidRPr="0078105B">
        <w:rPr>
          <w:rFonts w:ascii="宋体" w:cs="Arial" w:hAnsi="宋体"/>
          <w:b/>
          <w:color w:val="000000"/>
          <w:kern w:val="0"/>
          <w:sz w:val="24"/>
        </w:rPr>
        <w:t>3.2.2</w:t>
      </w:r>
      <w:r w:rsidRPr="0078105B">
        <w:rPr>
          <w:rFonts w:ascii="宋体" w:cs="Arial" w:hAnsi="宋体" w:hint="eastAsia"/>
          <w:b/>
          <w:color w:val="000000"/>
          <w:kern w:val="0"/>
          <w:sz w:val="24"/>
        </w:rPr>
        <w:t xml:space="preserve">　</w:t>
      </w:r>
      <w:r w:rsidR="00AE2480" w:rsidRPr="00370BEA">
        <w:rPr>
          <w:rStyle w:val="af6"/>
          <w:rFonts w:hint="eastAsia"/>
          <w:color w:val="000000"/>
          <w:sz w:val="24"/>
          <w:shd w:color="auto" w:fill="FFFFFF" w:val="clear"/>
        </w:rPr>
        <w:t/>
      </w:r>
      <w:proofErr w:type="spellStart"/>
      <w:r w:rsidR="00AE2480" w:rsidRPr="00370BEA">
        <w:rPr>
          <w:rStyle w:val="af6"/>
          <w:rFonts w:hint="eastAsia"/>
          <w:color w:val="000000"/>
          <w:sz w:val="24"/>
          <w:shd w:color="auto" w:fill="FFFFFF" w:val="clear"/>
        </w:rPr>
        <w:t/>
      </w:r>
      <w:proofErr w:type="spellEnd"/>
      <w:r w:rsidR="00AE2480" w:rsidRPr="00370BEA">
        <w:rPr>
          <w:rStyle w:val="af6"/>
          <w:rFonts w:hint="eastAsia"/>
          <w:color w:val="000000"/>
          <w:sz w:val="24"/>
          <w:shd w:color="auto" w:fill="FFFFFF" w:val="clear"/>
        </w:rPr>
        <w:t>自基金合同生效以来</w:t>
      </w:r>
      <w:r w:rsidRPr="0078105B">
        <w:rPr>
          <w:rFonts w:ascii="宋体" w:hAnsi="宋体" w:hint="eastAsia"/>
          <w:b/>
          <w:color w:val="000000"/>
          <w:sz w:val="24"/>
        </w:rPr>
        <w:t>基金累计净值增长率变动及其与同期业绩比较基准收益率变动的比较</w:t>
      </w:r>
    </w:p>
    <w:p w:rsidP="00FC13C8" w:rsidR="00F016DD" w:rsidRDefault="00F016DD" w:rsidRPr="00FA472B">
      <w:pPr>
        <w:spacing w:line="360" w:lineRule="auto"/>
        <w:jc w:val="center"/>
        <w:rPr>
          <w:color w:val="000000"/>
          <w:sz w:val="24"/>
        </w:rPr>
      </w:pPr>
      <w:r w:rsidRPr="00FA472B">
        <w:rPr>
          <w:color w:val="000000"/>
          <w:sz w:val="24"/>
        </w:rPr>
        <w:t/>
      </w:r>
      <w:proofErr w:type="spellStart"/>
      <w:proofErr w:type="gramStart"/>
      <w:r w:rsidRPr="00FA472B">
        <w:rPr>
          <w:color w:val="000000"/>
          <w:sz w:val="24"/>
        </w:rPr>
        <w:t/>
      </w:r>
      <w:proofErr w:type="spellEnd"/>
      <w:proofErr w:type="gramEnd"/>
      <w:r w:rsidRPr="00FA472B">
        <w:rPr>
          <w:color w:val="000000"/>
          <w:sz w:val="24"/>
        </w:rPr>
        <w:t>易方达瑞享灵活配置混合型证券投资基金</w:t>
      </w:r>
    </w:p>
    <w:p w:rsidP="00526282" w:rsidR="00526282" w:rsidRDefault="00F016DD">
      <w:pPr>
        <w:pStyle w:val="a5"/>
        <w:snapToGrid w:val="0"/>
        <w:spacing w:line="360" w:lineRule="auto"/>
        <w:jc w:val="center"/>
        <w:rPr>
          <w:rFonts w:ascii="Times New Roman" w:eastAsiaTheme="minorEastAsia" w:hAnsi="Times New Roman"/>
          <w:color w:themeColor="text1" w:val="000000"/>
          <w:sz w:val="24"/>
          <w:szCs w:val="24"/>
        </w:rPr>
      </w:pPr>
      <w:r w:rsidRPr="00FA472B">
        <w:rPr>
          <w:rFonts w:ascii="Times New Roman" w:hAnsi="Times New Roman"/>
          <w:color w:val="000000"/>
          <w:sz w:val="24"/>
          <w:szCs w:val="24"/>
        </w:rPr>
        <w:t>累计净值增长率与业绩比较基准收益率的历史走势对比图</w:t>
      </w:r>
    </w:p>
    <w:p w:rsidP="00D477DB" w:rsidR="00F016DD" w:rsidRDefault="00526282" w:rsidRPr="00FA472B">
      <w:pPr>
        <w:pStyle w:val="a5"/>
        <w:snapToGrid w:val="0"/>
        <w:spacing w:line="360" w:lineRule="auto"/>
        <w:jc w:val="center"/>
        <w:rPr>
          <w:rFonts w:ascii="Times New Roman" w:hAnsi="Times New Roman"/>
          <w:sz w:val="24"/>
          <w:szCs w:val="24"/>
        </w:rPr>
      </w:pPr>
      <w:r w:rsidRPr="00526282">
        <w:rPr>
          <w:rFonts w:ascii="Times New Roman" w:hAnsi="Times New Roman"/>
          <w:sz w:val="24"/>
          <w:szCs w:val="24"/>
        </w:rPr>
        <w:t/>
      </w:r>
      <w:proofErr w:type="spellStart"/>
      <w:proofErr w:type="gramStart"/>
      <w:r w:rsidRPr="00526282">
        <w:rPr>
          <w:rFonts w:ascii="Times New Roman" w:hAnsi="Times New Roman"/>
          <w:sz w:val="24"/>
          <w:szCs w:val="24"/>
        </w:rPr>
        <w:t/>
      </w:r>
      <w:proofErr w:type="spellEnd"/>
      <w:r w:rsidRPr="00526282">
        <w:rPr>
          <w:rFonts w:ascii="Times New Roman" w:hAnsi="Times New Roman"/>
          <w:sz w:val="24"/>
          <w:szCs w:val="24"/>
        </w:rPr>
        <w:t/>
      </w:r>
      <w:proofErr w:type="gramEnd"/>
      <w:r w:rsidRPr="00526282">
        <w:rPr>
          <w:rFonts w:ascii="Times New Roman" w:hAnsi="Times New Roman"/>
          <w:sz w:val="24"/>
          <w:szCs w:val="24"/>
        </w:rPr>
        <w:t>（2015年6月26日至2020年6月30日）</w:t>
      </w:r>
    </w:p>
    <w:p w:rsidP="00526282" w:rsidR="00526282" w:rsidRDefault="00F016DD">
      <w:pPr>
        <w:snapToGrid w:val="0"/>
        <w:spacing w:line="360" w:lineRule="auto"/>
        <w:rPr>
          <w:rFonts w:eastAsiaTheme="minorEastAsia" w:hAnsiTheme="minorEastAsia"/>
          <w:color w:themeColor="text1" w:val="000000"/>
          <w:sz w:val="24"/>
        </w:rPr>
      </w:pPr>
      <w:r w:rsidRPr="00611CB2">
        <w:rPr>
          <w:color w:val="000000"/>
          <w:sz w:val="24"/>
        </w:rPr>
        <w:t/>
      </w:r>
      <w:proofErr w:type="gramStart"/>
      <w:r w:rsidRPr="00611CB2">
        <w:rPr>
          <w:color w:val="000000"/>
          <w:sz w:val="24"/>
        </w:rPr>
        <w:t/>
      </w:r>
      <w:proofErr w:type="spellStart"/>
      <w:r w:rsidRPr="00611CB2">
        <w:rPr>
          <w:color w:val="000000"/>
          <w:sz w:val="24"/>
        </w:rPr>
        <w:t/>
      </w:r>
      <w:proofErr w:type="spellEnd"/>
      <w:r w:rsidRPr="00611CB2">
        <w:rPr>
          <w:color w:val="000000"/>
          <w:sz w:val="24"/>
        </w:rPr>
        <w:t/>
      </w:r>
      <w:proofErr w:type="gramEnd"/>
      <w:r w:rsidRPr="00611CB2">
        <w:rPr>
          <w:color w:val="000000"/>
          <w:sz w:val="24"/>
        </w:rPr>
        <w:t>易方达瑞享混合I</w:t>
      </w:r>
    </w:p>
    <w:p w:rsidP="00FC7F43" w:rsidR="00F016DD" w:rsidRDefault="0001612A" w:rsidRPr="0078105B">
      <w:pPr>
        <w:pStyle w:val="20"/>
        <w:spacing w:line="288" w:lineRule="auto"/>
        <w:ind w:firstLine="0" w:firstLineChars="0"/>
        <w:jc w:val="center"/>
        <w:rPr>
          <w:color w:val="000000"/>
        </w:rPr>
      </w:pPr>
      <w:r>
        <w:rPr>
          <w:noProof/>
          <w:color w:val="000000"/>
        </w:rPr>
        <w:lastRenderedPageBreak/>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2" o:spid="_x0000_i1025" style="width:435.75pt;height:258pt;visibility:visible" type="#_x0000_t75">
            <v:imagedata o:title="" r:id="rId10"/>
          </v:shape>
        </w:pict>
      </w:r>
    </w:p>
    <w:p w:rsidP="00526282" w:rsidR="00526282" w:rsidRDefault="00F016DD">
      <w:pPr>
        <w:snapToGrid w:val="0"/>
        <w:spacing w:before="312" w:beforeLines="100" w:line="360" w:lineRule="auto"/>
        <w:rPr>
          <w:rFonts w:eastAsiaTheme="minorEastAsia" w:hAnsiTheme="minorEastAsia"/>
          <w:color w:themeColor="text1" w:val="000000"/>
          <w:sz w:val="24"/>
        </w:rPr>
      </w:pPr>
      <w:r w:rsidRPr="00611CB2">
        <w:rPr>
          <w:color w:val="000000"/>
          <w:sz w:val="24"/>
        </w:rPr>
        <w:t/>
      </w:r>
      <w:proofErr w:type="gramStart"/>
      <w:r w:rsidRPr="00611CB2">
        <w:rPr>
          <w:color w:val="000000"/>
          <w:sz w:val="24"/>
        </w:rPr>
        <w:t/>
      </w:r>
      <w:proofErr w:type="gramEnd"/>
      <w:r w:rsidRPr="00611CB2">
        <w:rPr>
          <w:color w:val="000000"/>
          <w:sz w:val="24"/>
        </w:rPr>
        <w:t>易方达瑞享混合E</w:t>
      </w:r>
    </w:p>
    <w:p w:rsidP="00FC7F43" w:rsidR="00F016DD" w:rsidRDefault="0001612A" w:rsidRPr="0078105B">
      <w:pPr>
        <w:pStyle w:val="20"/>
        <w:spacing w:line="288" w:lineRule="auto"/>
        <w:ind w:firstLine="0" w:firstLineChars="0"/>
        <w:jc w:val="center"/>
        <w:rPr>
          <w:color w:val="000000"/>
        </w:rPr>
      </w:pPr>
      <w:r>
        <w:rPr>
          <w:noProof/>
          <w:color w:val="000000"/>
        </w:rPr>
        <w:pict>
          <v:shape id="图片 3" o:spid="_x0000_i1026" style="width:435.75pt;height:258pt;visibility:visible" type="#_x0000_t75">
            <v:imagedata o:title="" r:id="rId11"/>
          </v:shape>
        </w:pict>
      </w:r>
    </w:p>
    <w:p w:rsidP="00DF18FE" w:rsidR="00F016DD" w:rsidRDefault="00F016DD" w:rsidRPr="00DF18FE">
      <w:pPr>
        <w:spacing w:line="360" w:lineRule="auto"/>
        <w:ind w:firstLine="480" w:firstLineChars="200"/>
        <w:rPr>
          <w:color w:val="000000"/>
          <w:sz w:val="24"/>
        </w:rPr>
      </w:pPr>
      <w:r w:rsidRPr="00DF18FE">
        <w:rPr>
          <w:color w:val="000000"/>
          <w:sz w:val="24"/>
        </w:rPr>
        <w:lastRenderedPageBreak/>
        <w:t/>
      </w:r>
      <w:proofErr w:type="gramStart"/>
      <w:r w:rsidRPr="00DF18FE">
        <w:rPr>
          <w:color w:val="000000"/>
          <w:sz w:val="24"/>
        </w:rPr>
        <w:t/>
      </w:r>
      <w:proofErr w:type="gramEnd"/>
      <w:r w:rsidRPr="00DF18FE">
        <w:rPr>
          <w:color w:val="000000"/>
          <w:sz w:val="24"/>
        </w:rPr>
        <w:t>注：自基金合同生效至报告期末，I类基金份额净值增长率为100.30%，E类基金份额净值增长率为63.90%，同期业绩比较基准收益率为17.94%。</w:t>
      </w:r>
    </w:p>
    <w:p w:rsidP="006C5BC9" w:rsidR="00F016DD" w:rsidRDefault="00F016DD" w:rsidRPr="00FA472B">
      <w:pPr>
        <w:tabs>
          <w:tab w:pos="1800" w:val="left"/>
        </w:tabs>
        <w:spacing w:line="288" w:lineRule="auto"/>
        <w:rPr>
          <w:color w:val="000000"/>
          <w:sz w:val="24"/>
        </w:rPr>
      </w:pP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4  </w:t>
      </w:r>
      <w:r w:rsidRPr="0078105B">
        <w:rPr>
          <w:rFonts w:ascii="宋体" w:cs="Arial" w:hAnsi="宋体" w:hint="eastAsia"/>
          <w:color w:val="000000"/>
          <w:kern w:val="0"/>
          <w:sz w:val="24"/>
          <w:szCs w:val="24"/>
        </w:rPr>
        <w:t>管理人报告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4.1 </w:t>
      </w:r>
      <w:r w:rsidRPr="0078105B">
        <w:rPr>
          <w:rFonts w:ascii="宋体" w:cs="Arial" w:hAnsi="宋体" w:hint="eastAsia"/>
          <w:b/>
          <w:color w:val="000000"/>
          <w:kern w:val="0"/>
          <w:sz w:val="24"/>
        </w:rPr>
        <w:t>基金经理（或基金经理小组）简介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F016DD" w:rsidRPr="0078105B" w:rsidTr="00B54884">
        <w:trPr>
          <w:cantSplit/>
        </w:trPr>
        <w:tc>
          <w:tcPr>
            <w:tcW w:type="dxa" w:w="567"/>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58694E" w:rsidR="00F016DD" w:rsidRDefault="00F016DD" w:rsidRPr="00FA472B">
            <w:pPr>
              <w:autoSpaceDE w:val="0"/>
              <w:autoSpaceDN w:val="0"/>
              <w:adjustRightInd w:val="0"/>
              <w:spacing w:before="29" w:line="288" w:lineRule="auto"/>
              <w:ind w:left="15"/>
              <w:jc w:val="center"/>
              <w:rPr>
                <w:color w:val="000000"/>
                <w:kern w:val="0"/>
                <w:sz w:val="24"/>
              </w:rPr>
            </w:pPr>
            <w:proofErr w:type="gramStart"/>
            <w:r w:rsidRPr="00FA472B">
              <w:rPr>
                <w:color w:val="000000"/>
                <w:kern w:val="0"/>
                <w:sz w:val="24"/>
              </w:rPr>
              <w:t>任本基金</w:t>
            </w:r>
            <w:proofErr w:type="gramEnd"/>
            <w:r w:rsidRPr="00FA472B">
              <w:rPr>
                <w:color w:val="000000"/>
                <w:kern w:val="0"/>
                <w:sz w:val="24"/>
              </w:rPr>
              <w:t>的基金经理期限</w:t>
            </w:r>
          </w:p>
        </w:tc>
        <w:tc>
          <w:tcPr>
            <w:tcW w:type="dxa" w:w="851"/>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F016DD" w:rsidRPr="0078105B" w:rsidTr="00B54884">
        <w:trPr>
          <w:cantSplit/>
        </w:trPr>
        <w:tc>
          <w:tcPr>
            <w:tcW w:type="dxa" w:w="567"/>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2835"/>
            <w:vMerge/>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武阳</w:t>
            </w:r>
          </w:p>
        </w:tc>
        <w:tc>
          <w:tcPr>
            <w:vAlign w:val="center"/>
          </w:tcPr>
          <w:p>
            <w:pPr>
              <w:jc w:val="left"/>
            </w:pPr>
            <w:r>
              <w:rPr>
                <w:color w:val="000000"/>
                <w:sz w:val="24"/>
              </w:rPr>
              <w:t>本基金的基金经理、易方达价值成长混合型证券投资基金的基金经理</w:t>
            </w:r>
          </w:p>
        </w:tc>
        <w:tc>
          <w:tcPr>
            <w:vAlign w:val="center"/>
          </w:tcPr>
          <w:p>
            <w:pPr>
              <w:jc w:val="center"/>
            </w:pPr>
            <w:r>
              <w:rPr>
                <w:color w:val="000000"/>
                <w:sz w:val="24"/>
              </w:rPr>
              <w:t>2017-12-30</w:t>
            </w:r>
          </w:p>
        </w:tc>
        <w:tc>
          <w:tcPr>
            <w:vAlign w:val="center"/>
          </w:tcPr>
          <w:p>
            <w:pPr>
              <w:jc w:val="center"/>
            </w:pPr>
            <w:r>
              <w:rPr>
                <w:color w:val="000000"/>
                <w:sz w:val="24"/>
              </w:rPr>
              <w:t>-</w:t>
            </w:r>
          </w:p>
        </w:tc>
        <w:tc>
          <w:tcPr>
            <w:vAlign w:val="center"/>
          </w:tcPr>
          <w:p>
            <w:pPr>
              <w:jc w:val="center"/>
            </w:pPr>
            <w:r>
              <w:rPr>
                <w:color w:val="000000"/>
                <w:sz w:val="24"/>
              </w:rPr>
              <w:t>9年</w:t>
            </w:r>
          </w:p>
        </w:tc>
        <w:tc>
          <w:tcPr>
            <w:vAlign w:val="center"/>
          </w:tcPr>
          <w:p>
            <w:pPr>
              <w:jc w:val="both"/>
            </w:pPr>
            <w:r>
              <w:rPr>
                <w:color w:val="000000"/>
                <w:sz w:val="24"/>
              </w:rPr>
              <w:t>硕士研究生，具有基金从业资格。曾任易方达基金管理有限公司行业研究员、易方达策略成长二号混合型证券投资基金基金经理助理、易方达策略成长证券投资基金基金经理。</w:t>
            </w:r>
          </w:p>
        </w:tc>
      </w:tr>
    </w:tbl>
    <w:p>
      <w:pPr>
        <w:spacing w:line="360" w:lineRule="auto"/>
        <w:ind w:firstLine="480" w:firstLineChars="200"/>
        <w:rPr>
          <w:color w:val="000000"/>
          <w:sz w:val="24"/>
        </w:rPr>
      </w:pPr>
      <w:r>
        <w:rPr>
          <w:color w:val="000000"/>
          <w:sz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DF18FE" w:rsidR="00F016DD" w:rsidRDefault="00F016DD" w:rsidRPr="00EA6415">
      <w:pPr>
        <w:spacing w:line="360" w:lineRule="auto"/>
        <w:ind w:firstLine="480" w:firstLineChars="200"/>
        <w:rPr>
          <w:color w:val="000000"/>
          <w:sz w:val="24"/>
        </w:rPr>
      </w:pPr>
      <w:r w:rsidRPr="00DF18FE">
        <w:rPr>
          <w:color w:val="000000"/>
          <w:sz w:val="24"/>
        </w:rPr>
        <w:t/>
      </w:r>
      <w:proofErr w:type="gramStart"/>
      <w:r w:rsidRPr="00DF18FE">
        <w:rPr>
          <w:color w:val="000000"/>
          <w:sz w:val="24"/>
        </w:rPr>
        <w:t/>
      </w:r>
      <w:proofErr w:type="gramEnd"/>
      <w:r w:rsidRPr="00DF18FE">
        <w:rPr>
          <w:color w:val="000000"/>
          <w:sz w:val="24"/>
        </w:rPr>
        <w:t>2.证券从业的含义遵从《证券业从业人员资格管理办法》的相关规定。</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4.2</w:t>
      </w:r>
      <w:r>
        <w:rPr>
          <w:rFonts w:cs="Arial" w:hint="eastAsia"/>
          <w:b/>
          <w:color w:val="000000"/>
          <w:kern w:val="0"/>
          <w:sz w:val="24"/>
        </w:rPr>
        <w:t>管理人对</w:t>
      </w:r>
      <w:r w:rsidRPr="00BB04BF">
        <w:rPr>
          <w:rFonts w:cs="Arial" w:hint="eastAsia"/>
          <w:b/>
          <w:color w:val="000000"/>
          <w:kern w:val="0"/>
          <w:sz w:val="24"/>
        </w:rPr>
        <w:t>报告期内本基金运作遵规守信情况</w:t>
      </w:r>
      <w:r>
        <w:rPr>
          <w:rFonts w:cs="Arial" w:hint="eastAsia"/>
          <w:b/>
          <w:color w:val="000000"/>
          <w:kern w:val="0"/>
          <w:sz w:val="24"/>
        </w:rPr>
        <w:t>的</w:t>
      </w:r>
      <w:r w:rsidRPr="00BB04BF">
        <w:rPr>
          <w:rFonts w:cs="Arial" w:hint="eastAsia"/>
          <w:b/>
          <w:color w:val="000000"/>
          <w:kern w:val="0"/>
          <w:sz w:val="24"/>
        </w:rPr>
        <w:t>说明</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4.3 </w:t>
      </w:r>
      <w:r w:rsidRPr="0078105B">
        <w:rPr>
          <w:rFonts w:ascii="宋体" w:cs="Arial" w:hAnsi="宋体" w:hint="eastAsia"/>
          <w:b/>
          <w:color w:val="000000"/>
          <w:kern w:val="0"/>
          <w:sz w:val="24"/>
        </w:rPr>
        <w:t>公平交易专项说明</w:t>
      </w:r>
    </w:p>
    <w:p w:rsidP="00FC13C8" w:rsidR="00F016DD" w:rsidRDefault="00F016DD" w:rsidRPr="00FA472B">
      <w:pPr>
        <w:spacing w:line="360" w:lineRule="auto"/>
        <w:rPr>
          <w:rFonts w:ascii="宋体" w:hAnsi="宋体"/>
          <w:sz w:val="24"/>
        </w:rPr>
      </w:pPr>
      <w:r w:rsidRPr="00FA472B">
        <w:rPr>
          <w:rFonts w:ascii="宋体" w:hAnsi="宋体"/>
          <w:sz w:val="24"/>
        </w:rPr>
        <w:t xml:space="preserve">4.3.1 </w:t>
      </w:r>
      <w:r w:rsidRPr="00FA472B">
        <w:rPr>
          <w:rFonts w:ascii="宋体" w:hAnsi="宋体" w:hint="eastAsia"/>
          <w:sz w:val="24"/>
        </w:rPr>
        <w:t>公平交易制度的执行情况</w:t>
      </w:r>
    </w:p>
    <w:p w:rsidP="00DF18FE" w:rsidR="00F016DD" w:rsidRDefault="00F016DD" w:rsidRPr="00EA6415">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FC13C8" w:rsidR="00F016DD" w:rsidRDefault="00F016DD" w:rsidRPr="00FA472B">
      <w:pPr>
        <w:spacing w:line="360" w:lineRule="auto"/>
        <w:rPr>
          <w:rFonts w:ascii="宋体" w:hAnsi="宋体"/>
          <w:sz w:val="24"/>
        </w:rPr>
      </w:pPr>
      <w:r w:rsidRPr="00FA472B">
        <w:rPr>
          <w:rFonts w:ascii="宋体" w:hAnsi="宋体"/>
          <w:sz w:val="24"/>
        </w:rPr>
        <w:lastRenderedPageBreak/>
        <w:t xml:space="preserve">4.3.2 </w:t>
      </w:r>
      <w:r w:rsidRPr="00FA472B">
        <w:rPr>
          <w:rFonts w:ascii="宋体" w:hAnsi="宋体" w:hint="eastAsia"/>
          <w:sz w:val="24"/>
        </w:rPr>
        <w:t>异常交易行为的专项说明</w:t>
      </w:r>
    </w:p>
    <w:p>
      <w:pPr>
        <w:spacing w:line="360" w:lineRule="auto"/>
        <w:ind w:firstLine="480" w:firstLineChars="200"/>
        <w:rPr>
          <w:color w:val="000000"/>
          <w:sz w:val="24"/>
        </w:rPr>
      </w:pPr>
      <w:r>
        <w:rPr>
          <w:color w:val="000000"/>
          <w:sz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本报告期内，未发现本基金有可能导致不公平交易和利益输送的异常交易。</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4.4 </w:t>
      </w:r>
      <w:r w:rsidRPr="0078105B">
        <w:rPr>
          <w:rFonts w:ascii="宋体" w:cs="Arial" w:hAnsi="宋体" w:hint="eastAsia"/>
          <w:b/>
          <w:color w:val="000000"/>
          <w:kern w:val="0"/>
          <w:sz w:val="24"/>
        </w:rPr>
        <w:t>报告期内基金的投资策略和业绩表现说明</w:t>
      </w:r>
    </w:p>
    <w:p w:rsidP="00FC13C8" w:rsidR="00F016DD" w:rsidRDefault="00F016DD" w:rsidRPr="0078105B">
      <w:pPr>
        <w:spacing w:line="360" w:lineRule="auto"/>
        <w:rPr>
          <w:rFonts w:ascii="宋体"/>
          <w:sz w:val="24"/>
        </w:rPr>
      </w:pPr>
      <w:r w:rsidRPr="0078105B">
        <w:rPr>
          <w:rFonts w:ascii="宋体" w:hAnsi="宋体"/>
          <w:sz w:val="24"/>
        </w:rPr>
        <w:t>4.4.1</w:t>
      </w:r>
      <w:r w:rsidRPr="0078105B">
        <w:rPr>
          <w:rFonts w:ascii="宋体" w:hAnsi="宋体" w:hint="eastAsia"/>
          <w:sz w:val="24"/>
        </w:rPr>
        <w:t>报告期内基金投资策略和运作分析</w:t>
      </w:r>
    </w:p>
    <w:p>
      <w:pPr>
        <w:spacing w:line="360" w:lineRule="auto"/>
        <w:ind w:firstLine="480" w:firstLineChars="200"/>
        <w:rPr>
          <w:color w:val="000000"/>
          <w:sz w:val="24"/>
        </w:rPr>
      </w:pPr>
      <w:r>
        <w:rPr>
          <w:color w:val="000000"/>
          <w:sz w:val="24"/>
        </w:rPr>
        <w:t>全球经济和资本市场在一季度遭受新型冠状病毒疫情的巨大冲击后，在二季度体现了一定的韧性，欧美主要指数都修复了部分一季度的跌幅，代表新型经济发展方向的纳斯达克指数创出历史新高。</w:t>
      </w:r>
    </w:p>
    <w:p>
      <w:pPr>
        <w:spacing w:line="360" w:lineRule="auto"/>
        <w:ind w:firstLine="480" w:firstLineChars="200"/>
        <w:rPr>
          <w:color w:val="000000"/>
          <w:sz w:val="24"/>
        </w:rPr>
      </w:pPr>
      <w:r>
        <w:rPr>
          <w:color w:val="000000"/>
          <w:sz w:val="24"/>
        </w:rPr>
        <w:t>相较全球其他地区，中国虽然较早出现疫情，但全国动员和资源调配能力最强，防控措施最为严厉，疫情控制效果目前来看也最好。因此，国内主要经济指标二季度也出现了一定的恢复，较其他经济体表现更好。考虑到新冠疫苗的研发进度和全球的控制措施，疫情终会过去，只是需要一些时间。此外，全球都采取了宽松的货币政策来应对疫情，人类发展历史从来都是危中有机，经济有望在疫情得到控制后迎来较大幅度回升。</w:t>
      </w:r>
    </w:p>
    <w:p>
      <w:pPr>
        <w:spacing w:line="360" w:lineRule="auto"/>
        <w:ind w:firstLine="480" w:firstLineChars="200"/>
        <w:rPr>
          <w:color w:val="000000"/>
          <w:sz w:val="24"/>
        </w:rPr>
      </w:pPr>
      <w:r>
        <w:rPr>
          <w:color w:val="000000"/>
          <w:sz w:val="24"/>
        </w:rPr>
        <w:t>截至本报告期末，上证指数收于2984.67点，上涨8.52%，深证成指收于11992.35点，上涨20.38%，创业板指数收于2438.20点，上涨30.25%。市场二季度以上涨为主，板块继续分化。受疫情拉动需求、海外供应链紧张催化，医药行业涨幅居前；受到疫情影响较小、受益于远程办公及生活的计算机、通信、电子元器件等行业也表现较好，反弹较多；消费品行业内部分化，家电、汽车等耐用消费品仍然低迷，而食品饮料特别是高端白酒大幅反弹；银行、地产、石油石化等行业表现一般。一季度因流动性危机被动减仓的外资，在二季度大幅流入A股市场，主要是国际比较下来看，国内的基本面仍然最好、估值有较强吸引力。</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仍然立足长期，没有太多考虑疫情的短期影响，在二季度维持了较高的仓位，将主要精力放在行业配置和个股选择上。行业上仍以信息技术、高端制造、大消费和医疗健康等为主要配置方向，未来本基金仍会继续主要围绕上述“科技创新+高景气度”类行业进行配置，同时加强对个股的精选。</w:t>
      </w:r>
    </w:p>
    <w:p w:rsidP="00FC13C8" w:rsidR="00F016DD" w:rsidRDefault="00F016DD" w:rsidRPr="0078105B">
      <w:pPr>
        <w:spacing w:line="360" w:lineRule="auto"/>
        <w:rPr>
          <w:rFonts w:ascii="宋体"/>
          <w:sz w:val="24"/>
        </w:rPr>
      </w:pPr>
      <w:r w:rsidRPr="0078105B">
        <w:rPr>
          <w:rFonts w:ascii="宋体" w:hAnsi="宋体"/>
          <w:sz w:val="24"/>
        </w:rPr>
        <w:t>4.4.2</w:t>
      </w:r>
      <w:r w:rsidRPr="0078105B">
        <w:rPr>
          <w:rFonts w:ascii="宋体" w:hAnsi="宋体" w:hint="eastAsia"/>
          <w:sz w:val="24"/>
        </w:rPr>
        <w:t>报告期内基金的业绩表现</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截至报告期末，本基金I类基金份额净值为2.003元，本报告期份额净值增长率为37.47%，同期业绩比较基准收益率为0.88%；E类基金份额净值为1.639元，本报告期份额净值增长率为37.38%，同期业绩比较基准收益率为0.88%。</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5  </w:t>
      </w:r>
      <w:r w:rsidRPr="0078105B">
        <w:rPr>
          <w:rFonts w:ascii="宋体" w:cs="Arial" w:hAnsi="宋体" w:hint="eastAsia"/>
          <w:color w:val="000000"/>
          <w:kern w:val="0"/>
          <w:sz w:val="24"/>
          <w:szCs w:val="24"/>
        </w:rPr>
        <w:t>投资组合报告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5.1 </w:t>
      </w:r>
      <w:r w:rsidRPr="0078105B">
        <w:rPr>
          <w:rFonts w:ascii="宋体" w:cs="Arial" w:hAnsi="宋体" w:hint="eastAsia"/>
          <w:b/>
          <w:color w:val="000000"/>
          <w:kern w:val="0"/>
          <w:sz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序号</w:t>
            </w:r>
          </w:p>
        </w:tc>
        <w:tc>
          <w:tcPr>
            <w:tcW w:type="dxa" w:w="3357"/>
            <w:vAlign w:val="center"/>
          </w:tcPr>
          <w:p w:rsidP="00F4518C" w:rsidR="00F016DD" w:rsidRDefault="00F016DD" w:rsidRPr="00FA472B">
            <w:pPr>
              <w:spacing w:before="29" w:line="360" w:lineRule="auto"/>
              <w:ind w:left="17"/>
              <w:jc w:val="center"/>
              <w:rPr>
                <w:color w:val="000000"/>
                <w:sz w:val="24"/>
              </w:rPr>
            </w:pPr>
            <w:r w:rsidRPr="00FA472B">
              <w:rPr>
                <w:color w:val="000000"/>
                <w:sz w:val="24"/>
              </w:rPr>
              <w:t>项目</w:t>
            </w:r>
          </w:p>
        </w:tc>
        <w:tc>
          <w:tcPr>
            <w:tcW w:type="dxa" w:w="2977"/>
            <w:vAlign w:val="center"/>
          </w:tcPr>
          <w:p w:rsidP="00F4518C" w:rsidR="00F016DD" w:rsidRDefault="00F016DD" w:rsidRPr="00FA472B">
            <w:pPr>
              <w:spacing w:before="29" w:line="360" w:lineRule="auto"/>
              <w:ind w:left="17"/>
              <w:jc w:val="center"/>
              <w:rPr>
                <w:color w:val="000000"/>
                <w:sz w:val="24"/>
              </w:rPr>
            </w:pPr>
            <w:r w:rsidRPr="00FA472B">
              <w:rPr>
                <w:color w:val="000000"/>
                <w:sz w:val="24"/>
              </w:rPr>
              <w:t>金额</w:t>
            </w:r>
            <w:r w:rsidRPr="00FA472B">
              <w:rPr>
                <w:color w:val="000000"/>
                <w:sz w:val="24"/>
              </w:rPr>
              <w:t>(</w:t>
            </w:r>
            <w:r w:rsidRPr="00FA472B">
              <w:rPr>
                <w:color w:val="000000"/>
                <w:sz w:val="24"/>
              </w:rPr>
              <w:t>元</w:t>
            </w:r>
            <w:r w:rsidRPr="00FA472B">
              <w:rPr>
                <w:color w:val="000000"/>
                <w:sz w:val="24"/>
              </w:rPr>
              <w:t>)</w:t>
            </w:r>
          </w:p>
        </w:tc>
        <w:tc>
          <w:tcPr>
            <w:tcW w:type="dxa" w:w="1843"/>
            <w:vAlign w:val="center"/>
          </w:tcPr>
          <w:p w:rsidP="00F4518C" w:rsidR="00F016DD" w:rsidRDefault="00F016DD" w:rsidRPr="00FA472B">
            <w:pPr>
              <w:spacing w:before="29" w:line="360" w:lineRule="auto"/>
              <w:ind w:left="17"/>
              <w:jc w:val="center"/>
              <w:rPr>
                <w:color w:val="000000"/>
                <w:sz w:val="24"/>
              </w:rPr>
            </w:pPr>
            <w:r w:rsidRPr="00FA472B">
              <w:rPr>
                <w:color w:val="000000"/>
                <w:sz w:val="24"/>
              </w:rPr>
              <w:t>占基金总资产的比例</w:t>
            </w: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1</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权益投资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183,965,234.25</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89.82</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其中：股票</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183,965,234.25</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89.82</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2</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固定收益投资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r w:rsidRPr="00FA472B">
              <w:rPr>
                <w:color w:val="000000"/>
                <w:sz w:val="24"/>
              </w:rPr>
              <w:lastRenderedPageBreak/>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其中：债券</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autoSpaceDE w:val="0"/>
              <w:autoSpaceDN w:val="0"/>
              <w:adjustRightInd w:val="0"/>
              <w:spacing w:before="29" w:line="360" w:lineRule="auto"/>
              <w:ind w:left="17"/>
              <w:jc w:val="left"/>
              <w:rPr>
                <w:color w:val="000000"/>
                <w:sz w:val="24"/>
              </w:rPr>
            </w:pPr>
            <w:r w:rsidRPr="00FA472B">
              <w:rPr>
                <w:color w:val="000000"/>
                <w:sz w:val="24"/>
              </w:rPr>
              <w:t>资产支持证券</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type="dxa" w:w="720"/>
          </w:tcPr>
          <w:p w:rsidP="00F4518C" w:rsidR="00F016DD" w:rsidRDefault="00F016DD" w:rsidRPr="00FA472B">
            <w:pPr>
              <w:spacing w:before="29" w:line="360" w:lineRule="auto"/>
              <w:ind w:left="17"/>
              <w:jc w:val="center"/>
              <w:rPr>
                <w:color w:val="000000"/>
                <w:sz w:val="24"/>
              </w:rPr>
            </w:pPr>
            <w:r w:rsidRPr="00FA472B">
              <w:rPr>
                <w:color w:val="000000"/>
                <w:sz w:val="24"/>
              </w:rPr>
              <w:t>3</w:t>
            </w:r>
          </w:p>
        </w:tc>
        <w:tc>
          <w:tcPr>
            <w:tcW w:type="dxa" w:w="3357"/>
          </w:tcPr>
          <w:p w:rsidP="00174038" w:rsidR="00F016DD" w:rsidRDefault="00F016DD" w:rsidRPr="00FA472B">
            <w:pPr>
              <w:spacing w:before="29" w:line="360" w:lineRule="auto"/>
              <w:ind w:left="105" w:leftChars="50"/>
              <w:rPr>
                <w:color w:val="000000"/>
                <w:sz w:val="24"/>
              </w:rPr>
            </w:pPr>
            <w:r w:rsidRPr="00FA472B">
              <w:rPr>
                <w:color w:val="000000"/>
                <w:sz w:val="24"/>
              </w:rPr>
              <w:t>贵金属投资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4</w:t>
            </w:r>
          </w:p>
        </w:tc>
        <w:tc>
          <w:tcPr>
            <w:tcW w:type="dxa" w:w="3357"/>
            <w:vAlign w:val="center"/>
          </w:tcPr>
          <w:p w:rsidP="00F4518C" w:rsidR="00F016DD" w:rsidRDefault="00F016DD" w:rsidRPr="00FA472B">
            <w:pPr>
              <w:spacing w:before="29" w:line="360" w:lineRule="auto"/>
              <w:ind w:left="17"/>
              <w:jc w:val="left"/>
              <w:rPr>
                <w:color w:val="000000"/>
                <w:sz w:val="24"/>
              </w:rPr>
            </w:pPr>
            <w:r w:rsidRPr="00FA472B">
              <w:rPr>
                <w:color w:val="000000"/>
                <w:sz w:val="24"/>
              </w:rPr>
              <w:t>金融衍生</w:t>
            </w:r>
            <w:proofErr w:type="gramStart"/>
            <w:r w:rsidRPr="00FA472B">
              <w:rPr>
                <w:color w:val="000000"/>
                <w:sz w:val="24"/>
              </w:rPr>
              <w:t>品投资</w:t>
            </w:r>
            <w:proofErr w:type="gramEnd"/>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5</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买入返售金融资产</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r w:rsidRPr="00FA472B">
              <w:rPr>
                <w:color w:val="000000"/>
                <w:sz w:val="24"/>
              </w:rPr>
              <w:lastRenderedPageBreak/>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其中：买断式回购的买入返售金融资产</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6</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银行存款和结算备付金合计</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15,914,403.44</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7.77</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7</w:t>
            </w:r>
          </w:p>
        </w:tc>
        <w:tc>
          <w:tcPr>
            <w:tcW w:type="dxa" w:w="3357"/>
            <w:vAlign w:val="center"/>
          </w:tcPr>
          <w:p w:rsidP="00F4518C" w:rsidR="00F016DD" w:rsidRDefault="00F016DD" w:rsidRPr="00FA472B">
            <w:pPr>
              <w:jc w:val="left"/>
              <w:rPr>
                <w:sz w:val="24"/>
              </w:rPr>
            </w:pPr>
            <w:r w:rsidRPr="00FA472B">
              <w:rPr>
                <w:color w:val="000000"/>
                <w:sz w:val="24"/>
              </w:rPr>
              <w:t>其他资产</w:t>
            </w:r>
          </w:p>
        </w:tc>
        <w:tc>
          <w:tcPr>
            <w:tcW w:type="dxa" w:w="2977"/>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4,940,438.15</w:t>
            </w:r>
          </w:p>
        </w:tc>
        <w:tc>
          <w:tcPr>
            <w:tcW w:type="dxa" w:w="1843"/>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2.41</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8</w:t>
            </w:r>
          </w:p>
        </w:tc>
        <w:tc>
          <w:tcPr>
            <w:tcW w:type="dxa" w:w="3357"/>
            <w:vAlign w:val="center"/>
          </w:tcPr>
          <w:p w:rsidP="00F4518C" w:rsidR="00F016DD" w:rsidRDefault="00F016DD" w:rsidRPr="00FA472B">
            <w:pPr>
              <w:jc w:val="left"/>
              <w:rPr>
                <w:sz w:val="24"/>
              </w:rPr>
            </w:pPr>
            <w:r w:rsidRPr="00FA472B">
              <w:rPr>
                <w:color w:val="000000"/>
                <w:sz w:val="24"/>
              </w:rPr>
              <w:t>合计</w:t>
            </w:r>
          </w:p>
        </w:tc>
        <w:tc>
          <w:tcPr>
            <w:tcW w:type="dxa" w:w="2977"/>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204,820,075.84</w:t>
            </w:r>
          </w:p>
        </w:tc>
        <w:tc>
          <w:tcPr>
            <w:tcW w:type="dxa" w:w="1843"/>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100.00</w:t>
            </w:r>
          </w:p>
        </w:tc>
      </w:tr>
    </w:tbl>
    <w:p w:rsidP="00B54884" w:rsidR="00874AA3" w:rsidRDefault="00874AA3" w:rsidRPr="00C70969">
      <w:pPr>
        <w:autoSpaceDE w:val="0"/>
        <w:autoSpaceDN w:val="0"/>
        <w:adjustRightInd w:val="0"/>
        <w:spacing w:before="312" w:beforeLines="100" w:line="360" w:lineRule="auto"/>
        <w:jc w:val="left"/>
        <w:rPr>
          <w:rFonts w:eastAsiaTheme="minorEastAsia"/>
          <w:b/>
          <w:color w:themeColor="text1" w:val="000000"/>
          <w:kern w:val="0"/>
          <w:sz w:val="24"/>
        </w:rPr>
      </w:pPr>
      <w:r w:rsidRPr="00C70969">
        <w:rPr>
          <w:rFonts w:eastAsiaTheme="minorEastAsia"/>
          <w:b/>
          <w:color w:themeColor="text1" w:val="000000"/>
          <w:kern w:val="0"/>
          <w:sz w:val="24"/>
        </w:rPr>
        <w:t xml:space="preserve">5.2 </w:t>
      </w:r>
      <w:r w:rsidRPr="00C70969">
        <w:rPr>
          <w:rFonts w:eastAsiaTheme="minorEastAsia"/>
          <w:b/>
          <w:color w:themeColor="text1" w:val="000000"/>
          <w:kern w:val="0"/>
          <w:sz w:val="24"/>
        </w:rPr>
        <w:t>报告期末按行业分类的股票投资组合</w:t>
      </w:r>
    </w:p>
    <w:p w:rsidP="00874AA3" w:rsidR="00874AA3" w:rsidRDefault="00874AA3" w:rsidRPr="00C70969">
      <w:pPr>
        <w:rPr>
          <w:b/>
          <w:sz w:val="24"/>
        </w:rPr>
      </w:pPr>
      <w:r w:rsidRPr="00C70969">
        <w:rPr>
          <w:b/>
          <w:sz w:val="24"/>
        </w:rPr>
        <w:t xml:space="preserve"> </w:t>
      </w:r>
      <w:r w:rsidRPr="00C70969">
        <w:rPr>
          <w:b/>
          <w:color w:themeColor="text1" w:val="000000"/>
          <w:sz w:val="24"/>
        </w:rPr>
        <w:t/>
      </w:r>
      <w:proofErr w:type="spellStart"/>
      <w:r w:rsidRPr="00C70969">
        <w:rPr>
          <w:b/>
          <w:color w:themeColor="text1" w:val="000000"/>
          <w:sz w:val="24"/>
        </w:rPr>
        <w:t/>
      </w:r>
      <w:proofErr w:type="spellEnd"/>
      <w:r w:rsidRPr="00C70969">
        <w:rPr>
          <w:b/>
          <w:color w:themeColor="text1" w:val="000000"/>
          <w:sz w:val="24"/>
        </w:rPr>
        <w:t/>
      </w:r>
      <w:r w:rsidRPr="00C70969">
        <w:rPr>
          <w:rFonts w:eastAsiaTheme="minorEastAsia"/>
          <w:b/>
          <w:color w:themeColor="text1" w:val="000000"/>
          <w:kern w:val="0"/>
          <w:sz w:val="24"/>
        </w:rPr>
        <w:t>5.2.1</w:t>
      </w:r>
      <w:r w:rsidRPr="00C70969">
        <w:rPr>
          <w:rFonts w:eastAsiaTheme="minorEastAsia"/>
          <w:b/>
          <w:color w:themeColor="text1" w:val="000000"/>
          <w:kern w:val="0"/>
          <w:sz w:val="24"/>
        </w:rPr>
        <w:t>报告期末按行业分类的境内股票投资组合</w:t>
      </w:r>
    </w:p>
    <w:tbl>
      <w:tblPr>
        <w:tblW w:type="auto" w:w="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540"/>
        <w:gridCol w:w="3691"/>
        <w:gridCol w:w="2852"/>
        <w:gridCol w:w="1648"/>
      </w:tblGrid>
      <w:tr w:rsidR="00874AA3" w:rsidRPr="00C70969" w:rsidTr="0001612A">
        <w:trPr>
          <w:trHeight w:val="390"/>
        </w:trPr>
        <w:tc>
          <w:tcPr>
            <w:tcW w:type="dxa" w:w="540"/>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代码</w:t>
            </w: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行业类别</w:t>
            </w:r>
          </w:p>
        </w:tc>
        <w:tc>
          <w:tcPr>
            <w:tcW w:type="dxa" w:w="2852"/>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公允价值（元）</w:t>
            </w:r>
          </w:p>
        </w:tc>
        <w:tc>
          <w:tcPr>
            <w:tcW w:type="dxa" w:w="1648"/>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占基金资产净值比例（％）</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A</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农、林、牧、渔业</w:t>
            </w:r>
          </w:p>
        </w:tc>
        <w:tc>
          <w:tcPr>
            <w:tcW w:type="dxa" w:w="2852"/>
            <w:vAlign w:val="center"/>
          </w:tcPr>
          <w:p w:rsidP="0071134C" w:rsidR="00874AA3" w:rsidRDefault="00874AA3" w:rsidRPr="00C70969">
            <w:pPr>
              <w:autoSpaceDE w:val="0"/>
              <w:autoSpaceDN w:val="0"/>
              <w:adjustRightInd w:val="0"/>
              <w:spacing w:before="29" w:line="360" w:lineRule="auto"/>
              <w:ind w:left="15"/>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autoSpaceDE w:val="0"/>
              <w:autoSpaceDN w:val="0"/>
              <w:adjustRightInd w:val="0"/>
              <w:spacing w:before="29" w:line="360" w:lineRule="auto"/>
              <w:ind w:left="15"/>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B</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采矿业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p w:rsidP="0071134C" w:rsidR="00874AA3" w:rsidRDefault="00874AA3" w:rsidRPr="00C70969">
            <w:pPr>
              <w:jc w:val="right"/>
              <w:rPr>
                <w:rFonts w:eastAsiaTheme="minorEastAsia"/>
                <w:color w:themeColor="text1" w:val="000000"/>
                <w:sz w:val="24"/>
              </w:rPr>
            </w:pP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p w:rsidP="0071134C" w:rsidR="00874AA3" w:rsidRDefault="00874AA3" w:rsidRPr="00C70969">
            <w:pPr>
              <w:jc w:val="right"/>
              <w:rPr>
                <w:rFonts w:eastAsiaTheme="minorEastAsia"/>
                <w:color w:themeColor="text1" w:val="000000"/>
                <w:sz w:val="24"/>
              </w:rPr>
            </w:pP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C</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制造业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67,361,538.33</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33.70</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D</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电力、热力、燃气及水生产和供应业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12,766.32</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0.01</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E</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建筑业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F</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批发和零售业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G</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交通运输、仓储和邮政业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r w:rsidRPr="00C70969">
              <w:rPr>
                <w:rFonts w:eastAsiaTheme="minorEastAsia"/>
                <w:color w:themeColor="text1" w:val="000000"/>
                <w:sz w:val="24"/>
              </w:rPr>
              <w:lastRenderedPageBreak/>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lastRenderedPageBreak/>
              <w:t>H</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住宿和餐饮业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I</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信息传输、软件和信息技术服务业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107,096,949.41</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53.58</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J</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金融业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K</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房地产业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L</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租赁和商务服务业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M</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科学研究和技术服务业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N</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水利、环境和公共设施管理业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O</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居民服务、修理和其他服务业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P</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教育</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r w:rsidRPr="00C70969">
              <w:rPr>
                <w:rFonts w:eastAsiaTheme="minorEastAsia"/>
                <w:color w:themeColor="text1" w:val="000000"/>
                <w:sz w:val="24"/>
              </w:rPr>
              <w:lastRenderedPageBreak/>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lastRenderedPageBreak/>
              <w:t>Q</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卫生和社会工作</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R</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文化、体育和娱乐业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9,493,980.19</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4.75</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S</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综合</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合计</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183,965,234.25</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92.03</w:t>
            </w:r>
          </w:p>
        </w:tc>
      </w:tr>
    </w:tbl>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5.3 </w:t>
      </w:r>
      <w:r w:rsidRPr="0078105B">
        <w:rPr>
          <w:rFonts w:ascii="宋体" w:cs="Arial" w:hAnsi="宋体" w:hint="eastAsia"/>
          <w:b/>
          <w:color w:val="000000"/>
          <w:kern w:val="0"/>
          <w:sz w:val="24"/>
        </w:rPr>
        <w:t>报告期末按公允价值占基金资产净值比例大小排序的前十名股票投资明细</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17"/>
        <w:gridCol w:w="1276"/>
        <w:gridCol w:w="1417"/>
        <w:gridCol w:w="1560"/>
        <w:gridCol w:w="2268"/>
        <w:gridCol w:w="1559"/>
      </w:tblGrid>
      <w:tr w:rsidR="00F016DD" w:rsidRPr="0078105B" w:rsidTr="00174038">
        <w:tc>
          <w:tcPr>
            <w:tcW w:type="dxa" w:w="817"/>
            <w:vAlign w:val="center"/>
          </w:tcPr>
          <w:p w:rsidP="000871DB" w:rsidR="00F016DD" w:rsidRDefault="00F016DD" w:rsidRPr="00FA472B">
            <w:pPr>
              <w:spacing w:before="29" w:line="360" w:lineRule="auto"/>
              <w:ind w:left="17"/>
              <w:jc w:val="center"/>
              <w:rPr>
                <w:color w:val="000000"/>
                <w:sz w:val="24"/>
              </w:rPr>
            </w:pPr>
            <w:r w:rsidRPr="00FA472B">
              <w:rPr>
                <w:color w:val="000000"/>
                <w:sz w:val="24"/>
              </w:rPr>
              <w:t>序号</w:t>
            </w:r>
          </w:p>
        </w:tc>
        <w:tc>
          <w:tcPr>
            <w:tcW w:type="dxa" w:w="1276"/>
            <w:vAlign w:val="center"/>
          </w:tcPr>
          <w:p w:rsidP="000871DB" w:rsidR="00F016DD" w:rsidRDefault="00F016DD" w:rsidRPr="00FA472B">
            <w:pPr>
              <w:spacing w:before="29" w:line="360" w:lineRule="auto"/>
              <w:ind w:left="17"/>
              <w:jc w:val="center"/>
              <w:rPr>
                <w:color w:val="000000"/>
                <w:sz w:val="24"/>
              </w:rPr>
            </w:pPr>
            <w:r w:rsidRPr="00FA472B">
              <w:rPr>
                <w:color w:val="000000"/>
                <w:sz w:val="24"/>
              </w:rPr>
              <w:t>股票代码</w:t>
            </w:r>
          </w:p>
        </w:tc>
        <w:tc>
          <w:tcPr>
            <w:tcW w:type="dxa" w:w="1417"/>
            <w:vAlign w:val="center"/>
          </w:tcPr>
          <w:p w:rsidP="000871DB" w:rsidR="00F016DD" w:rsidRDefault="00F016DD" w:rsidRPr="00FA472B">
            <w:pPr>
              <w:spacing w:before="29" w:line="360" w:lineRule="auto"/>
              <w:ind w:left="17"/>
              <w:jc w:val="center"/>
              <w:rPr>
                <w:color w:val="000000"/>
                <w:sz w:val="24"/>
              </w:rPr>
            </w:pPr>
            <w:r w:rsidRPr="00FA472B">
              <w:rPr>
                <w:color w:val="000000"/>
                <w:sz w:val="24"/>
              </w:rPr>
              <w:t>股票名称</w:t>
            </w:r>
          </w:p>
        </w:tc>
        <w:tc>
          <w:tcPr>
            <w:tcW w:type="dxa" w:w="1560"/>
            <w:vAlign w:val="center"/>
          </w:tcPr>
          <w:p w:rsidP="000871DB" w:rsidR="00F016DD" w:rsidRDefault="00F016DD" w:rsidRPr="00FA472B">
            <w:pPr>
              <w:spacing w:before="29" w:line="360" w:lineRule="auto"/>
              <w:ind w:left="17"/>
              <w:jc w:val="center"/>
              <w:rPr>
                <w:color w:val="000000"/>
                <w:sz w:val="24"/>
              </w:rPr>
            </w:pPr>
            <w:r w:rsidRPr="00FA472B">
              <w:rPr>
                <w:color w:val="000000"/>
                <w:sz w:val="24"/>
              </w:rPr>
              <w:t>数量</w:t>
            </w:r>
            <w:r w:rsidRPr="00FA472B">
              <w:rPr>
                <w:color w:val="000000"/>
                <w:sz w:val="24"/>
              </w:rPr>
              <w:t>(</w:t>
            </w:r>
            <w:r w:rsidRPr="00FA472B">
              <w:rPr>
                <w:color w:val="000000"/>
                <w:sz w:val="24"/>
              </w:rPr>
              <w:t>股</w:t>
            </w:r>
            <w:r w:rsidRPr="00FA472B">
              <w:rPr>
                <w:color w:val="000000"/>
                <w:sz w:val="24"/>
              </w:rPr>
              <w:t>)</w:t>
            </w:r>
          </w:p>
        </w:tc>
        <w:tc>
          <w:tcPr>
            <w:tcW w:type="dxa" w:w="2268"/>
            <w:vAlign w:val="center"/>
          </w:tcPr>
          <w:p w:rsidP="000871DB" w:rsidR="00F016DD" w:rsidRDefault="00F016DD" w:rsidRPr="00FA472B">
            <w:pPr>
              <w:autoSpaceDE w:val="0"/>
              <w:autoSpaceDN w:val="0"/>
              <w:adjustRightInd w:val="0"/>
              <w:spacing w:before="29" w:line="360" w:lineRule="auto"/>
              <w:ind w:left="17"/>
              <w:jc w:val="center"/>
              <w:rPr>
                <w:color w:val="000000"/>
                <w:sz w:val="24"/>
              </w:rPr>
            </w:pPr>
            <w:r w:rsidRPr="00FA472B">
              <w:rPr>
                <w:color w:val="000000"/>
                <w:sz w:val="24"/>
              </w:rPr>
              <w:t>公允价值</w:t>
            </w:r>
            <w:r w:rsidRPr="00FA472B">
              <w:rPr>
                <w:color w:val="000000"/>
                <w:sz w:val="24"/>
              </w:rPr>
              <w:t>(</w:t>
            </w:r>
            <w:r w:rsidRPr="00FA472B">
              <w:rPr>
                <w:color w:val="000000"/>
                <w:sz w:val="24"/>
              </w:rPr>
              <w:t>元</w:t>
            </w:r>
            <w:r w:rsidRPr="00FA472B">
              <w:rPr>
                <w:color w:val="000000"/>
                <w:sz w:val="24"/>
              </w:rPr>
              <w:t>)</w:t>
            </w:r>
          </w:p>
        </w:tc>
        <w:tc>
          <w:tcPr>
            <w:tcW w:type="dxa" w:w="1559"/>
            <w:vAlign w:val="center"/>
          </w:tcPr>
          <w:p w:rsidP="000871DB" w:rsidR="00F016DD" w:rsidRDefault="00F016DD" w:rsidRPr="00FA472B">
            <w:pPr>
              <w:spacing w:before="29" w:line="360" w:lineRule="auto"/>
              <w:ind w:left="17"/>
              <w:jc w:val="center"/>
              <w:rPr>
                <w:color w:val="000000"/>
                <w:sz w:val="24"/>
              </w:rPr>
            </w:pPr>
            <w:r w:rsidRPr="00FA472B">
              <w:rPr>
                <w:color w:val="000000"/>
                <w:sz w:val="24"/>
              </w:rPr>
              <w:t>占基金资产净值比例</w:t>
            </w:r>
            <w:r w:rsidRPr="00FA472B">
              <w:rPr>
                <w:color w:val="000000"/>
                <w:sz w:val="24"/>
              </w:rPr>
              <w:t>(</w:t>
            </w:r>
            <w:r w:rsidRPr="00FA472B">
              <w:rPr>
                <w:color w:val="000000"/>
                <w:sz w:val="24"/>
              </w:rPr>
              <w:t>％</w:t>
            </w:r>
            <w:r w:rsidRPr="00FA472B">
              <w:rPr>
                <w:color w:val="000000"/>
                <w:sz w:val="24"/>
              </w:rPr>
              <w:t>)</w:t>
            </w:r>
          </w:p>
        </w:tc>
      </w:tr>
      <w:tr>
        <w:tc>
          <w:tcPr>
            <w:vAlign w:val="center"/>
          </w:tcPr>
          <w:p>
            <w:pPr>
              <w:jc w:val="center"/>
            </w:pPr>
            <w:r>
              <w:rPr>
                <w:color w:val="000000"/>
                <w:sz w:val="24"/>
              </w:rPr>
              <w:t>1</w:t>
            </w:r>
          </w:p>
        </w:tc>
        <w:tc>
          <w:tcPr>
            <w:vAlign w:val="center"/>
          </w:tcPr>
          <w:p>
            <w:pPr>
              <w:jc w:val="center"/>
            </w:pPr>
            <w:r>
              <w:rPr>
                <w:color w:val="000000"/>
                <w:sz w:val="24"/>
              </w:rPr>
              <w:t>600570</w:t>
            </w:r>
          </w:p>
        </w:tc>
        <w:tc>
          <w:tcPr>
            <w:vAlign w:val="center"/>
          </w:tcPr>
          <w:p>
            <w:pPr>
              <w:jc w:val="center"/>
            </w:pPr>
            <w:r>
              <w:rPr>
                <w:color w:val="000000"/>
                <w:sz w:val="24"/>
              </w:rPr>
              <w:t>恒生电子</w:t>
            </w:r>
          </w:p>
        </w:tc>
        <w:tc>
          <w:tcPr>
            <w:vAlign w:val="center"/>
          </w:tcPr>
          <w:p>
            <w:pPr>
              <w:jc w:val="right"/>
            </w:pPr>
            <w:r>
              <w:rPr>
                <w:color w:val="000000"/>
                <w:sz w:val="24"/>
              </w:rPr>
              <w:t>181,641</w:t>
            </w:r>
          </w:p>
        </w:tc>
        <w:tc>
          <w:tcPr>
            <w:vAlign w:val="center"/>
          </w:tcPr>
          <w:p>
            <w:pPr>
              <w:jc w:val="right"/>
            </w:pPr>
            <w:r>
              <w:rPr>
                <w:color w:val="000000"/>
                <w:sz w:val="24"/>
              </w:rPr>
              <w:t>19,562,735.70</w:t>
            </w:r>
          </w:p>
        </w:tc>
        <w:tc>
          <w:tcPr>
            <w:vAlign w:val="center"/>
          </w:tcPr>
          <w:p>
            <w:pPr>
              <w:jc w:val="right"/>
            </w:pPr>
            <w:r>
              <w:rPr>
                <w:color w:val="000000"/>
                <w:sz w:val="24"/>
              </w:rPr>
              <w:t>9.79</w:t>
            </w:r>
          </w:p>
        </w:tc>
      </w:tr>
      <w:tr>
        <w:tc>
          <w:tcPr>
            <w:vAlign w:val="center"/>
          </w:tcPr>
          <w:p>
            <w:pPr>
              <w:jc w:val="center"/>
            </w:pPr>
            <w:r>
              <w:rPr>
                <w:color w:val="000000"/>
                <w:sz w:val="24"/>
              </w:rPr>
              <w:t>2</w:t>
            </w:r>
          </w:p>
        </w:tc>
        <w:tc>
          <w:tcPr>
            <w:vAlign w:val="center"/>
          </w:tcPr>
          <w:p>
            <w:pPr>
              <w:jc w:val="center"/>
            </w:pPr>
            <w:r>
              <w:rPr>
                <w:color w:val="000000"/>
                <w:sz w:val="24"/>
              </w:rPr>
              <w:t>002410</w:t>
            </w:r>
          </w:p>
        </w:tc>
        <w:tc>
          <w:tcPr>
            <w:vAlign w:val="center"/>
          </w:tcPr>
          <w:p>
            <w:pPr>
              <w:jc w:val="center"/>
            </w:pPr>
            <w:r>
              <w:rPr>
                <w:color w:val="000000"/>
                <w:sz w:val="24"/>
              </w:rPr>
              <w:t>广联达</w:t>
            </w:r>
          </w:p>
        </w:tc>
        <w:tc>
          <w:tcPr>
            <w:vAlign w:val="center"/>
          </w:tcPr>
          <w:p>
            <w:pPr>
              <w:jc w:val="right"/>
            </w:pPr>
            <w:r>
              <w:rPr>
                <w:color w:val="000000"/>
                <w:sz w:val="24"/>
              </w:rPr>
              <w:t>274,962</w:t>
            </w:r>
          </w:p>
        </w:tc>
        <w:tc>
          <w:tcPr>
            <w:vAlign w:val="center"/>
          </w:tcPr>
          <w:p>
            <w:pPr>
              <w:jc w:val="right"/>
            </w:pPr>
            <w:r>
              <w:rPr>
                <w:color w:val="000000"/>
                <w:sz w:val="24"/>
              </w:rPr>
              <w:t>19,164,851.40</w:t>
            </w:r>
          </w:p>
        </w:tc>
        <w:tc>
          <w:tcPr>
            <w:vAlign w:val="center"/>
          </w:tcPr>
          <w:p>
            <w:pPr>
              <w:jc w:val="right"/>
            </w:pPr>
            <w:r>
              <w:rPr>
                <w:color w:val="000000"/>
                <w:sz w:val="24"/>
              </w:rPr>
              <w:t>9.59</w:t>
            </w:r>
          </w:p>
        </w:tc>
      </w:tr>
      <w:tr>
        <w:tc>
          <w:tcPr>
            <w:vAlign w:val="center"/>
          </w:tcPr>
          <w:p>
            <w:pPr>
              <w:jc w:val="center"/>
            </w:pPr>
            <w:r>
              <w:rPr>
                <w:color w:val="000000"/>
                <w:sz w:val="24"/>
              </w:rPr>
              <w:t>3</w:t>
            </w:r>
          </w:p>
        </w:tc>
        <w:tc>
          <w:tcPr>
            <w:vAlign w:val="center"/>
          </w:tcPr>
          <w:p>
            <w:pPr>
              <w:jc w:val="center"/>
            </w:pPr>
            <w:r>
              <w:rPr>
                <w:color w:val="000000"/>
                <w:sz w:val="24"/>
              </w:rPr>
              <w:t>002153</w:t>
            </w:r>
          </w:p>
        </w:tc>
        <w:tc>
          <w:tcPr>
            <w:vAlign w:val="center"/>
          </w:tcPr>
          <w:p>
            <w:pPr>
              <w:jc w:val="center"/>
            </w:pPr>
            <w:r>
              <w:rPr>
                <w:color w:val="000000"/>
                <w:sz w:val="24"/>
              </w:rPr>
              <w:t>石基信息</w:t>
            </w:r>
          </w:p>
        </w:tc>
        <w:tc>
          <w:tcPr>
            <w:vAlign w:val="center"/>
          </w:tcPr>
          <w:p>
            <w:pPr>
              <w:jc w:val="right"/>
            </w:pPr>
            <w:r>
              <w:rPr>
                <w:color w:val="000000"/>
                <w:sz w:val="24"/>
              </w:rPr>
              <w:t>477,838</w:t>
            </w:r>
          </w:p>
        </w:tc>
        <w:tc>
          <w:tcPr>
            <w:vAlign w:val="center"/>
          </w:tcPr>
          <w:p>
            <w:pPr>
              <w:jc w:val="right"/>
            </w:pPr>
            <w:r>
              <w:rPr>
                <w:color w:val="000000"/>
                <w:sz w:val="24"/>
              </w:rPr>
              <w:t>18,650,017.14</w:t>
            </w:r>
          </w:p>
        </w:tc>
        <w:tc>
          <w:tcPr>
            <w:vAlign w:val="center"/>
          </w:tcPr>
          <w:p>
            <w:pPr>
              <w:jc w:val="right"/>
            </w:pPr>
            <w:r>
              <w:rPr>
                <w:color w:val="000000"/>
                <w:sz w:val="24"/>
              </w:rPr>
              <w:t>9.33</w:t>
            </w:r>
          </w:p>
        </w:tc>
      </w:tr>
      <w:tr>
        <w:tc>
          <w:tcPr>
            <w:vAlign w:val="center"/>
          </w:tcPr>
          <w:p>
            <w:pPr>
              <w:jc w:val="center"/>
            </w:pPr>
            <w:r>
              <w:rPr>
                <w:color w:val="000000"/>
                <w:sz w:val="24"/>
              </w:rPr>
              <w:t>4</w:t>
            </w:r>
          </w:p>
        </w:tc>
        <w:tc>
          <w:tcPr>
            <w:vAlign w:val="center"/>
          </w:tcPr>
          <w:p>
            <w:pPr>
              <w:jc w:val="center"/>
            </w:pPr>
            <w:r>
              <w:rPr>
                <w:color w:val="000000"/>
                <w:sz w:val="24"/>
              </w:rPr>
              <w:t>600967</w:t>
            </w:r>
          </w:p>
        </w:tc>
        <w:tc>
          <w:tcPr>
            <w:vAlign w:val="center"/>
          </w:tcPr>
          <w:p>
            <w:pPr>
              <w:jc w:val="center"/>
            </w:pPr>
            <w:r>
              <w:rPr>
                <w:color w:val="000000"/>
                <w:sz w:val="24"/>
              </w:rPr>
              <w:t>内蒙一机</w:t>
            </w:r>
          </w:p>
        </w:tc>
        <w:tc>
          <w:tcPr>
            <w:vAlign w:val="center"/>
          </w:tcPr>
          <w:p>
            <w:pPr>
              <w:jc w:val="right"/>
            </w:pPr>
            <w:r>
              <w:rPr>
                <w:color w:val="000000"/>
                <w:sz w:val="24"/>
              </w:rPr>
              <w:t>1,768,100</w:t>
            </w:r>
          </w:p>
        </w:tc>
        <w:tc>
          <w:tcPr>
            <w:vAlign w:val="center"/>
          </w:tcPr>
          <w:p>
            <w:pPr>
              <w:jc w:val="right"/>
            </w:pPr>
            <w:r>
              <w:rPr>
                <w:color w:val="000000"/>
                <w:sz w:val="24"/>
              </w:rPr>
              <w:t>18,370,559.00</w:t>
            </w:r>
          </w:p>
        </w:tc>
        <w:tc>
          <w:tcPr>
            <w:vAlign w:val="center"/>
          </w:tcPr>
          <w:p>
            <w:pPr>
              <w:jc w:val="right"/>
            </w:pPr>
            <w:r>
              <w:rPr>
                <w:color w:val="000000"/>
                <w:sz w:val="24"/>
              </w:rPr>
              <w:t>9.19</w:t>
            </w:r>
          </w:p>
        </w:tc>
      </w:tr>
      <w:tr>
        <w:tc>
          <w:tcPr>
            <w:vAlign w:val="center"/>
          </w:tcPr>
          <w:p>
            <w:pPr>
              <w:jc w:val="center"/>
            </w:pPr>
            <w:r>
              <w:rPr>
                <w:color w:val="000000"/>
                <w:sz w:val="24"/>
              </w:rPr>
              <w:t>5</w:t>
            </w:r>
          </w:p>
        </w:tc>
        <w:tc>
          <w:tcPr>
            <w:vAlign w:val="center"/>
          </w:tcPr>
          <w:p>
            <w:pPr>
              <w:jc w:val="center"/>
            </w:pPr>
            <w:r>
              <w:rPr>
                <w:color w:val="000000"/>
                <w:sz w:val="24"/>
              </w:rPr>
              <w:t>600588</w:t>
            </w:r>
          </w:p>
        </w:tc>
        <w:tc>
          <w:tcPr>
            <w:vAlign w:val="center"/>
          </w:tcPr>
          <w:p>
            <w:pPr>
              <w:jc w:val="center"/>
            </w:pPr>
            <w:r>
              <w:rPr>
                <w:color w:val="000000"/>
                <w:sz w:val="24"/>
              </w:rPr>
              <w:t>用友网络</w:t>
            </w:r>
          </w:p>
        </w:tc>
        <w:tc>
          <w:tcPr>
            <w:vAlign w:val="center"/>
          </w:tcPr>
          <w:p>
            <w:pPr>
              <w:jc w:val="right"/>
            </w:pPr>
            <w:r>
              <w:rPr>
                <w:color w:val="000000"/>
                <w:sz w:val="24"/>
              </w:rPr>
              <w:t>344,370</w:t>
            </w:r>
          </w:p>
        </w:tc>
        <w:tc>
          <w:tcPr>
            <w:vAlign w:val="center"/>
          </w:tcPr>
          <w:p>
            <w:pPr>
              <w:jc w:val="right"/>
            </w:pPr>
            <w:r>
              <w:rPr>
                <w:color w:val="000000"/>
                <w:sz w:val="24"/>
              </w:rPr>
              <w:t>15,186,717.00</w:t>
            </w:r>
          </w:p>
        </w:tc>
        <w:tc>
          <w:tcPr>
            <w:vAlign w:val="center"/>
          </w:tcPr>
          <w:p>
            <w:pPr>
              <w:jc w:val="right"/>
            </w:pPr>
            <w:r>
              <w:rPr>
                <w:color w:val="000000"/>
                <w:sz w:val="24"/>
              </w:rPr>
              <w:t>7.60</w:t>
            </w:r>
          </w:p>
        </w:tc>
      </w:tr>
      <w:tr>
        <w:tc>
          <w:tcPr>
            <w:vAlign w:val="center"/>
          </w:tcPr>
          <w:p>
            <w:pPr>
              <w:jc w:val="center"/>
            </w:pPr>
            <w:r>
              <w:rPr>
                <w:color w:val="000000"/>
                <w:sz w:val="24"/>
              </w:rPr>
              <w:t>6</w:t>
            </w:r>
          </w:p>
        </w:tc>
        <w:tc>
          <w:tcPr>
            <w:vAlign w:val="center"/>
          </w:tcPr>
          <w:p>
            <w:pPr>
              <w:jc w:val="center"/>
            </w:pPr>
            <w:r>
              <w:rPr>
                <w:color w:val="000000"/>
                <w:sz w:val="24"/>
              </w:rPr>
              <w:t>600845</w:t>
            </w:r>
          </w:p>
        </w:tc>
        <w:tc>
          <w:tcPr>
            <w:vAlign w:val="center"/>
          </w:tcPr>
          <w:p>
            <w:pPr>
              <w:jc w:val="center"/>
            </w:pPr>
            <w:r>
              <w:rPr>
                <w:color w:val="000000"/>
                <w:sz w:val="24"/>
              </w:rPr>
              <w:t>宝信软件</w:t>
            </w:r>
          </w:p>
        </w:tc>
        <w:tc>
          <w:tcPr>
            <w:vAlign w:val="center"/>
          </w:tcPr>
          <w:p>
            <w:pPr>
              <w:jc w:val="right"/>
            </w:pPr>
            <w:r>
              <w:rPr>
                <w:color w:val="000000"/>
                <w:sz w:val="24"/>
              </w:rPr>
              <w:t>219,300</w:t>
            </w:r>
          </w:p>
        </w:tc>
        <w:tc>
          <w:tcPr>
            <w:vAlign w:val="center"/>
          </w:tcPr>
          <w:p>
            <w:pPr>
              <w:jc w:val="right"/>
            </w:pPr>
            <w:r>
              <w:rPr>
                <w:color w:val="000000"/>
                <w:sz w:val="24"/>
              </w:rPr>
              <w:t>12,956,244.00</w:t>
            </w:r>
          </w:p>
        </w:tc>
        <w:tc>
          <w:tcPr>
            <w:vAlign w:val="center"/>
          </w:tcPr>
          <w:p>
            <w:pPr>
              <w:jc w:val="right"/>
            </w:pPr>
            <w:r>
              <w:rPr>
                <w:color w:val="000000"/>
                <w:sz w:val="24"/>
              </w:rPr>
              <w:t>6.48</w:t>
            </w:r>
          </w:p>
        </w:tc>
      </w:tr>
      <w:tr>
        <w:tc>
          <w:tcPr>
            <w:vAlign w:val="center"/>
          </w:tcPr>
          <w:p>
            <w:pPr>
              <w:jc w:val="center"/>
            </w:pPr>
            <w:r>
              <w:rPr>
                <w:color w:val="000000"/>
                <w:sz w:val="24"/>
              </w:rPr>
              <w:t>7</w:t>
            </w:r>
          </w:p>
        </w:tc>
        <w:tc>
          <w:tcPr>
            <w:vAlign w:val="center"/>
          </w:tcPr>
          <w:p>
            <w:pPr>
              <w:jc w:val="center"/>
            </w:pPr>
            <w:r>
              <w:rPr>
                <w:color w:val="000000"/>
                <w:sz w:val="24"/>
              </w:rPr>
              <w:t>300113</w:t>
            </w:r>
          </w:p>
        </w:tc>
        <w:tc>
          <w:tcPr>
            <w:vAlign w:val="center"/>
          </w:tcPr>
          <w:p>
            <w:pPr>
              <w:jc w:val="center"/>
            </w:pPr>
            <w:r>
              <w:rPr>
                <w:color w:val="000000"/>
                <w:sz w:val="24"/>
              </w:rPr>
              <w:t>顺网科技</w:t>
            </w:r>
          </w:p>
        </w:tc>
        <w:tc>
          <w:tcPr>
            <w:vAlign w:val="center"/>
          </w:tcPr>
          <w:p>
            <w:pPr>
              <w:jc w:val="right"/>
            </w:pPr>
            <w:r>
              <w:rPr>
                <w:color w:val="000000"/>
                <w:sz w:val="24"/>
              </w:rPr>
              <w:t>435,034</w:t>
            </w:r>
          </w:p>
        </w:tc>
        <w:tc>
          <w:tcPr>
            <w:vAlign w:val="center"/>
          </w:tcPr>
          <w:p>
            <w:pPr>
              <w:jc w:val="right"/>
            </w:pPr>
            <w:r>
              <w:rPr>
                <w:color w:val="000000"/>
                <w:sz w:val="24"/>
              </w:rPr>
              <w:t>11,049,863.60</w:t>
            </w:r>
          </w:p>
        </w:tc>
        <w:tc>
          <w:tcPr>
            <w:vAlign w:val="center"/>
          </w:tcPr>
          <w:p>
            <w:pPr>
              <w:jc w:val="right"/>
            </w:pPr>
            <w:r>
              <w:rPr>
                <w:color w:val="000000"/>
                <w:sz w:val="24"/>
              </w:rPr>
              <w:t>5.53</w:t>
            </w:r>
          </w:p>
        </w:tc>
      </w:tr>
      <w:tr>
        <w:tc>
          <w:tcPr>
            <w:vAlign w:val="center"/>
          </w:tcPr>
          <w:p>
            <w:pPr>
              <w:jc w:val="center"/>
            </w:pPr>
            <w:r>
              <w:rPr>
                <w:color w:val="000000"/>
                <w:sz w:val="24"/>
              </w:rPr>
              <w:t>8</w:t>
            </w:r>
          </w:p>
        </w:tc>
        <w:tc>
          <w:tcPr>
            <w:vAlign w:val="center"/>
          </w:tcPr>
          <w:p>
            <w:pPr>
              <w:jc w:val="center"/>
            </w:pPr>
            <w:r>
              <w:rPr>
                <w:color w:val="000000"/>
                <w:sz w:val="24"/>
              </w:rPr>
              <w:t>603786</w:t>
            </w:r>
          </w:p>
        </w:tc>
        <w:tc>
          <w:tcPr>
            <w:vAlign w:val="center"/>
          </w:tcPr>
          <w:p>
            <w:pPr>
              <w:jc w:val="center"/>
            </w:pPr>
            <w:r>
              <w:rPr>
                <w:color w:val="000000"/>
                <w:sz w:val="24"/>
              </w:rPr>
              <w:t>科博达</w:t>
            </w:r>
          </w:p>
        </w:tc>
        <w:tc>
          <w:tcPr>
            <w:vAlign w:val="center"/>
          </w:tcPr>
          <w:p>
            <w:pPr>
              <w:jc w:val="right"/>
            </w:pPr>
            <w:r>
              <w:rPr>
                <w:color w:val="000000"/>
                <w:sz w:val="24"/>
              </w:rPr>
              <w:t>145,500</w:t>
            </w:r>
          </w:p>
        </w:tc>
        <w:tc>
          <w:tcPr>
            <w:vAlign w:val="center"/>
          </w:tcPr>
          <w:p>
            <w:pPr>
              <w:jc w:val="right"/>
            </w:pPr>
            <w:r>
              <w:rPr>
                <w:color w:val="000000"/>
                <w:sz w:val="24"/>
              </w:rPr>
              <w:t>10,963,425.00</w:t>
            </w:r>
          </w:p>
        </w:tc>
        <w:tc>
          <w:tcPr>
            <w:vAlign w:val="center"/>
          </w:tcPr>
          <w:p>
            <w:pPr>
              <w:jc w:val="right"/>
            </w:pPr>
            <w:r>
              <w:rPr>
                <w:color w:val="000000"/>
                <w:sz w:val="24"/>
              </w:rPr>
              <w:t>5.48</w:t>
            </w:r>
          </w:p>
        </w:tc>
      </w:tr>
      <w:tr>
        <w:tc>
          <w:tcPr>
            <w:vAlign w:val="center"/>
          </w:tcPr>
          <w:p>
            <w:pPr>
              <w:jc w:val="center"/>
            </w:pPr>
            <w:r>
              <w:rPr>
                <w:color w:val="000000"/>
                <w:sz w:val="24"/>
              </w:rPr>
              <w:t>9</w:t>
            </w:r>
          </w:p>
        </w:tc>
        <w:tc>
          <w:tcPr>
            <w:vAlign w:val="center"/>
          </w:tcPr>
          <w:p>
            <w:pPr>
              <w:jc w:val="center"/>
            </w:pPr>
            <w:r>
              <w:rPr>
                <w:color w:val="000000"/>
                <w:sz w:val="24"/>
              </w:rPr>
              <w:t>300454</w:t>
            </w:r>
          </w:p>
        </w:tc>
        <w:tc>
          <w:tcPr>
            <w:vAlign w:val="center"/>
          </w:tcPr>
          <w:p>
            <w:pPr>
              <w:jc w:val="center"/>
            </w:pPr>
            <w:r>
              <w:rPr>
                <w:color w:val="000000"/>
                <w:sz w:val="24"/>
              </w:rPr>
              <w:t>深信服</w:t>
            </w:r>
          </w:p>
        </w:tc>
        <w:tc>
          <w:tcPr>
            <w:vAlign w:val="center"/>
          </w:tcPr>
          <w:p>
            <w:pPr>
              <w:jc w:val="right"/>
            </w:pPr>
            <w:r>
              <w:rPr>
                <w:color w:val="000000"/>
                <w:sz w:val="24"/>
              </w:rPr>
              <w:t>50,628</w:t>
            </w:r>
          </w:p>
        </w:tc>
        <w:tc>
          <w:tcPr>
            <w:vAlign w:val="center"/>
          </w:tcPr>
          <w:p>
            <w:pPr>
              <w:jc w:val="right"/>
            </w:pPr>
            <w:r>
              <w:rPr>
                <w:color w:val="000000"/>
                <w:sz w:val="24"/>
              </w:rPr>
              <w:t>10,427,342.88</w:t>
            </w:r>
          </w:p>
        </w:tc>
        <w:tc>
          <w:tcPr>
            <w:vAlign w:val="center"/>
          </w:tcPr>
          <w:p>
            <w:pPr>
              <w:jc w:val="right"/>
            </w:pPr>
            <w:r>
              <w:rPr>
                <w:color w:val="000000"/>
                <w:sz w:val="24"/>
              </w:rPr>
              <w:t>5.22</w:t>
            </w:r>
          </w:p>
        </w:tc>
      </w:tr>
      <w:tr>
        <w:tc>
          <w:tcPr>
            <w:vAlign w:val="center"/>
          </w:tcPr>
          <w:p>
            <w:pPr>
              <w:jc w:val="center"/>
            </w:pPr>
            <w:r>
              <w:rPr>
                <w:color w:val="000000"/>
                <w:sz w:val="24"/>
              </w:rPr>
              <w:t>10</w:t>
            </w:r>
          </w:p>
        </w:tc>
        <w:tc>
          <w:tcPr>
            <w:vAlign w:val="center"/>
          </w:tcPr>
          <w:p>
            <w:pPr>
              <w:jc w:val="center"/>
            </w:pPr>
            <w:r>
              <w:rPr>
                <w:color w:val="000000"/>
                <w:sz w:val="24"/>
              </w:rPr>
              <w:t>300699</w:t>
            </w:r>
          </w:p>
        </w:tc>
        <w:tc>
          <w:tcPr>
            <w:vAlign w:val="center"/>
          </w:tcPr>
          <w:p>
            <w:pPr>
              <w:jc w:val="center"/>
            </w:pPr>
            <w:r>
              <w:rPr>
                <w:color w:val="000000"/>
                <w:sz w:val="24"/>
              </w:rPr>
              <w:t>光威复材</w:t>
            </w:r>
          </w:p>
        </w:tc>
        <w:tc>
          <w:tcPr>
            <w:vAlign w:val="center"/>
          </w:tcPr>
          <w:p>
            <w:pPr>
              <w:jc w:val="right"/>
            </w:pPr>
            <w:r>
              <w:rPr>
                <w:color w:val="000000"/>
                <w:sz w:val="24"/>
              </w:rPr>
              <w:t>163,020</w:t>
            </w:r>
          </w:p>
        </w:tc>
        <w:tc>
          <w:tcPr>
            <w:vAlign w:val="center"/>
          </w:tcPr>
          <w:p>
            <w:pPr>
              <w:jc w:val="right"/>
            </w:pPr>
            <w:r>
              <w:rPr>
                <w:color w:val="000000"/>
                <w:sz w:val="24"/>
              </w:rPr>
              <w:t>10,226,244.60</w:t>
            </w:r>
          </w:p>
        </w:tc>
        <w:tc>
          <w:tcPr>
            <w:vAlign w:val="center"/>
          </w:tcPr>
          <w:p>
            <w:pPr>
              <w:jc w:val="right"/>
            </w:pPr>
            <w:r>
              <w:rPr>
                <w:color w:val="000000"/>
                <w:sz w:val="24"/>
              </w:rPr>
              <w:t>5.12</w:t>
            </w:r>
          </w:p>
        </w:tc>
      </w:tr>
    </w:tbl>
    <w:p w:rsidP="00B54884" w:rsidR="006A1153" w:rsidRDefault="00F016DD" w:rsidRPr="006A1153">
      <w:pPr>
        <w:autoSpaceDE w:val="0"/>
        <w:autoSpaceDN w:val="0"/>
        <w:adjustRightInd w:val="0"/>
        <w:spacing w:before="312" w:beforeLines="100" w:line="360" w:lineRule="auto"/>
        <w:jc w:val="left"/>
        <w:rPr>
          <w:rFonts w:eastAsiaTheme="minorEastAsia"/>
          <w:b/>
          <w:color w:themeColor="text1" w:val="000000"/>
          <w:kern w:val="0"/>
          <w:sz w:val="24"/>
        </w:rPr>
      </w:pPr>
      <w:r w:rsidRPr="0078105B">
        <w:rPr>
          <w:rFonts w:ascii="宋体" w:cs="Arial" w:hAnsi="宋体"/>
          <w:b/>
          <w:color w:val="000000"/>
          <w:kern w:val="0"/>
          <w:sz w:val="24"/>
        </w:rPr>
        <w:t xml:space="preserve">5.4 </w:t>
      </w:r>
      <w:r w:rsidRPr="0078105B">
        <w:rPr>
          <w:rFonts w:ascii="宋体" w:cs="Arial" w:hAnsi="宋体" w:hint="eastAsia"/>
          <w:b/>
          <w:color w:val="000000"/>
          <w:kern w:val="0"/>
          <w:sz w:val="24"/>
        </w:rPr>
        <w:t>报告期末按债券品种分类的债券投资组合</w:t>
      </w:r>
    </w:p>
    <w:p w:rsidP="006A1153" w:rsidR="00F016DD" w:rsidRDefault="006A1153" w:rsidRPr="00EA6415">
      <w:pPr>
        <w:spacing w:line="360" w:lineRule="auto"/>
        <w:ind w:firstLine="480" w:firstLineChars="200"/>
        <w:rPr>
          <w:color w:val="000000"/>
          <w:sz w:val="24"/>
        </w:rPr>
      </w:pPr>
      <w:r w:rsidRPr="00EA6415">
        <w:rPr>
          <w:color w:val="000000"/>
          <w:sz w:val="24"/>
        </w:rPr>
        <w:lastRenderedPageBreak/>
        <w:t/>
      </w:r>
      <w:proofErr w:type="spellStart"/>
      <w:r w:rsidRPr="00EA6415">
        <w:rPr>
          <w:color w:val="000000"/>
          <w:sz w:val="24"/>
        </w:rPr>
        <w:t/>
      </w:r>
      <w:proofErr w:type="spellEnd"/>
      <w:r w:rsidRPr="00EA6415">
        <w:rPr>
          <w:color w:val="000000"/>
          <w:sz w:val="24"/>
        </w:rPr>
        <w:t/>
      </w:r>
      <w:proofErr w:type="spellStart"/>
      <w:proofErr w:type="gramStart"/>
      <w:r w:rsidRPr="00EA6415">
        <w:rPr>
          <w:color w:val="000000"/>
          <w:sz w:val="24"/>
        </w:rPr>
        <w:t/>
      </w:r>
      <w:proofErr w:type="spellEnd"/>
      <w:proofErr w:type="gramEnd"/>
      <w:r w:rsidRPr="00EA6415">
        <w:rPr>
          <w:color w:val="000000"/>
          <w:sz w:val="24"/>
        </w:rPr>
        <w:t>本基金本报告期末未持有债券。</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5.5 </w:t>
      </w:r>
      <w:r w:rsidRPr="0078105B">
        <w:rPr>
          <w:rFonts w:ascii="宋体" w:cs="Arial" w:hAnsi="宋体" w:hint="eastAsia"/>
          <w:b/>
          <w:color w:val="000000"/>
          <w:kern w:val="0"/>
          <w:sz w:val="24"/>
        </w:rPr>
        <w:t>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的前五名债券投资明细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本基金本报告期末未持有债券。</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5.6</w:t>
      </w:r>
      <w:r w:rsidRPr="0078105B">
        <w:rPr>
          <w:rFonts w:ascii="宋体" w:cs="Arial" w:hAnsi="宋体" w:hint="eastAsia"/>
          <w:b/>
          <w:color w:val="000000"/>
          <w:kern w:val="0"/>
          <w:sz w:val="24"/>
        </w:rPr>
        <w:t xml:space="preserve">　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的前十名资产支持证券投资明细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本基金本报告期末未持有资产支持证券。</w:t>
      </w:r>
    </w:p>
    <w:p w:rsidP="006D462B" w:rsidR="00F016DD" w:rsidRDefault="00F016DD" w:rsidRPr="001D63BB">
      <w:pPr>
        <w:autoSpaceDE w:val="0"/>
        <w:autoSpaceDN w:val="0"/>
        <w:adjustRightInd w:val="0"/>
        <w:spacing w:line="360" w:lineRule="auto"/>
        <w:jc w:val="left"/>
        <w:rPr>
          <w:rFonts w:ascii="宋体"/>
          <w:b/>
          <w:bCs/>
          <w:color w:val="000000"/>
          <w:kern w:val="0"/>
          <w:sz w:val="24"/>
        </w:rPr>
      </w:pPr>
      <w:r w:rsidRPr="001B0A62">
        <w:rPr>
          <w:rFonts w:ascii="宋体"/>
          <w:b/>
          <w:bCs/>
          <w:color w:val="000000"/>
          <w:kern w:val="0"/>
          <w:sz w:val="24"/>
        </w:rPr>
        <w:t/>
      </w:r>
      <w:r w:rsidRPr="001B0A62">
        <w:rPr>
          <w:rFonts w:ascii="宋体" w:hAnsi="宋体"/>
          <w:b/>
          <w:bCs/>
          <w:color w:val="000000"/>
          <w:kern w:val="0"/>
          <w:sz w:val="24"/>
        </w:rPr>
        <w:t>5</w:t>
      </w:r>
      <w:proofErr w:type="gramStart"/>
      <w:r w:rsidRPr="001B0A62">
        <w:rPr>
          <w:rFonts w:ascii="宋体" w:hAnsi="宋体"/>
          <w:b/>
          <w:bCs/>
          <w:color w:val="000000"/>
          <w:kern w:val="0"/>
          <w:sz w:val="24"/>
        </w:rPr>
        <w:t>.</w:t>
      </w:r>
      <w:proofErr w:type="gramEnd"/>
      <w:r w:rsidRPr="001B0A62">
        <w:rPr>
          <w:rFonts w:ascii="宋体" w:hAnsi="宋体"/>
          <w:b/>
          <w:bCs/>
          <w:color w:val="000000"/>
          <w:kern w:val="0"/>
          <w:sz w:val="24"/>
        </w:rPr>
        <w:t/>
      </w:r>
      <w:r>
        <w:rPr>
          <w:rFonts w:ascii="宋体" w:hAnsi="宋体"/>
          <w:b/>
          <w:bCs/>
          <w:color w:val="000000"/>
          <w:kern w:val="0"/>
          <w:sz w:val="24"/>
        </w:rPr>
        <w:t/>
      </w:r>
      <w:r w:rsidRPr="001B0A62">
        <w:rPr>
          <w:rFonts w:ascii="宋体"/>
          <w:b/>
          <w:bCs/>
          <w:color w:val="000000"/>
          <w:kern w:val="0"/>
          <w:sz w:val="24"/>
        </w:rPr>
        <w:t>7</w:t>
      </w:r>
      <w:r w:rsidRPr="001D63BB">
        <w:rPr>
          <w:rFonts w:ascii="宋体" w:hAnsi="宋体" w:hint="eastAsia"/>
          <w:b/>
          <w:bCs/>
          <w:color w:val="000000"/>
          <w:kern w:val="0"/>
          <w:sz w:val="24"/>
        </w:rPr>
        <w:t>报告期末按公允价值占基金资产净值比例大小排序的前五名贵金属投资明细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本基金本报告期末未持有贵金属。</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Pr>
          <w:rFonts w:ascii="宋体" w:cs="Arial"/>
          <w:b/>
          <w:color w:val="000000"/>
          <w:kern w:val="0"/>
          <w:sz w:val="24"/>
        </w:rPr>
        <w:t/>
      </w:r>
      <w:proofErr w:type="gramStart"/>
      <w:r>
        <w:rPr>
          <w:rFonts w:ascii="宋体" w:cs="Arial" w:hAnsi="宋体"/>
          <w:b/>
          <w:color w:val="000000"/>
          <w:kern w:val="0"/>
          <w:sz w:val="24"/>
        </w:rPr>
        <w:t/>
      </w:r>
      <w:proofErr w:type="gramEnd"/>
      <w:r>
        <w:rPr>
          <w:rFonts w:ascii="宋体" w:cs="Arial" w:hAnsi="宋体"/>
          <w:b/>
          <w:color w:val="000000"/>
          <w:kern w:val="0"/>
          <w:sz w:val="24"/>
        </w:rPr>
        <w:t>5</w:t>
      </w:r>
      <w:r w:rsidRPr="0078105B">
        <w:rPr>
          <w:rFonts w:ascii="宋体" w:cs="Arial"/>
          <w:b/>
          <w:color w:val="000000"/>
          <w:kern w:val="0"/>
          <w:sz w:val="24"/>
        </w:rPr>
        <w:t>.</w:t>
      </w:r>
      <w:r>
        <w:rPr>
          <w:rFonts w:ascii="宋体" w:cs="Arial"/>
          <w:b/>
          <w:color w:val="000000"/>
          <w:kern w:val="0"/>
          <w:sz w:val="24"/>
        </w:rPr>
        <w:t/>
      </w:r>
      <w:r>
        <w:rPr>
          <w:rFonts w:ascii="宋体" w:cs="Arial" w:hAnsi="宋体"/>
          <w:b/>
          <w:color w:val="000000"/>
          <w:kern w:val="0"/>
          <w:sz w:val="24"/>
        </w:rPr>
        <w:t>8</w:t>
      </w:r>
      <w:r w:rsidRPr="0078105B">
        <w:rPr>
          <w:rFonts w:ascii="宋体" w:cs="Arial" w:hAnsi="宋体" w:hint="eastAsia"/>
          <w:b/>
          <w:color w:val="000000"/>
          <w:kern w:val="0"/>
          <w:sz w:val="24"/>
        </w:rPr>
        <w:t>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的前五名权证投资明细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本基金本报告期末未持有权证。</w:t>
      </w:r>
    </w:p>
    <w:p w:rsidP="001D5CD0" w:rsidR="00F016DD" w:rsidRDefault="00F016DD" w:rsidRPr="00E85E29">
      <w:pPr>
        <w:adjustRightInd w:val="0"/>
        <w:snapToGrid w:val="0"/>
        <w:spacing w:line="360" w:lineRule="auto"/>
        <w:rPr>
          <w:rFonts w:ascii="宋体"/>
          <w:b/>
          <w:sz w:val="24"/>
        </w:rPr>
      </w:pPr>
      <w:r w:rsidRPr="00E85E29">
        <w:rPr>
          <w:rFonts w:ascii="宋体"/>
          <w:b/>
          <w:sz w:val="24"/>
        </w:rPr>
        <w:t/>
      </w:r>
      <w:proofErr w:type="spellStart"/>
      <w:r w:rsidRPr="00E85E29">
        <w:rPr>
          <w:rFonts w:ascii="宋体" w:hAnsi="宋体"/>
          <w:b/>
          <w:sz w:val="24"/>
        </w:rPr>
        <w:t/>
      </w:r>
      <w:proofErr w:type="spellEnd"/>
      <w:r>
        <w:rPr>
          <w:rFonts w:ascii="宋体"/>
          <w:b/>
          <w:sz w:val="24"/>
        </w:rPr>
        <w:t/>
      </w:r>
      <w:proofErr w:type="gramStart"/>
      <w:r>
        <w:rPr>
          <w:rFonts w:ascii="宋体" w:hAnsi="宋体"/>
          <w:b/>
          <w:sz w:val="24"/>
        </w:rPr>
        <w:t/>
      </w:r>
      <w:proofErr w:type="gramEnd"/>
      <w:r>
        <w:rPr>
          <w:rFonts w:ascii="宋体" w:hAnsi="宋体"/>
          <w:b/>
          <w:sz w:val="24"/>
        </w:rPr>
        <w:t>5.</w:t>
      </w:r>
      <w:r w:rsidRPr="00E85E29">
        <w:rPr>
          <w:rFonts w:ascii="宋体"/>
          <w:b/>
          <w:sz w:val="24"/>
        </w:rPr>
        <w:t>9</w:t>
      </w:r>
      <w:r w:rsidRPr="00E85E29">
        <w:rPr>
          <w:rFonts w:ascii="宋体" w:hAnsi="宋体" w:hint="eastAsia"/>
          <w:b/>
          <w:sz w:val="24"/>
        </w:rPr>
        <w:t>报告期末本基金投资的股指期货交易情况说明</w:t>
      </w:r>
    </w:p>
    <w:p w:rsidP="001F60E9" w:rsidR="001F60E9" w:rsidRDefault="001F60E9">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proofErr w:type="gramStart"/>
      <w:r>
        <w:rPr>
          <w:color w:val="000000"/>
          <w:sz w:val="24"/>
        </w:rPr>
        <w:t/>
      </w:r>
      <w:r>
        <w:rPr>
          <w:rFonts w:eastAsiaTheme="minorEastAsia"/>
          <w:color w:themeColor="text1" w:val="000000"/>
          <w:sz w:val="24"/>
        </w:rPr>
        <w:t/>
      </w:r>
      <w:proofErr w:type="spellEnd"/>
      <w:proofErr w:type="gramEnd"/>
      <w:r>
        <w:rPr>
          <w:rFonts w:eastAsiaTheme="minorEastAsia"/>
          <w:color w:themeColor="text1" w:val="000000"/>
          <w:sz w:val="24"/>
        </w:rPr>
        <w:t>本基金本报告期末未投资股指期货。</w:t>
      </w:r>
    </w:p>
    <w:p w:rsidP="001D5CD0" w:rsidR="00F016DD" w:rsidRDefault="00F016DD" w:rsidRPr="00E85E29">
      <w:pPr>
        <w:adjustRightInd w:val="0"/>
        <w:snapToGrid w:val="0"/>
        <w:spacing w:line="360" w:lineRule="auto"/>
        <w:rPr>
          <w:rFonts w:ascii="宋体"/>
          <w:b/>
          <w:sz w:val="24"/>
        </w:rPr>
      </w:pPr>
      <w:r w:rsidRPr="00E85E29">
        <w:rPr>
          <w:rFonts w:ascii="宋体"/>
          <w:b/>
          <w:sz w:val="24"/>
        </w:rPr>
        <w:t/>
      </w:r>
      <w:proofErr w:type="spellStart"/>
      <w:r w:rsidRPr="00E85E29">
        <w:rPr>
          <w:rFonts w:ascii="宋体" w:hAnsi="宋体"/>
          <w:b/>
          <w:sz w:val="24"/>
        </w:rPr>
        <w:t/>
      </w:r>
      <w:proofErr w:type="spellEnd"/>
      <w:r w:rsidRPr="00E85E29">
        <w:rPr>
          <w:rFonts w:ascii="宋体" w:hAnsi="宋体"/>
          <w:b/>
          <w:sz w:val="24"/>
        </w:rPr>
        <w:t/>
      </w:r>
      <w:proofErr w:type="gramStart"/>
      <w:r w:rsidRPr="00E85E29">
        <w:rPr>
          <w:rFonts w:ascii="宋体" w:hAnsi="宋体"/>
          <w:b/>
          <w:sz w:val="24"/>
        </w:rPr>
        <w:t/>
      </w:r>
      <w:proofErr w:type="gramEnd"/>
      <w:r w:rsidRPr="00E85E29">
        <w:rPr>
          <w:rFonts w:ascii="宋体" w:hAnsi="宋体"/>
          <w:b/>
          <w:sz w:val="24"/>
        </w:rPr>
        <w:t>5.10</w:t>
      </w:r>
      <w:r w:rsidRPr="00E85E29">
        <w:rPr>
          <w:rFonts w:ascii="宋体" w:hAnsi="宋体" w:hint="eastAsia"/>
          <w:b/>
          <w:sz w:val="24"/>
        </w:rPr>
        <w:t>报告期末本基金投资的国债期货交易情况说明</w:t>
      </w:r>
    </w:p>
    <w:p w:rsidP="00B249C0" w:rsidR="00B249C0" w:rsidRDefault="00B249C0">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proofErr w:type="gramStart"/>
      <w:r>
        <w:rPr>
          <w:color w:val="000000"/>
          <w:sz w:val="24"/>
        </w:rPr>
        <w:t/>
      </w:r>
      <w:proofErr w:type="spellEnd"/>
      <w:proofErr w:type="gramEnd"/>
      <w:r>
        <w:rPr>
          <w:color w:val="000000"/>
          <w:sz w:val="24"/>
        </w:rPr>
        <w:t>本基金本报告期末未投资国债期货。</w:t>
      </w:r>
    </w:p>
    <w:p w:rsidP="001D5CD0" w:rsidR="00F016DD" w:rsidRDefault="00F016DD" w:rsidRPr="00E85E29">
      <w:pPr>
        <w:autoSpaceDE w:val="0"/>
        <w:autoSpaceDN w:val="0"/>
        <w:adjustRightInd w:val="0"/>
        <w:spacing w:line="360" w:lineRule="auto"/>
        <w:jc w:val="left"/>
        <w:rPr>
          <w:rFonts w:ascii="宋体" w:cs="Arial"/>
          <w:b/>
          <w:kern w:val="0"/>
          <w:sz w:val="24"/>
        </w:rPr>
      </w:pPr>
      <w:r w:rsidRPr="00E85E29">
        <w:rPr>
          <w:rFonts w:ascii="宋体" w:cs="Arial"/>
          <w:b/>
          <w:kern w:val="0"/>
          <w:sz w:val="24"/>
        </w:rPr>
        <w:t/>
      </w:r>
      <w:proofErr w:type="gramStart"/>
      <w:r w:rsidRPr="00E85E29">
        <w:rPr>
          <w:rFonts w:ascii="宋体" w:cs="Arial" w:hAnsi="宋体"/>
          <w:b/>
          <w:kern w:val="0"/>
          <w:sz w:val="24"/>
        </w:rPr>
        <w:t/>
      </w:r>
      <w:proofErr w:type="gramEnd"/>
      <w:r w:rsidRPr="00E85E29">
        <w:rPr>
          <w:rFonts w:ascii="宋体" w:cs="Arial" w:hAnsi="宋体"/>
          <w:b/>
          <w:kern w:val="0"/>
          <w:sz w:val="24"/>
        </w:rPr>
        <w:t>5.11</w:t>
      </w:r>
      <w:r w:rsidRPr="00E85E29">
        <w:rPr>
          <w:rFonts w:ascii="宋体" w:cs="Arial" w:hAnsi="宋体" w:hint="eastAsia"/>
          <w:b/>
          <w:kern w:val="0"/>
          <w:sz w:val="24"/>
        </w:rPr>
        <w:t>投资组合报告附注</w:t>
      </w:r>
    </w:p>
    <w:p w:rsidP="006456D3" w:rsidR="00F016DD" w:rsidRDefault="00B63F2B" w:rsidRPr="00414367">
      <w:pPr>
        <w:widowControl/>
        <w:spacing w:line="360" w:lineRule="auto"/>
        <w:rPr>
          <w:color w:val="000000"/>
          <w:sz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F016DD" w:rsidRPr="00414367">
        <w:rPr>
          <w:color w:val="000000"/>
          <w:sz w:val="24"/>
        </w:rPr>
        <w:t/>
      </w:r>
      <w:proofErr w:type="gramStart"/>
      <w:r w:rsidR="00F016DD" w:rsidRPr="00414367">
        <w:rPr>
          <w:color w:val="000000"/>
          <w:sz w:val="24"/>
        </w:rPr>
        <w:t/>
      </w:r>
      <w:proofErr w:type="gramEnd"/>
      <w:r w:rsidR="00F016DD" w:rsidRPr="00414367">
        <w:rPr>
          <w:color w:val="000000"/>
          <w:sz w:val="24"/>
        </w:rPr>
        <w:t>5.11.1</w:t>
      </w:r>
      <w:r w:rsidR="00293065">
        <w:rPr>
          <w:rFonts w:hint="eastAsia"/>
          <w:color w:val="000000"/>
          <w:sz w:val="24"/>
        </w:rPr>
        <w:t xml:space="preserve"> </w:t>
      </w:r>
      <w:r w:rsidR="00F016DD" w:rsidRPr="00414367">
        <w:rPr>
          <w:color w:val="000000"/>
          <w:sz w:val="24"/>
        </w:rPr>
        <w:t>本基金投资的前十名证券的发行主体本期没有出现被监管部门立案调查，或在报告编制日前一年内受到公开谴责、处罚的情形。</w:t>
      </w:r>
    </w:p>
    <w:p w:rsidP="006456D3" w:rsidR="00F016DD" w:rsidRDefault="00B63F2B" w:rsidRPr="00414367">
      <w:pPr>
        <w:widowControl/>
        <w:spacing w:line="360" w:lineRule="auto"/>
        <w:rPr>
          <w:color w:val="000000"/>
          <w:sz w:val="24"/>
        </w:rPr>
      </w:pPr>
      <w:r>
        <w:rPr>
          <w:rFonts w:hint="eastAsia"/>
          <w:color w:val="000000"/>
          <w:sz w:val="24"/>
        </w:rPr>
        <w:t/>
      </w:r>
      <w:r w:rsidR="00F016DD" w:rsidRPr="00414367">
        <w:rPr>
          <w:color w:val="000000"/>
          <w:sz w:val="24"/>
        </w:rPr>
        <w:t/>
      </w:r>
      <w:proofErr w:type="gramStart"/>
      <w:r w:rsidR="00F016DD" w:rsidRPr="00414367">
        <w:rPr>
          <w:color w:val="000000"/>
          <w:sz w:val="24"/>
        </w:rPr>
        <w:t/>
      </w:r>
      <w:proofErr w:type="gramEnd"/>
      <w:r w:rsidR="00F016DD" w:rsidRPr="00414367">
        <w:rPr>
          <w:color w:val="000000"/>
          <w:sz w:val="24"/>
        </w:rPr>
        <w:t>5.11.2</w:t>
      </w:r>
      <w:r w:rsidR="00293065">
        <w:rPr>
          <w:rFonts w:hint="eastAsia"/>
          <w:color w:val="000000"/>
          <w:sz w:val="24"/>
        </w:rPr>
        <w:t xml:space="preserve"> </w:t>
      </w:r>
      <w:r w:rsidR="00F016DD" w:rsidRPr="00414367">
        <w:rPr>
          <w:color w:val="000000"/>
          <w:sz w:val="24"/>
        </w:rPr>
        <w:t>本基金投资的前十名股票没有超出基金合同规定的备选股票库。</w:t>
      </w:r>
    </w:p>
    <w:p w:rsidP="001D5CD0" w:rsidR="00F016DD" w:rsidRDefault="00F016DD" w:rsidRPr="00414367">
      <w:pPr>
        <w:autoSpaceDE w:val="0"/>
        <w:autoSpaceDN w:val="0"/>
        <w:adjustRightInd w:val="0"/>
        <w:spacing w:line="360" w:lineRule="auto"/>
        <w:rPr>
          <w:kern w:val="0"/>
          <w:sz w:val="24"/>
        </w:rPr>
      </w:pPr>
      <w:r w:rsidRPr="00414367">
        <w:rPr>
          <w:kern w:val="0"/>
          <w:sz w:val="24"/>
        </w:rPr>
        <w:t/>
      </w:r>
      <w:proofErr w:type="gramStart"/>
      <w:r w:rsidRPr="00414367">
        <w:rPr>
          <w:kern w:val="0"/>
          <w:sz w:val="24"/>
        </w:rPr>
        <w:t/>
      </w:r>
      <w:proofErr w:type="gramEnd"/>
      <w:r w:rsidRPr="00414367">
        <w:rPr>
          <w:kern w:val="0"/>
          <w:sz w:val="24"/>
        </w:rPr>
        <w:t>5.11.3</w:t>
      </w:r>
      <w:r w:rsidRPr="00414367">
        <w:rPr>
          <w:kern w:val="0"/>
          <w:sz w:val="24"/>
        </w:rPr>
        <w:t>其他资产构成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761"/>
        <w:gridCol w:w="4808"/>
      </w:tblGrid>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序号</w:t>
            </w:r>
          </w:p>
        </w:tc>
        <w:tc>
          <w:tcPr>
            <w:tcW w:type="dxa" w:w="2761"/>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名称</w:t>
            </w:r>
          </w:p>
        </w:tc>
        <w:tc>
          <w:tcPr>
            <w:tcW w:type="dxa" w:w="4808"/>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金额</w:t>
            </w:r>
            <w:r w:rsidRPr="00FA472B">
              <w:rPr>
                <w:color w:val="000000"/>
                <w:kern w:val="0"/>
                <w:sz w:val="24"/>
              </w:rPr>
              <w:t>(</w:t>
            </w:r>
            <w:r w:rsidRPr="00FA472B">
              <w:rPr>
                <w:color w:val="000000"/>
                <w:kern w:val="0"/>
                <w:sz w:val="24"/>
              </w:rPr>
              <w:t>元</w:t>
            </w:r>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kern w:val="0"/>
                <w:sz w:val="24"/>
              </w:rPr>
            </w:pPr>
            <w:r w:rsidRPr="00FA472B">
              <w:rPr>
                <w:color w:val="000000"/>
                <w:sz w:val="24"/>
              </w:rPr>
              <w:t>1</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存出保证金</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53,667.51</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2</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应收证券清算款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3</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应收股利</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lastRenderedPageBreak/>
              <w:t>4</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应收利息</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2,089.43</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5</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应收申购款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4,884,681.21</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6</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其他应收款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7</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sz w:val="24"/>
              </w:rPr>
            </w:pPr>
            <w:r w:rsidRPr="00FA472B">
              <w:rPr>
                <w:color w:val="000000"/>
                <w:sz w:val="24"/>
              </w:rPr>
              <w:t>待摊费用</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8</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其他</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9</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合计</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4,940,438.15</w:t>
            </w:r>
          </w:p>
        </w:tc>
      </w:tr>
    </w:tbl>
    <w:p w:rsidP="001D5CD0" w:rsidR="00F016DD" w:rsidRDefault="00F016DD" w:rsidRPr="00E7356F">
      <w:pPr>
        <w:autoSpaceDE w:val="0"/>
        <w:autoSpaceDN w:val="0"/>
        <w:adjustRightInd w:val="0"/>
        <w:spacing w:line="360" w:lineRule="auto"/>
        <w:jc w:val="left"/>
        <w:rPr>
          <w:rFonts w:ascii="宋体" w:cs="Arial"/>
          <w:kern w:val="0"/>
          <w:sz w:val="24"/>
        </w:rPr>
      </w:pPr>
      <w:r w:rsidRPr="00E7356F">
        <w:rPr>
          <w:rFonts w:ascii="宋体" w:cs="Arial"/>
          <w:kern w:val="0"/>
          <w:sz w:val="24"/>
        </w:rPr>
        <w:t/>
      </w:r>
      <w:proofErr w:type="gramStart"/>
      <w:r w:rsidRPr="00E7356F">
        <w:rPr>
          <w:rFonts w:ascii="宋体" w:cs="Arial" w:hAnsi="宋体"/>
          <w:kern w:val="0"/>
          <w:sz w:val="24"/>
        </w:rPr>
        <w:t/>
      </w:r>
      <w:proofErr w:type="gramEnd"/>
      <w:r w:rsidRPr="00E7356F">
        <w:rPr>
          <w:rFonts w:ascii="宋体" w:cs="Arial" w:hAnsi="宋体"/>
          <w:kern w:val="0"/>
          <w:sz w:val="24"/>
        </w:rPr>
        <w:t>5.11.4</w:t>
      </w:r>
      <w:r w:rsidRPr="00E7356F">
        <w:rPr>
          <w:rFonts w:ascii="宋体" w:cs="Arial" w:hAnsi="宋体" w:hint="eastAsia"/>
          <w:kern w:val="0"/>
          <w:sz w:val="24"/>
        </w:rPr>
        <w:t>报告期末持有的处于转股期的可转换债券明细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本基金本报告期末未持有处于转股期的可转换债券。</w:t>
      </w:r>
    </w:p>
    <w:p w:rsidP="001D5CD0" w:rsidR="00F016DD" w:rsidRDefault="00F016DD" w:rsidRPr="00E7356F">
      <w:pPr>
        <w:autoSpaceDE w:val="0"/>
        <w:autoSpaceDN w:val="0"/>
        <w:adjustRightInd w:val="0"/>
        <w:spacing w:line="360" w:lineRule="auto"/>
        <w:jc w:val="left"/>
        <w:rPr>
          <w:rFonts w:ascii="宋体"/>
          <w:bCs/>
          <w:sz w:val="24"/>
        </w:rPr>
      </w:pPr>
      <w:r w:rsidRPr="00E7356F">
        <w:rPr>
          <w:rFonts w:ascii="宋体" w:cs="Arial"/>
          <w:kern w:val="0"/>
          <w:sz w:val="24"/>
        </w:rPr>
        <w:t/>
      </w:r>
      <w:proofErr w:type="gramStart"/>
      <w:r w:rsidRPr="00E7356F">
        <w:rPr>
          <w:rFonts w:ascii="宋体" w:cs="Arial" w:hAnsi="宋体"/>
          <w:kern w:val="0"/>
          <w:sz w:val="24"/>
        </w:rPr>
        <w:t/>
      </w:r>
      <w:proofErr w:type="gramEnd"/>
      <w:r w:rsidRPr="00E7356F">
        <w:rPr>
          <w:rFonts w:ascii="宋体" w:cs="Arial" w:hAnsi="宋体"/>
          <w:kern w:val="0"/>
          <w:sz w:val="24"/>
        </w:rPr>
        <w:t>5.11.5</w:t>
      </w:r>
      <w:r w:rsidRPr="00E7356F">
        <w:rPr>
          <w:rFonts w:ascii="宋体" w:hAnsi="宋体" w:hint="eastAsia"/>
          <w:bCs/>
          <w:sz w:val="24"/>
        </w:rPr>
        <w:t>报告期末前十名股票中存在流通受限情况的说明</w:t>
      </w:r>
    </w:p>
    <w:p w:rsidP="00DF18FE" w:rsidR="00F016DD" w:rsidRDefault="00F016DD" w:rsidRPr="00DF18FE">
      <w:pPr>
        <w:spacing w:line="360" w:lineRule="auto"/>
        <w:ind w:firstLine="480" w:firstLineChars="200"/>
        <w:rPr>
          <w:color w:val="000000"/>
          <w:sz w:val="24"/>
        </w:rPr>
      </w:pPr>
      <w:r w:rsidRPr="00DF18FE">
        <w:rPr>
          <w:color w:val="000000"/>
          <w:sz w:val="24"/>
        </w:rPr>
        <w:lastRenderedPageBreak/>
        <w:t/>
      </w:r>
      <w:proofErr w:type="gramStart"/>
      <w:r w:rsidRPr="00DF18FE">
        <w:rPr>
          <w:color w:val="000000"/>
          <w:sz w:val="24"/>
        </w:rPr>
        <w:t/>
      </w:r>
      <w:proofErr w:type="gramEnd"/>
      <w:r w:rsidRPr="00DF18FE">
        <w:rPr>
          <w:color w:val="000000"/>
          <w:sz w:val="24"/>
        </w:rPr>
        <w:t>本基金本报告期末前十名股票中不存在流通受限情况。</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6  </w:t>
      </w:r>
      <w:r w:rsidRPr="0078105B">
        <w:rPr>
          <w:rFonts w:ascii="宋体" w:cs="Arial" w:hAnsi="宋体" w:hint="eastAsia"/>
          <w:color w:val="000000"/>
          <w:kern w:val="0"/>
          <w:sz w:val="24"/>
          <w:szCs w:val="24"/>
        </w:rPr>
        <w:t>开放式基金份额变动</w:t>
      </w:r>
    </w:p>
    <w:p w:rsidP="00302187" w:rsidR="00F016DD" w:rsidRDefault="00F016DD" w:rsidRPr="00FA472B">
      <w:pPr>
        <w:autoSpaceDE w:val="0"/>
        <w:autoSpaceDN w:val="0"/>
        <w:adjustRightInd w:val="0"/>
        <w:spacing w:before="29" w:line="288" w:lineRule="auto"/>
        <w:ind w:left="15" w:right="480"/>
        <w:jc w:val="right"/>
        <w:rPr>
          <w:rFonts w:ascii="宋体" w:cs="Arial" w:hAnsi="宋体"/>
          <w:color w:val="000000"/>
          <w:kern w:val="0"/>
          <w:sz w:val="24"/>
        </w:rPr>
      </w:pPr>
      <w:r w:rsidRPr="00FA472B">
        <w:rPr>
          <w:rFonts w:ascii="宋体" w:cs="Arial" w:hAnsi="宋体" w:hint="eastAsia"/>
          <w:color w:val="000000"/>
          <w:kern w:val="0"/>
          <w:sz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3900"/>
        <w:gridCol w:w="2367"/>
        <w:gridCol w:w="2367"/>
      </w:tblGrid>
      <w:tr w:rsidR="00F016DD" w:rsidRPr="0078105B" w:rsidTr="0001612A">
        <w:tc>
          <w:tcPr>
            <w:tcW w:type="dxa" w:w="3900"/>
            <w:vAlign w:val="center"/>
          </w:tcPr>
          <w:p w:rsidP="00B84643"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项目</w:t>
            </w:r>
            <w:r w:rsidRPr="00FA472B">
              <w:rPr>
                <w:color w:val="000000"/>
                <w:kern w:val="0"/>
              </w:rPr>
              <w:t/>
            </w:r>
            <w:proofErr w:type="spellStart"/>
            <w:r w:rsidRPr="00FA472B">
              <w:rPr>
                <w:color w:val="000000"/>
                <w:kern w:val="0"/>
              </w:rPr>
              <w:t/>
            </w:r>
            <w:proofErr w:type="spellEnd"/>
            <w:r w:rsidRPr="00FA472B">
              <w:rPr>
                <w:color w:val="000000"/>
                <w:kern w:val="0"/>
              </w:rPr>
              <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kern w:val="0"/>
                <w:sz w:val="24"/>
              </w:rPr>
              <w:t/>
            </w:r>
            <w:proofErr w:type="spellStart"/>
            <w:r w:rsidRPr="00FA472B">
              <w:rPr>
                <w:sz w:val="24"/>
              </w:rPr>
              <w:t/>
            </w:r>
            <w:proofErr w:type="spellEnd"/>
            <w:r w:rsidRPr="00FA472B">
              <w:rPr>
                <w:sz w:val="24"/>
              </w:rPr>
              <w:t>易方达瑞享混合I</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kern w:val="0"/>
                <w:sz w:val="24"/>
              </w:rPr>
              <w:t/>
            </w:r>
            <w:r w:rsidRPr="00FA472B">
              <w:rPr>
                <w:sz w:val="24"/>
              </w:rPr>
              <w:t>易方达瑞享混合E</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报告期期</w:t>
            </w:r>
            <w:proofErr w:type="gramStart"/>
            <w:r w:rsidRPr="00FA472B">
              <w:rPr>
                <w:color w:val="000000"/>
                <w:kern w:val="0"/>
                <w:sz w:val="24"/>
              </w:rPr>
              <w:t>初基金</w:t>
            </w:r>
            <w:proofErr w:type="gramEnd"/>
            <w:r w:rsidRPr="00FA472B">
              <w:rPr>
                <w:color w:val="000000"/>
                <w:kern w:val="0"/>
                <w:sz w:val="24"/>
              </w:rPr>
              <w:t>份额总额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88,494,760.58</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9,168,044.70</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基金总申购份额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5,118,558.08</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14,403,779.18</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减：</w:t>
            </w: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基金总赎回份额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4,884,600.91</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10,033,749.31</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基金拆分变动份额</w:t>
            </w:r>
            <w:r w:rsidR="009533AD" w:rsidRPr="009533AD">
              <w:rPr>
                <w:rFonts w:hint="eastAsia"/>
                <w:color w:val="000000"/>
                <w:kern w:val="0"/>
                <w:sz w:val="24"/>
              </w:rPr>
              <w:t>（份额减少以“</w:t>
            </w:r>
            <w:r w:rsidR="009533AD" w:rsidRPr="009533AD">
              <w:rPr>
                <w:rFonts w:hint="eastAsia"/>
                <w:color w:val="000000"/>
                <w:kern w:val="0"/>
                <w:sz w:val="24"/>
              </w:rPr>
              <w:t>-</w:t>
            </w:r>
            <w:r w:rsidR="009533AD" w:rsidRPr="009533AD">
              <w:rPr>
                <w:rFonts w:hint="eastAsia"/>
                <w:color w:val="000000"/>
                <w:kern w:val="0"/>
                <w:sz w:val="24"/>
              </w:rPr>
              <w:t>”填列）</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报告期期末基金份额总额</w:t>
            </w:r>
          </w:p>
        </w:tc>
        <w:tc>
          <w:tcPr>
            <w:tcW w:type="dxa" w:w="2367"/>
            <w:vAlign w:val="center"/>
          </w:tcPr>
          <w:p w:rsidP="00B57BCF"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r w:rsidRPr="00FA472B">
              <w:rPr>
                <w:color w:val="000000"/>
                <w:sz w:val="24"/>
              </w:rPr>
              <w:lastRenderedPageBreak/>
              <w:t/>
            </w:r>
            <w:proofErr w:type="spellEnd"/>
            <w:r w:rsidRPr="00FA472B">
              <w:rPr>
                <w:color w:val="000000"/>
                <w:sz w:val="24"/>
              </w:rPr>
              <w:t>88,728,717.75</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lastRenderedPageBreak/>
              <w:t/>
            </w:r>
            <w:r w:rsidRPr="00FA472B">
              <w:rPr>
                <w:color w:val="000000"/>
                <w:sz w:val="24"/>
              </w:rPr>
              <w:lastRenderedPageBreak/>
              <w:t>13,538,074.57</w:t>
            </w:r>
          </w:p>
        </w:tc>
      </w:tr>
    </w:tbl>
    <w:p w:rsidP="00B54884" w:rsidR="00F016DD" w:rsidRDefault="00F016DD">
      <w:pPr>
        <w:pStyle w:val="1"/>
        <w:tabs>
          <w:tab w:pos="4156" w:val="center"/>
          <w:tab w:pos="8312" w:val="right"/>
        </w:tabs>
        <w:spacing w:after="312" w:afterLines="100" w:before="312" w:beforeLines="100" w:line="360" w:lineRule="auto"/>
        <w:jc w:val="center"/>
        <w:rPr>
          <w:rFonts w:ascii="方正仿宋简体"/>
          <w:sz w:val="24"/>
          <w:szCs w:val="24"/>
        </w:rPr>
      </w:pPr>
      <w:r w:rsidRPr="00AB67DE">
        <w:rPr>
          <w:rFonts w:ascii="宋体"/>
          <w:color w:val="000000"/>
          <w:kern w:val="0"/>
          <w:sz w:val="24"/>
          <w:szCs w:val="24"/>
        </w:rPr>
        <w:t/>
      </w:r>
      <w:proofErr w:type="spellStart"/>
      <w:r w:rsidRPr="00AB67DE">
        <w:rPr>
          <w:rFonts w:ascii="宋体" w:hAnsi="宋体"/>
          <w:color w:val="000000"/>
          <w:kern w:val="0"/>
          <w:sz w:val="24"/>
          <w:szCs w:val="24"/>
        </w:rPr>
        <w:t/>
      </w:r>
      <w:proofErr w:type="spellEnd"/>
      <w:r w:rsidRPr="00AB67DE">
        <w:rPr>
          <w:rFonts w:ascii="宋体" w:hAnsi="宋体"/>
          <w:color w:val="000000"/>
          <w:kern w:val="0"/>
          <w:sz w:val="24"/>
          <w:szCs w:val="24"/>
        </w:rPr>
        <w:t/>
      </w:r>
      <w:r w:rsidRPr="00AB67DE">
        <w:rPr>
          <w:rFonts w:ascii="宋体" w:cs="Arial" w:hAnsi="宋体" w:hint="eastAsia"/>
          <w:color w:val="000000"/>
          <w:kern w:val="0"/>
          <w:sz w:val="24"/>
          <w:szCs w:val="24"/>
        </w:rPr>
        <w:t>§</w:t>
      </w:r>
      <w:r>
        <w:rPr>
          <w:rFonts w:ascii="宋体" w:cs="Arial"/>
          <w:color w:val="000000"/>
          <w:kern w:val="0"/>
          <w:sz w:val="24"/>
          <w:szCs w:val="24"/>
        </w:rPr>
        <w:t/>
      </w:r>
      <w:r>
        <w:rPr>
          <w:rFonts w:ascii="宋体" w:cs="Arial" w:hAnsi="宋体"/>
          <w:color w:val="000000"/>
          <w:kern w:val="0"/>
          <w:sz w:val="24"/>
          <w:szCs w:val="24"/>
        </w:rPr>
        <w:t/>
      </w:r>
      <w:r w:rsidRPr="00AB67DE">
        <w:rPr>
          <w:rFonts w:ascii="宋体" w:cs="Arial"/>
          <w:color w:val="000000"/>
          <w:kern w:val="0"/>
          <w:sz w:val="24"/>
          <w:szCs w:val="24"/>
        </w:rPr>
        <w:t>7</w:t>
      </w:r>
      <w:r w:rsidR="0066098B" w:rsidRPr="0078105B">
        <w:rPr>
          <w:rFonts w:ascii="宋体" w:cs="Arial" w:hAnsi="宋体"/>
          <w:color w:val="000000"/>
          <w:kern w:val="0"/>
          <w:sz w:val="24"/>
          <w:szCs w:val="24"/>
        </w:rPr>
        <w:t xml:space="preserve">  </w:t>
      </w:r>
      <w:r w:rsidRPr="0016464C">
        <w:rPr>
          <w:rFonts w:ascii="方正仿宋简体" w:hint="eastAsia"/>
          <w:sz w:val="24"/>
          <w:szCs w:val="24"/>
        </w:rPr>
        <w:t>基金管理人运用</w:t>
      </w:r>
      <w:proofErr w:type="gramStart"/>
      <w:r w:rsidRPr="0016464C">
        <w:rPr>
          <w:rFonts w:ascii="方正仿宋简体" w:hint="eastAsia"/>
          <w:sz w:val="24"/>
          <w:szCs w:val="24"/>
        </w:rPr>
        <w:t>固有资金</w:t>
      </w:r>
      <w:proofErr w:type="gramEnd"/>
      <w:r w:rsidRPr="0016464C">
        <w:rPr>
          <w:rFonts w:ascii="方正仿宋简体" w:hint="eastAsia"/>
          <w:sz w:val="24"/>
          <w:szCs w:val="24"/>
        </w:rPr>
        <w:t>投资本基金情况</w:t>
      </w:r>
    </w:p>
    <w:p w:rsidP="00935FB1" w:rsidR="00F016DD" w:rsidRDefault="00F016DD" w:rsidRPr="00B76BBB">
      <w:pPr>
        <w:spacing w:line="360" w:lineRule="auto"/>
        <w:jc w:val="left"/>
        <w:rPr>
          <w:sz w:val="24"/>
        </w:rPr>
      </w:pPr>
      <w:r w:rsidRPr="00297260">
        <w:rPr>
          <w:b/>
          <w:sz w:val="24"/>
        </w:rPr>
        <w:t/>
      </w:r>
      <w:proofErr w:type="spellStart"/>
      <w:r w:rsidRPr="00297260">
        <w:rPr>
          <w:b/>
          <w:sz w:val="24"/>
        </w:rPr>
        <w:t/>
      </w:r>
      <w:proofErr w:type="spellEnd"/>
      <w:r w:rsidRPr="00297260">
        <w:rPr>
          <w:b/>
          <w:sz w:val="24"/>
        </w:rPr>
        <w:t/>
      </w:r>
      <w:r>
        <w:rPr>
          <w:b/>
          <w:sz w:val="24"/>
        </w:rPr>
        <w:t/>
      </w:r>
      <w:proofErr w:type="gramStart"/>
      <w:r>
        <w:rPr>
          <w:b/>
          <w:sz w:val="24"/>
        </w:rPr>
        <w:t/>
      </w:r>
      <w:proofErr w:type="gramEnd"/>
      <w:r>
        <w:rPr>
          <w:b/>
          <w:sz w:val="24"/>
        </w:rPr>
        <w:t xml:space="preserve">7.1 </w:t>
      </w:r>
      <w:r>
        <w:rPr>
          <w:rFonts w:hint="eastAsia"/>
          <w:b/>
          <w:sz w:val="24"/>
        </w:rPr>
        <w:t>基</w:t>
      </w:r>
      <w:r w:rsidRPr="00B404F1">
        <w:rPr>
          <w:rFonts w:hint="eastAsia"/>
          <w:b/>
          <w:sz w:val="24"/>
        </w:rPr>
        <w:t>金管理人持有本基金份额变动情况</w:t>
      </w:r>
    </w:p>
    <w:p w:rsidP="00CC78C7" w:rsidR="00CC78C7" w:rsidRDefault="00CC78C7" w:rsidRPr="00266D4B">
      <w:pPr>
        <w:autoSpaceDE w:val="0"/>
        <w:autoSpaceDN w:val="0"/>
        <w:adjustRightInd w:val="0"/>
        <w:spacing w:before="29" w:line="288" w:lineRule="auto"/>
        <w:ind w:left="15" w:right="480"/>
        <w:jc w:val="right"/>
        <w:rPr>
          <w:color w:val="000000"/>
          <w:kern w:val="0"/>
          <w:sz w:val="24"/>
        </w:rPr>
      </w:pPr>
      <w:r w:rsidRPr="00266D4B">
        <w:rPr>
          <w:color w:val="000000"/>
          <w:kern w:val="0"/>
          <w:sz w:val="24"/>
        </w:rPr>
        <w:t/>
      </w:r>
      <w:proofErr w:type="spellStart"/>
      <w:r w:rsidRPr="00266D4B">
        <w:rPr>
          <w:color w:val="000000"/>
          <w:kern w:val="0"/>
          <w:sz w:val="24"/>
        </w:rPr>
        <w:t/>
      </w:r>
      <w:proofErr w:type="spellEnd"/>
      <w:r w:rsidRPr="00266D4B">
        <w:rPr>
          <w:color w:val="000000"/>
          <w:kern w:val="0"/>
          <w:sz w:val="24"/>
        </w:rPr>
        <w:t/>
      </w:r>
      <w:r w:rsidRPr="00266D4B">
        <w:rPr>
          <w:color w:val="000000"/>
          <w:kern w:val="0"/>
          <w:sz w:val="24"/>
        </w:rPr>
        <w:t>单位：份</w:t>
      </w:r>
    </w:p>
    <w:tbl>
      <w:tblPr>
        <w:tblW w:type="auto" w:w="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3167"/>
        <w:gridCol w:w="2616"/>
        <w:gridCol w:w="2631"/>
      </w:tblGrid>
      <w:tr w:rsidR="00CC78C7" w:rsidRPr="00E90B39" w:rsidTr="0001612A">
        <w:trPr>
          <w:trHeight w:val="248"/>
        </w:trPr>
        <w:tc>
          <w:tcPr>
            <w:tcW w:type="dxa" w:w="3167"/>
            <w:vAlign w:val="center"/>
          </w:tcPr>
          <w:p w:rsidP="00964538" w:rsidR="00CC78C7" w:rsidRDefault="00CC78C7" w:rsidRPr="00FA472B">
            <w:pPr>
              <w:autoSpaceDE w:val="0"/>
              <w:autoSpaceDN w:val="0"/>
              <w:adjustRightInd w:val="0"/>
              <w:spacing w:before="29" w:line="360" w:lineRule="auto"/>
              <w:ind w:left="15"/>
              <w:jc w:val="center"/>
              <w:rPr>
                <w:color w:val="000000"/>
                <w:kern w:val="0"/>
                <w:sz w:val="24"/>
              </w:rPr>
            </w:pPr>
            <w:r w:rsidRPr="00FA472B">
              <w:rPr>
                <w:color w:val="000000"/>
                <w:kern w:val="0"/>
                <w:sz w:val="24"/>
              </w:rPr>
              <w:t>项目</w:t>
            </w:r>
            <w:r w:rsidRPr="003B42FF">
              <w:rPr>
                <w:rFonts w:eastAsiaTheme="minorEastAsia"/>
                <w:bCs/>
                <w:color w:val="000000"/>
              </w:rPr>
              <w:t/>
            </w:r>
            <w:proofErr w:type="spellStart"/>
            <w:r w:rsidRPr="003B42FF">
              <w:rPr>
                <w:rFonts w:eastAsiaTheme="minorEastAsia"/>
                <w:bCs/>
                <w:color w:val="000000"/>
              </w:rPr>
              <w:t/>
            </w:r>
            <w:proofErr w:type="spellEnd"/>
            <w:r w:rsidRPr="003B42FF">
              <w:rPr>
                <w:rFonts w:eastAsiaTheme="minorEastAsia"/>
                <w:bCs/>
                <w:color w:val="000000"/>
              </w:rPr>
              <w:t/>
            </w:r>
            <w:r w:rsidRPr="00FA472B">
              <w:rPr>
                <w:color w:val="000000"/>
                <w:kern w:val="0"/>
                <w:sz w:val="24"/>
              </w:rPr>
              <w:t/>
            </w:r>
            <w:proofErr w:type="spellStart"/>
            <w:r w:rsidRPr="00FA472B">
              <w:rPr>
                <w:color w:val="000000"/>
                <w:kern w:val="0"/>
                <w:sz w:val="24"/>
              </w:rPr>
              <w:t/>
            </w:r>
            <w:proofErr w:type="spellEnd"/>
            <w:r w:rsidRPr="00FA472B">
              <w:rPr>
                <w:color w:val="000000"/>
                <w:kern w:val="0"/>
                <w:sz w:val="24"/>
              </w:rPr>
              <w:t/>
            </w:r>
          </w:p>
        </w:tc>
        <w:tc>
          <w:tcPr>
            <w:tcW w:type="dxa" w:w="2616"/>
            <w:vAlign w:val="bottom"/>
          </w:tcPr>
          <w:p w:rsidP="00964538" w:rsidR="00CC78C7" w:rsidRDefault="00CC78C7" w:rsidRPr="00FA472B">
            <w:pPr>
              <w:jc w:val="center"/>
              <w:rPr>
                <w:sz w:val="24"/>
              </w:rPr>
            </w:pPr>
            <w:r w:rsidRPr="00FA472B">
              <w:rPr>
                <w:color w:val="000000"/>
                <w:kern w:val="0"/>
                <w:sz w:val="24"/>
              </w:rPr>
              <w:t/>
            </w:r>
            <w:proofErr w:type="spellStart"/>
            <w:r w:rsidRPr="00FA472B">
              <w:rPr>
                <w:sz w:val="24"/>
              </w:rPr>
              <w:t/>
            </w:r>
            <w:proofErr w:type="spellEnd"/>
            <w:r w:rsidRPr="00FA472B">
              <w:rPr>
                <w:sz w:val="24"/>
              </w:rPr>
              <w:t>易方达瑞享混合I</w:t>
            </w:r>
          </w:p>
        </w:tc>
        <w:tc>
          <w:tcPr>
            <w:tcW w:type="dxa" w:w="2631"/>
            <w:vAlign w:val="bottom"/>
          </w:tcPr>
          <w:p w:rsidP="00964538" w:rsidR="00CC78C7" w:rsidRDefault="00CC78C7" w:rsidRPr="00FA472B">
            <w:pPr>
              <w:jc w:val="center"/>
              <w:rPr>
                <w:sz w:val="24"/>
              </w:rPr>
            </w:pPr>
            <w:r w:rsidRPr="00FA472B">
              <w:rPr>
                <w:color w:val="000000"/>
                <w:kern w:val="0"/>
                <w:sz w:val="24"/>
              </w:rPr>
              <w:t/>
            </w:r>
            <w:r w:rsidRPr="00FA472B">
              <w:rPr>
                <w:sz w:val="24"/>
              </w:rPr>
              <w:t>易方达瑞享混合E</w:t>
            </w:r>
          </w:p>
        </w:tc>
      </w:tr>
      <w:tr w:rsidR="00CC78C7" w:rsidRPr="00E90B39" w:rsidTr="0001612A">
        <w:trPr>
          <w:trHeight w:val="247"/>
        </w:trPr>
        <w:tc>
          <w:tcPr>
            <w:tcW w:type="dxa" w:w="3167"/>
            <w:vAlign w:val="center"/>
          </w:tcPr>
          <w:p w:rsidP="00964538" w:rsidR="00CC78C7" w:rsidRDefault="00CC78C7" w:rsidRPr="00FA472B">
            <w:pPr>
              <w:pStyle w:val="ac"/>
              <w:adjustRightInd w:val="0"/>
              <w:snapToGrid w:val="0"/>
              <w:spacing w:line="360" w:lineRule="exact"/>
              <w:rPr>
                <w:color w:val="000000"/>
                <w:szCs w:val="24"/>
              </w:rPr>
            </w:pPr>
            <w:r w:rsidRPr="00FA472B">
              <w:rPr>
                <w:color w:val="000000"/>
                <w:szCs w:val="24"/>
              </w:rPr>
              <w:t>报告期期</w:t>
            </w:r>
            <w:proofErr w:type="gramStart"/>
            <w:r w:rsidRPr="00FA472B">
              <w:rPr>
                <w:color w:val="000000"/>
                <w:szCs w:val="24"/>
              </w:rPr>
              <w:t>初管理</w:t>
            </w:r>
            <w:proofErr w:type="gramEnd"/>
            <w:r w:rsidRPr="00FA472B">
              <w:rPr>
                <w:color w:val="000000"/>
                <w:szCs w:val="24"/>
              </w:rPr>
              <w:t>人持有的本基金份额</w:t>
            </w:r>
          </w:p>
        </w:tc>
        <w:tc>
          <w:tcPr>
            <w:tcW w:type="dxa" w:w="2616"/>
            <w:vAlign w:val="center"/>
          </w:tcPr>
          <w:p w:rsidP="00964538" w:rsidR="00CC78C7" w:rsidRDefault="00CC78C7" w:rsidRPr="00FA472B">
            <w:pPr>
              <w:jc w:val="right"/>
              <w:rPr>
                <w:sz w:val="24"/>
              </w:rPr>
            </w:pPr>
            <w:r w:rsidRPr="00FA472B">
              <w:rPr>
                <w:color w:val="000000"/>
                <w:sz w:val="24"/>
              </w:rPr>
              <w:t>78,645,384.75</w:t>
            </w:r>
          </w:p>
        </w:tc>
        <w:tc>
          <w:tcPr>
            <w:tcW w:type="dxa" w:w="2631"/>
            <w:vAlign w:val="center"/>
          </w:tcPr>
          <w:p w:rsidP="00964538" w:rsidR="00CC78C7" w:rsidRDefault="00CC78C7" w:rsidRPr="00FA472B">
            <w:pPr>
              <w:jc w:val="right"/>
              <w:rPr>
                <w:sz w:val="24"/>
              </w:rPr>
            </w:pPr>
            <w:r w:rsidRPr="00FA472B">
              <w:rPr>
                <w:color w:val="000000"/>
                <w:sz w:val="24"/>
              </w:rPr>
              <w:t>-</w:t>
            </w:r>
          </w:p>
        </w:tc>
      </w:tr>
      <w:tr w:rsidR="00CC78C7" w:rsidRPr="00E90B39" w:rsidTr="0001612A">
        <w:tc>
          <w:tcPr>
            <w:tcW w:type="dxa" w:w="3167"/>
            <w:vAlign w:val="center"/>
          </w:tcPr>
          <w:p w:rsidP="00964538" w:rsidR="00CC78C7" w:rsidRDefault="00CC78C7" w:rsidRPr="00FA472B">
            <w:pPr>
              <w:adjustRightInd w:val="0"/>
              <w:snapToGrid w:val="0"/>
              <w:spacing w:line="360" w:lineRule="exact"/>
              <w:rPr>
                <w:color w:val="000000"/>
                <w:sz w:val="24"/>
              </w:rPr>
            </w:pPr>
            <w:r w:rsidRPr="003B42FF">
              <w:rPr>
                <w:rFonts w:eastAsiaTheme="minorEastAsia"/>
                <w:color w:themeColor="text1" w:val="000000"/>
                <w:kern w:val="0"/>
                <w:sz w:val="24"/>
              </w:rPr>
              <w:t/>
            </w:r>
            <w:proofErr w:type="spellStart"/>
            <w:r w:rsidRPr="003B42FF">
              <w:rPr>
                <w:rFonts w:eastAsiaTheme="minorEastAsia"/>
                <w:color w:themeColor="text1" w:val="000000"/>
                <w:kern w:val="0"/>
                <w:sz w:val="24"/>
              </w:rPr>
              <w:t/>
            </w:r>
            <w:r w:rsidR="00AE68BC">
              <w:rPr>
                <w:color w:val="000000"/>
                <w:kern w:val="0"/>
                <w:sz w:val="24"/>
              </w:rPr>
              <w:t/>
            </w:r>
            <w:proofErr w:type="spellEnd"/>
            <w:r w:rsidRPr="003B42FF">
              <w:rPr>
                <w:rFonts w:eastAsiaTheme="minorEastAsia"/>
                <w:color w:themeColor="text1" w:val="000000"/>
                <w:kern w:val="0"/>
                <w:sz w:val="24"/>
              </w:rPr>
              <w:t>报告期</w:t>
            </w:r>
            <w:r w:rsidRPr="00FA472B">
              <w:rPr>
                <w:color w:val="000000"/>
                <w:kern w:val="0"/>
                <w:sz w:val="24"/>
              </w:rPr>
              <w:t>期间</w:t>
            </w:r>
            <w:r w:rsidRPr="00FA472B">
              <w:rPr>
                <w:color w:val="000000"/>
                <w:sz w:val="24"/>
              </w:rPr>
              <w:t>买入</w:t>
            </w:r>
            <w:r w:rsidRPr="00FA472B">
              <w:rPr>
                <w:color w:val="000000"/>
                <w:sz w:val="24"/>
              </w:rPr>
              <w:t>/</w:t>
            </w:r>
            <w:r w:rsidRPr="00FA472B">
              <w:rPr>
                <w:color w:val="000000"/>
                <w:sz w:val="24"/>
              </w:rPr>
              <w:t>申购</w:t>
            </w:r>
            <w:r w:rsidRPr="00FA472B">
              <w:rPr>
                <w:color w:val="000000"/>
                <w:sz w:val="24"/>
              </w:rPr>
              <w:lastRenderedPageBreak/>
              <w:t>总份额</w:t>
            </w:r>
          </w:p>
        </w:tc>
        <w:tc>
          <w:tcPr>
            <w:tcW w:type="dxa" w:w="2616"/>
            <w:vAlign w:val="center"/>
          </w:tcPr>
          <w:p w:rsidP="00964538" w:rsidR="00CC78C7" w:rsidRDefault="00CC78C7" w:rsidRPr="00FA472B">
            <w:pPr>
              <w:jc w:val="right"/>
              <w:rPr>
                <w:color w:val="000000"/>
                <w:kern w:val="0"/>
                <w:sz w:val="24"/>
              </w:rPr>
            </w:pPr>
            <w:r w:rsidRPr="00FA472B">
              <w:rPr>
                <w:color w:val="000000"/>
                <w:sz w:val="24"/>
              </w:rPr>
              <w:lastRenderedPageBreak/>
              <w:t/>
            </w:r>
            <w:proofErr w:type="spellStart"/>
            <w:r w:rsidRPr="00FA472B">
              <w:rPr>
                <w:color w:val="000000"/>
                <w:sz w:val="24"/>
              </w:rPr>
              <w:t/>
            </w:r>
            <w:r w:rsidRPr="00FA472B">
              <w:rPr>
                <w:color w:val="000000"/>
                <w:sz w:val="24"/>
              </w:rPr>
              <w:lastRenderedPageBreak/>
              <w:t/>
            </w:r>
            <w:proofErr w:type="spellEnd"/>
            <w:r w:rsidRPr="00FA472B">
              <w:rPr>
                <w:color w:val="000000"/>
                <w:sz w:val="24"/>
              </w:rPr>
              <w:t>-</w:t>
            </w:r>
          </w:p>
        </w:tc>
        <w:tc>
          <w:tcPr>
            <w:tcW w:type="dxa" w:w="2631"/>
            <w:vAlign w:val="center"/>
          </w:tcPr>
          <w:p w:rsidP="00964538" w:rsidR="00CC78C7" w:rsidRDefault="00CC78C7" w:rsidRPr="00FA472B">
            <w:pPr>
              <w:jc w:val="right"/>
              <w:rPr>
                <w:color w:val="000000"/>
                <w:kern w:val="0"/>
                <w:sz w:val="24"/>
              </w:rPr>
            </w:pPr>
            <w:r w:rsidRPr="00FA472B">
              <w:rPr>
                <w:color w:val="000000"/>
                <w:sz w:val="24"/>
              </w:rPr>
              <w:lastRenderedPageBreak/>
              <w:t/>
            </w:r>
            <w:r w:rsidRPr="00FA472B">
              <w:rPr>
                <w:color w:val="000000"/>
                <w:sz w:val="24"/>
              </w:rPr>
              <w:lastRenderedPageBreak/>
              <w:t>-</w:t>
            </w:r>
          </w:p>
        </w:tc>
      </w:tr>
      <w:tr w:rsidR="00CC78C7" w:rsidRPr="00E90B39" w:rsidTr="0001612A">
        <w:tc>
          <w:tcPr>
            <w:tcW w:type="dxa" w:w="3167"/>
            <w:vAlign w:val="center"/>
          </w:tcPr>
          <w:p w:rsidP="00964538" w:rsidR="00CC78C7" w:rsidRDefault="00CC78C7" w:rsidRPr="00FA472B">
            <w:pPr>
              <w:adjustRightInd w:val="0"/>
              <w:snapToGrid w:val="0"/>
              <w:spacing w:line="360" w:lineRule="exact"/>
              <w:rPr>
                <w:color w:val="000000"/>
                <w:sz w:val="24"/>
              </w:rPr>
            </w:pPr>
            <w:r w:rsidRPr="003B42FF">
              <w:rPr>
                <w:rFonts w:eastAsiaTheme="minorEastAsia"/>
                <w:color w:themeColor="text1" w:val="000000"/>
                <w:kern w:val="0"/>
                <w:sz w:val="24"/>
              </w:rPr>
              <w:lastRenderedPageBreak/>
              <w:t/>
            </w:r>
            <w:proofErr w:type="spellStart"/>
            <w:r w:rsidRPr="003B42FF">
              <w:rPr>
                <w:rFonts w:eastAsiaTheme="minorEastAsia"/>
                <w:color w:themeColor="text1" w:val="000000"/>
                <w:kern w:val="0"/>
                <w:sz w:val="24"/>
              </w:rPr>
              <w:t/>
            </w:r>
            <w:r w:rsidR="00AE68BC">
              <w:rPr>
                <w:color w:val="000000"/>
                <w:kern w:val="0"/>
                <w:sz w:val="24"/>
              </w:rPr>
              <w:t/>
            </w:r>
            <w:proofErr w:type="spellEnd"/>
            <w:r w:rsidRPr="003B42FF">
              <w:rPr>
                <w:rFonts w:eastAsiaTheme="minorEastAsia"/>
                <w:color w:themeColor="text1" w:val="000000"/>
                <w:kern w:val="0"/>
                <w:sz w:val="24"/>
              </w:rPr>
              <w:t>报告期</w:t>
            </w:r>
            <w:r w:rsidRPr="00FA472B">
              <w:rPr>
                <w:color w:val="000000"/>
                <w:kern w:val="0"/>
                <w:sz w:val="24"/>
              </w:rPr>
              <w:t>期间</w:t>
            </w:r>
            <w:r w:rsidRPr="00FA472B">
              <w:rPr>
                <w:color w:val="000000"/>
                <w:sz w:val="24"/>
              </w:rPr>
              <w:t>卖出</w:t>
            </w:r>
            <w:r w:rsidRPr="00FA472B">
              <w:rPr>
                <w:color w:val="000000"/>
                <w:sz w:val="24"/>
              </w:rPr>
              <w:t>/</w:t>
            </w:r>
            <w:r w:rsidRPr="00FA472B">
              <w:rPr>
                <w:color w:val="000000"/>
                <w:sz w:val="24"/>
              </w:rPr>
              <w:t>赎回总份额</w:t>
            </w:r>
          </w:p>
        </w:tc>
        <w:tc>
          <w:tcPr>
            <w:tcW w:type="dxa" w:w="2616"/>
            <w:vAlign w:val="center"/>
          </w:tcPr>
          <w:p w:rsidP="00964538" w:rsidR="00CC78C7" w:rsidRDefault="00CC78C7" w:rsidRPr="00FA472B">
            <w:pPr>
              <w:jc w:val="right"/>
              <w:rPr>
                <w:color w:val="000000"/>
                <w:kern w:val="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2631"/>
            <w:vAlign w:val="center"/>
          </w:tcPr>
          <w:p w:rsidP="00964538" w:rsidR="00CC78C7" w:rsidRDefault="00CC78C7" w:rsidRPr="00FA472B">
            <w:pPr>
              <w:jc w:val="right"/>
              <w:rPr>
                <w:color w:val="000000"/>
                <w:kern w:val="0"/>
                <w:sz w:val="24"/>
              </w:rPr>
            </w:pPr>
            <w:r w:rsidRPr="00FA472B">
              <w:rPr>
                <w:color w:val="000000"/>
                <w:sz w:val="24"/>
              </w:rPr>
              <w:t>-</w:t>
            </w:r>
          </w:p>
        </w:tc>
      </w:tr>
      <w:tr w:rsidR="00CC78C7" w:rsidRPr="00E90B39" w:rsidTr="0001612A">
        <w:tc>
          <w:tcPr>
            <w:tcW w:type="dxa" w:w="3167"/>
            <w:vAlign w:val="center"/>
          </w:tcPr>
          <w:p w:rsidP="00964538" w:rsidR="00CC78C7" w:rsidRDefault="00CC78C7" w:rsidRPr="00FA472B">
            <w:pPr>
              <w:adjustRightInd w:val="0"/>
              <w:snapToGrid w:val="0"/>
              <w:spacing w:line="360" w:lineRule="exact"/>
              <w:rPr>
                <w:color w:val="000000"/>
                <w:sz w:val="24"/>
              </w:rPr>
            </w:pPr>
            <w:r w:rsidRPr="00FA472B">
              <w:rPr>
                <w:color w:val="000000"/>
                <w:sz w:val="24"/>
              </w:rPr>
              <w:t>报告期期末管理人持有的本基金份额</w:t>
            </w:r>
          </w:p>
        </w:tc>
        <w:tc>
          <w:tcPr>
            <w:tcW w:type="dxa" w:w="2616"/>
            <w:vAlign w:val="center"/>
          </w:tcPr>
          <w:p w:rsidP="00964538" w:rsidR="00CC78C7" w:rsidRDefault="00CC78C7" w:rsidRPr="00FA472B">
            <w:pPr>
              <w:jc w:val="right"/>
              <w:rPr>
                <w:sz w:val="24"/>
              </w:rPr>
            </w:pPr>
            <w:r w:rsidRPr="00FA472B">
              <w:rPr>
                <w:color w:val="000000"/>
                <w:sz w:val="24"/>
              </w:rPr>
              <w:t/>
            </w:r>
            <w:proofErr w:type="spellStart"/>
            <w:r w:rsidRPr="00FA472B">
              <w:rPr>
                <w:color w:val="000000"/>
                <w:sz w:val="24"/>
              </w:rPr>
              <w:t/>
            </w:r>
            <w:proofErr w:type="spellEnd"/>
            <w:r w:rsidRPr="00FA472B">
              <w:rPr>
                <w:color w:val="000000"/>
                <w:sz w:val="24"/>
              </w:rPr>
              <w:t>78,645,384.75</w:t>
            </w:r>
          </w:p>
        </w:tc>
        <w:tc>
          <w:tcPr>
            <w:tcW w:type="dxa" w:w="2631"/>
            <w:vAlign w:val="center"/>
          </w:tcPr>
          <w:p w:rsidP="00964538" w:rsidR="00CC78C7" w:rsidRDefault="00CC78C7" w:rsidRPr="00FA472B">
            <w:pPr>
              <w:jc w:val="right"/>
              <w:rPr>
                <w:sz w:val="24"/>
              </w:rPr>
            </w:pPr>
            <w:r w:rsidRPr="00FA472B">
              <w:rPr>
                <w:color w:val="000000"/>
                <w:sz w:val="24"/>
              </w:rPr>
              <w:t>-</w:t>
            </w:r>
          </w:p>
        </w:tc>
      </w:tr>
      <w:tr w:rsidR="00CC78C7" w:rsidRPr="00E90B39" w:rsidTr="0001612A">
        <w:tc>
          <w:tcPr>
            <w:tcW w:type="dxa" w:w="3167"/>
            <w:vAlign w:val="center"/>
          </w:tcPr>
          <w:p w:rsidP="00964538" w:rsidR="00CC78C7" w:rsidRDefault="00CC78C7" w:rsidRPr="00FA472B">
            <w:pPr>
              <w:adjustRightInd w:val="0"/>
              <w:snapToGrid w:val="0"/>
              <w:spacing w:line="360" w:lineRule="exact"/>
              <w:rPr>
                <w:color w:val="000000"/>
                <w:sz w:val="24"/>
              </w:rPr>
            </w:pPr>
            <w:r w:rsidRPr="00FA472B">
              <w:rPr>
                <w:color w:val="000000"/>
                <w:sz w:val="24"/>
              </w:rPr>
              <w:t>报告期期末持有的本基金份额占基金总份额比例（</w:t>
            </w:r>
            <w:r w:rsidRPr="00FA472B">
              <w:rPr>
                <w:color w:val="000000"/>
                <w:sz w:val="24"/>
              </w:rPr>
              <w:t>%</w:t>
            </w:r>
            <w:r w:rsidRPr="00FA472B">
              <w:rPr>
                <w:color w:val="000000"/>
                <w:sz w:val="24"/>
              </w:rPr>
              <w:t>）</w:t>
            </w:r>
          </w:p>
        </w:tc>
        <w:tc>
          <w:tcPr>
            <w:tcW w:type="dxa" w:w="2616"/>
            <w:vAlign w:val="center"/>
          </w:tcPr>
          <w:p w:rsidP="00964538" w:rsidR="00CC78C7" w:rsidRDefault="00CC78C7" w:rsidRPr="00FA472B">
            <w:pPr>
              <w:jc w:val="right"/>
              <w:rPr>
                <w:color w:val="000000"/>
                <w:kern w:val="0"/>
                <w:sz w:val="24"/>
              </w:rPr>
            </w:pPr>
            <w:r w:rsidRPr="00FA472B">
              <w:rPr>
                <w:color w:val="000000"/>
                <w:sz w:val="24"/>
              </w:rPr>
              <w:t>88.6358</w:t>
            </w:r>
          </w:p>
        </w:tc>
        <w:tc>
          <w:tcPr>
            <w:tcW w:type="dxa" w:w="2631"/>
            <w:vAlign w:val="center"/>
          </w:tcPr>
          <w:p w:rsidP="00964538" w:rsidR="00CC78C7" w:rsidRDefault="00CC78C7" w:rsidRPr="00FA472B">
            <w:pPr>
              <w:jc w:val="right"/>
              <w:rPr>
                <w:color w:val="000000"/>
                <w:kern w:val="0"/>
                <w:sz w:val="24"/>
              </w:rPr>
            </w:pPr>
            <w:r w:rsidRPr="00FA472B">
              <w:rPr>
                <w:color w:val="000000"/>
                <w:sz w:val="24"/>
              </w:rPr>
              <w:t>-</w:t>
            </w:r>
          </w:p>
        </w:tc>
      </w:tr>
    </w:tbl>
    <w:p w:rsidP="00935FB1" w:rsidR="00F016DD" w:rsidRDefault="00F016DD" w:rsidRPr="00B76BBB">
      <w:pPr>
        <w:spacing w:line="360" w:lineRule="auto"/>
        <w:jc w:val="left"/>
        <w:rPr>
          <w:sz w:val="24"/>
        </w:rPr>
      </w:pPr>
      <w:r w:rsidRPr="00297260">
        <w:rPr>
          <w:b/>
          <w:sz w:val="24"/>
        </w:rPr>
        <w:t/>
      </w:r>
      <w:proofErr w:type="spellStart"/>
      <w:r w:rsidRPr="00297260">
        <w:rPr>
          <w:b/>
          <w:sz w:val="24"/>
        </w:rPr>
        <w:t/>
      </w:r>
      <w:proofErr w:type="spellEnd"/>
      <w:r w:rsidRPr="00297260">
        <w:rPr>
          <w:b/>
          <w:sz w:val="24"/>
        </w:rPr>
        <w:t/>
      </w:r>
      <w:r>
        <w:rPr>
          <w:b/>
          <w:sz w:val="24"/>
        </w:rPr>
        <w:t/>
      </w:r>
      <w:proofErr w:type="gramStart"/>
      <w:r>
        <w:rPr>
          <w:b/>
          <w:sz w:val="24"/>
        </w:rPr>
        <w:t/>
      </w:r>
      <w:proofErr w:type="gramEnd"/>
      <w:r>
        <w:rPr>
          <w:b/>
          <w:sz w:val="24"/>
        </w:rPr>
        <w:t xml:space="preserve">7.2 </w:t>
      </w:r>
      <w:r>
        <w:rPr>
          <w:rFonts w:hint="eastAsia"/>
          <w:b/>
          <w:sz w:val="24"/>
        </w:rPr>
        <w:t>基</w:t>
      </w:r>
      <w:r w:rsidRPr="00B404F1">
        <w:rPr>
          <w:rFonts w:hint="eastAsia"/>
          <w:b/>
          <w:sz w:val="24"/>
        </w:rPr>
        <w:t>金管理人运用固有资金投资本基金交易明细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 xml:space="preserve">本报告期内基金管理人未运用固有资金申购、赎回、买卖本基金份额。 </w:t>
      </w:r>
    </w:p>
    <w:p w:rsidP="00997454" w:rsidR="00997454" w:rsidRDefault="00997454" w:rsidRPr="00B75F09">
      <w:pPr>
        <w:pStyle w:val="1"/>
        <w:spacing w:after="312" w:afterLines="100" w:before="312" w:beforeLines="100" w:line="360" w:lineRule="auto"/>
        <w:jc w:val="center"/>
        <w:rPr>
          <w:rFonts w:ascii="宋体" w:cs="Arial" w:hAnsi="宋体"/>
          <w:color w:val="000000"/>
          <w:kern w:val="0"/>
          <w:sz w:val="24"/>
          <w:szCs w:val="24"/>
        </w:rPr>
      </w:pPr>
      <w:r w:rsidRPr="00B75F09">
        <w:rPr>
          <w:rFonts w:ascii="宋体" w:cs="Arial" w:hAnsi="宋体"/>
          <w:color w:val="000000"/>
          <w:kern w:val="0"/>
          <w:sz w:val="24"/>
          <w:szCs w:val="24"/>
        </w:rPr>
        <w:t/>
      </w:r>
      <w:proofErr w:type="spellStart"/>
      <w:r w:rsidRPr="00B75F09">
        <w:rPr>
          <w:rFonts w:ascii="宋体" w:cs="Arial" w:hAnsi="宋体"/>
          <w:color w:val="000000"/>
          <w:kern w:val="0"/>
          <w:sz w:val="24"/>
          <w:szCs w:val="24"/>
        </w:rPr>
        <w:t/>
      </w:r>
      <w:proofErr w:type="spellEnd"/>
      <w:r w:rsidRPr="00B75F09">
        <w:rPr>
          <w:rFonts w:ascii="宋体" w:cs="Arial" w:hAnsi="宋体"/>
          <w:color w:val="000000"/>
          <w:kern w:val="0"/>
          <w:sz w:val="24"/>
          <w:szCs w:val="24"/>
        </w:rPr>
        <w:t>§8</w:t>
      </w:r>
      <w:r w:rsidR="0066098B" w:rsidRPr="0078105B">
        <w:rPr>
          <w:rFonts w:ascii="宋体" w:cs="Arial" w:hAnsi="宋体"/>
          <w:color w:val="000000"/>
          <w:kern w:val="0"/>
          <w:sz w:val="24"/>
          <w:szCs w:val="24"/>
        </w:rPr>
        <w:t xml:space="preserve">  </w:t>
      </w:r>
      <w:r w:rsidRPr="00B75F09">
        <w:rPr>
          <w:rFonts w:ascii="宋体" w:cs="Arial" w:hAnsi="宋体"/>
          <w:color w:val="000000"/>
          <w:kern w:val="0"/>
          <w:sz w:val="24"/>
          <w:szCs w:val="24"/>
        </w:rPr>
        <w:t>影响投资者决策的其他重要信息</w:t>
      </w:r>
    </w:p>
    <w:p w:rsidP="00575C75" w:rsidR="00575C75" w:rsidRDefault="00575C75" w:rsidRPr="001F5F5D">
      <w:pPr>
        <w:autoSpaceDE w:val="0"/>
        <w:autoSpaceDN w:val="0"/>
        <w:adjustRightInd w:val="0"/>
        <w:spacing w:line="360" w:lineRule="auto"/>
        <w:jc w:val="left"/>
        <w:rPr>
          <w:rFonts w:ascii="宋体"/>
          <w:b/>
          <w:bCs/>
          <w:color w:val="000000"/>
          <w:kern w:val="0"/>
          <w:sz w:val="24"/>
        </w:rPr>
      </w:pPr>
      <w:r w:rsidRPr="001F5F5D">
        <w:rPr>
          <w:rFonts w:ascii="宋体"/>
          <w:b/>
          <w:bCs/>
          <w:color w:val="000000"/>
          <w:kern w:val="0"/>
          <w:sz w:val="24"/>
        </w:rPr>
        <w:t/>
      </w:r>
      <w:proofErr w:type="spellStart"/>
      <w:r w:rsidRPr="001F5F5D">
        <w:rPr>
          <w:rFonts w:ascii="宋体"/>
          <w:b/>
          <w:bCs/>
          <w:color w:val="000000"/>
          <w:kern w:val="0"/>
          <w:sz w:val="24"/>
        </w:rPr>
        <w:t/>
      </w:r>
      <w:proofErr w:type="spellEnd"/>
      <w:r w:rsidRPr="001F5F5D">
        <w:rPr>
          <w:rFonts w:ascii="宋体"/>
          <w:b/>
          <w:bCs/>
          <w:color w:val="000000"/>
          <w:kern w:val="0"/>
          <w:sz w:val="24"/>
        </w:rPr>
        <w:t/>
      </w:r>
      <w:proofErr w:type="gramStart"/>
      <w:r w:rsidRPr="001F5F5D">
        <w:rPr>
          <w:rFonts w:ascii="宋体"/>
          <w:b/>
          <w:bCs/>
          <w:color w:val="000000"/>
          <w:kern w:val="0"/>
          <w:sz w:val="24"/>
        </w:rPr>
        <w:t/>
      </w:r>
      <w:proofErr w:type="gramEnd"/>
      <w:r w:rsidRPr="001F5F5D">
        <w:rPr>
          <w:rFonts w:ascii="宋体"/>
          <w:b/>
          <w:bCs/>
          <w:color w:val="000000"/>
          <w:kern w:val="0"/>
          <w:sz w:val="24"/>
        </w:rPr>
        <w:t>8.1 报告期内单一投资者持有基金份额比例达到或超过20%的情况</w:t>
      </w:r>
    </w:p>
    <w:tbl>
      <w:tblPr>
        <w:tblStyle w:val="af2"/>
        <w:tblW w:type="dxa" w:w="9640"/>
        <w:jc w:val="center"/>
        <w:tblLayout w:type="fixed"/>
        <w:tblLook w:firstColumn="1" w:firstRow="1" w:lastColumn="0" w:lastRow="0" w:noHBand="0" w:noVBand="1" w:val="04A0"/>
      </w:tblPr>
      <w:tblGrid>
        <w:gridCol w:w="709"/>
        <w:gridCol w:w="709"/>
        <w:gridCol w:w="2126"/>
        <w:gridCol w:w="1276"/>
        <w:gridCol w:w="1276"/>
        <w:gridCol w:w="1276"/>
        <w:gridCol w:w="1417"/>
        <w:gridCol w:w="851"/>
      </w:tblGrid>
      <w:tr w:rsidR="00575C75" w:rsidRPr="00FC0759" w:rsidTr="00CD72D6">
        <w:trPr>
          <w:jc w:val="center"/>
        </w:trPr>
        <w:tc>
          <w:tcPr>
            <w:tcW w:type="dxa" w:w="709"/>
            <w:vMerge w:val="restart"/>
            <w:vAlign w:val="center"/>
          </w:tcPr>
          <w:p w:rsidP="00CD72D6" w:rsidR="00575C75" w:rsidRDefault="00575C75" w:rsidRPr="00FC0759">
            <w:pPr>
              <w:autoSpaceDE w:val="0"/>
              <w:autoSpaceDN w:val="0"/>
              <w:adjustRightInd w:val="0"/>
              <w:jc w:val="center"/>
              <w:rPr>
                <w:rFonts w:eastAsiaTheme="minorEastAsia"/>
                <w:b/>
                <w:bCs/>
                <w:color w:themeColor="text1" w:val="000000"/>
                <w:sz w:val="24"/>
              </w:rPr>
            </w:pPr>
            <w:r w:rsidRPr="00FC0759">
              <w:rPr>
                <w:color w:val="000000"/>
                <w:sz w:val="24"/>
              </w:rPr>
              <w:t>投资者类别</w:t>
            </w:r>
            <w:r w:rsidRPr="00FC0759">
              <w:rPr>
                <w:rFonts w:eastAsia="仿宋"/>
                <w:color w:themeColor="text1" w:val="000000"/>
                <w:sz w:val="24"/>
              </w:rPr>
              <w:t/>
            </w:r>
            <w:proofErr w:type="spellStart"/>
            <w:r w:rsidRPr="00FC0759">
              <w:rPr>
                <w:rFonts w:eastAsia="仿宋"/>
                <w:color w:themeColor="text1" w:val="000000"/>
                <w:sz w:val="24"/>
              </w:rPr>
              <w:t/>
            </w:r>
            <w:proofErr w:type="spellEnd"/>
            <w:r w:rsidRPr="00FC0759">
              <w:rPr>
                <w:rFonts w:eastAsia="仿宋"/>
                <w:color w:themeColor="text1" w:val="000000"/>
                <w:sz w:val="24"/>
              </w:rPr>
              <w:t/>
            </w:r>
            <w:proofErr w:type="spellStart"/>
            <w:r w:rsidRPr="00FC0759">
              <w:rPr>
                <w:rFonts w:eastAsia="仿宋"/>
                <w:color w:themeColor="text1" w:val="000000"/>
                <w:sz w:val="24"/>
              </w:rPr>
              <w:t/>
            </w:r>
            <w:proofErr w:type="spellEnd"/>
            <w:r w:rsidRPr="00FC0759">
              <w:rPr>
                <w:rFonts w:eastAsia="仿宋"/>
                <w:color w:themeColor="text1" w:val="000000"/>
                <w:sz w:val="24"/>
              </w:rPr>
              <w:t/>
            </w:r>
          </w:p>
        </w:tc>
        <w:tc>
          <w:tcPr>
            <w:tcW w:type="dxa" w:w="6663"/>
            <w:gridSpan w:val="5"/>
            <w:vAlign w:val="center"/>
          </w:tcPr>
          <w:p w:rsidP="00CD72D6" w:rsidR="00575C75" w:rsidRDefault="00575C75" w:rsidRPr="00FC0759">
            <w:pPr>
              <w:autoSpaceDE w:val="0"/>
              <w:autoSpaceDN w:val="0"/>
              <w:adjustRightInd w:val="0"/>
              <w:ind w:firstLine="1126"/>
              <w:jc w:val="center"/>
              <w:rPr>
                <w:rFonts w:eastAsiaTheme="minorEastAsia"/>
                <w:b/>
                <w:bCs/>
                <w:color w:themeColor="text1" w:val="000000"/>
                <w:sz w:val="24"/>
              </w:rPr>
            </w:pPr>
            <w:r w:rsidRPr="00FC0759">
              <w:rPr>
                <w:color w:val="000000"/>
                <w:sz w:val="24"/>
              </w:rPr>
              <w:t>报告期内持有基金份额变化情况</w:t>
            </w:r>
          </w:p>
        </w:tc>
        <w:tc>
          <w:tcPr>
            <w:tcW w:type="dxa" w:w="2268"/>
            <w:gridSpan w:val="2"/>
            <w:vAlign w:val="center"/>
          </w:tcPr>
          <w:p w:rsidP="00CD72D6" w:rsidR="00575C75" w:rsidRDefault="00575C75" w:rsidRPr="00FC0759">
            <w:pPr>
              <w:autoSpaceDE w:val="0"/>
              <w:autoSpaceDN w:val="0"/>
              <w:adjustRightInd w:val="0"/>
              <w:jc w:val="center"/>
              <w:rPr>
                <w:rFonts w:eastAsiaTheme="minorEastAsia"/>
                <w:b/>
                <w:bCs/>
                <w:color w:themeColor="text1" w:val="000000"/>
                <w:sz w:val="24"/>
              </w:rPr>
            </w:pPr>
            <w:r w:rsidRPr="00FC0759">
              <w:rPr>
                <w:color w:val="000000"/>
                <w:sz w:val="24"/>
              </w:rPr>
              <w:t>报告期末持有基金情况</w:t>
            </w:r>
          </w:p>
        </w:tc>
      </w:tr>
      <w:tr w:rsidR="00575C75" w:rsidRPr="00FC0759" w:rsidTr="00CD72D6">
        <w:trPr>
          <w:jc w:val="center"/>
        </w:trPr>
        <w:tc>
          <w:tcPr>
            <w:tcW w:type="dxa" w:w="709"/>
            <w:vMerge/>
            <w:vAlign w:val="center"/>
          </w:tcPr>
          <w:p w:rsidP="00CD72D6" w:rsidR="00575C75" w:rsidRDefault="00575C75" w:rsidRPr="00FC0759">
            <w:pPr>
              <w:autoSpaceDE w:val="0"/>
              <w:autoSpaceDN w:val="0"/>
              <w:adjustRightInd w:val="0"/>
              <w:ind w:firstLine="1234"/>
              <w:jc w:val="center"/>
              <w:rPr>
                <w:rFonts w:eastAsiaTheme="minorEastAsia"/>
                <w:b/>
                <w:bCs/>
                <w:color w:themeColor="text1" w:val="000000"/>
                <w:sz w:val="24"/>
              </w:rPr>
            </w:pPr>
          </w:p>
        </w:tc>
        <w:tc>
          <w:tcPr>
            <w:tcW w:type="dxa" w:w="709"/>
            <w:vAlign w:val="center"/>
          </w:tcPr>
          <w:p w:rsidP="00CD72D6" w:rsidR="00575C75" w:rsidRDefault="00575C75" w:rsidRPr="00FC0759">
            <w:pPr>
              <w:autoSpaceDE w:val="0"/>
              <w:autoSpaceDN w:val="0"/>
              <w:adjustRightInd w:val="0"/>
              <w:jc w:val="center"/>
              <w:rPr>
                <w:rFonts w:eastAsiaTheme="minorEastAsia"/>
                <w:b/>
                <w:bCs/>
                <w:color w:themeColor="text1" w:val="000000"/>
                <w:sz w:val="24"/>
              </w:rPr>
            </w:pPr>
            <w:r w:rsidRPr="00FC0759">
              <w:rPr>
                <w:color w:val="000000"/>
                <w:sz w:val="24"/>
              </w:rPr>
              <w:t>序号</w:t>
            </w:r>
          </w:p>
        </w:tc>
        <w:tc>
          <w:tcPr>
            <w:tcW w:type="dxa" w:w="2126"/>
            <w:vAlign w:val="center"/>
          </w:tcPr>
          <w:p w:rsidP="00CD72D6" w:rsidR="00575C75" w:rsidRDefault="00575C75" w:rsidRPr="00FC0759">
            <w:pPr>
              <w:autoSpaceDE w:val="0"/>
              <w:autoSpaceDN w:val="0"/>
              <w:adjustRightInd w:val="0"/>
              <w:jc w:val="center"/>
              <w:rPr>
                <w:rFonts w:eastAsiaTheme="minorEastAsia"/>
                <w:b/>
                <w:bCs/>
                <w:color w:themeColor="text1" w:val="000000"/>
                <w:sz w:val="24"/>
              </w:rPr>
            </w:pPr>
            <w:r w:rsidRPr="00FC0759">
              <w:rPr>
                <w:color w:val="000000"/>
                <w:sz w:val="24"/>
              </w:rPr>
              <w:t>持有基金份额比例达到或者超过</w:t>
            </w:r>
            <w:r w:rsidRPr="00FC0759">
              <w:rPr>
                <w:color w:val="000000"/>
                <w:sz w:val="24"/>
              </w:rPr>
              <w:t>20%</w:t>
            </w:r>
            <w:r w:rsidRPr="00FC0759">
              <w:rPr>
                <w:color w:val="000000"/>
                <w:sz w:val="24"/>
              </w:rPr>
              <w:t>的时间区间</w:t>
            </w:r>
          </w:p>
        </w:tc>
        <w:tc>
          <w:tcPr>
            <w:tcW w:type="dxa" w:w="1276"/>
            <w:vAlign w:val="center"/>
          </w:tcPr>
          <w:p w:rsidP="00CD72D6" w:rsidR="00575C75" w:rsidRDefault="00575C75" w:rsidRPr="00FC0759">
            <w:pPr>
              <w:widowControl/>
              <w:rPr>
                <w:rFonts w:eastAsiaTheme="minorEastAsia"/>
                <w:b/>
                <w:bCs/>
                <w:color w:themeColor="text1" w:val="000000"/>
                <w:sz w:val="24"/>
              </w:rPr>
            </w:pPr>
            <w:r w:rsidRPr="00FC0759">
              <w:rPr>
                <w:color w:val="000000"/>
                <w:sz w:val="24"/>
              </w:rPr>
              <w:t>期初份额</w:t>
            </w:r>
          </w:p>
        </w:tc>
        <w:tc>
          <w:tcPr>
            <w:tcW w:type="dxa" w:w="1276"/>
            <w:vAlign w:val="center"/>
          </w:tcPr>
          <w:p w:rsidP="00CD72D6" w:rsidR="00575C75" w:rsidRDefault="00575C75" w:rsidRPr="00FC0759">
            <w:pPr>
              <w:widowControl/>
              <w:rPr>
                <w:rFonts w:eastAsiaTheme="minorEastAsia"/>
                <w:b/>
                <w:bCs/>
                <w:color w:themeColor="text1" w:val="000000"/>
                <w:sz w:val="24"/>
              </w:rPr>
            </w:pPr>
            <w:r w:rsidRPr="00FC0759">
              <w:rPr>
                <w:color w:val="000000"/>
                <w:sz w:val="24"/>
              </w:rPr>
              <w:t>申购份额</w:t>
            </w:r>
          </w:p>
        </w:tc>
        <w:tc>
          <w:tcPr>
            <w:tcW w:type="dxa" w:w="1276"/>
            <w:vAlign w:val="center"/>
          </w:tcPr>
          <w:p w:rsidP="00CD72D6" w:rsidR="00575C75" w:rsidRDefault="00575C75" w:rsidRPr="00FC0759">
            <w:pPr>
              <w:widowControl/>
              <w:rPr>
                <w:rFonts w:eastAsiaTheme="minorEastAsia"/>
                <w:b/>
                <w:bCs/>
                <w:color w:themeColor="text1" w:val="000000"/>
                <w:sz w:val="24"/>
              </w:rPr>
            </w:pPr>
            <w:r w:rsidRPr="00FC0759">
              <w:rPr>
                <w:color w:val="000000"/>
                <w:sz w:val="24"/>
              </w:rPr>
              <w:t>赎回份额</w:t>
            </w:r>
          </w:p>
        </w:tc>
        <w:tc>
          <w:tcPr>
            <w:tcW w:type="dxa" w:w="1417"/>
            <w:vAlign w:val="center"/>
          </w:tcPr>
          <w:p w:rsidP="00CD72D6" w:rsidR="00575C75" w:rsidRDefault="00575C75" w:rsidRPr="00FC0759">
            <w:pPr>
              <w:autoSpaceDE w:val="0"/>
              <w:autoSpaceDN w:val="0"/>
              <w:adjustRightInd w:val="0"/>
              <w:jc w:val="center"/>
              <w:rPr>
                <w:rFonts w:eastAsiaTheme="minorEastAsia"/>
                <w:b/>
                <w:bCs/>
                <w:color w:themeColor="text1" w:val="000000"/>
                <w:sz w:val="24"/>
              </w:rPr>
            </w:pPr>
            <w:r w:rsidRPr="00FC0759">
              <w:rPr>
                <w:color w:val="000000"/>
                <w:sz w:val="24"/>
              </w:rPr>
              <w:t>持有份额</w:t>
            </w:r>
          </w:p>
        </w:tc>
        <w:tc>
          <w:tcPr>
            <w:tcW w:type="dxa" w:w="851"/>
            <w:vAlign w:val="center"/>
          </w:tcPr>
          <w:p w:rsidP="00CD72D6" w:rsidR="00575C75" w:rsidRDefault="00575C75" w:rsidRPr="00FC0759">
            <w:pPr>
              <w:autoSpaceDE w:val="0"/>
              <w:autoSpaceDN w:val="0"/>
              <w:adjustRightInd w:val="0"/>
              <w:jc w:val="center"/>
              <w:rPr>
                <w:rFonts w:eastAsiaTheme="minorEastAsia"/>
                <w:b/>
                <w:bCs/>
                <w:color w:themeColor="text1" w:val="000000"/>
                <w:sz w:val="24"/>
              </w:rPr>
            </w:pPr>
            <w:r w:rsidRPr="00FC0759">
              <w:rPr>
                <w:color w:val="000000"/>
                <w:sz w:val="24"/>
              </w:rPr>
              <w:t>份额占比</w:t>
            </w:r>
          </w:p>
        </w:tc>
      </w:tr>
      <w:tr>
        <w:tc>
          <w:tcPr>
            <w:vMerge w:val="restart"/>
            <w:vAlign w:val="center"/>
          </w:tcPr>
          <w:p>
            <w:r>
              <w:rPr>
                <w:rFonts w:eastAsiaTheme="minorEastAsia"/>
                <w:bCs/>
                <w:color w:themeColor="text1" w:val="000000"/>
                <w:sz w:val="24"/>
              </w:rPr>
              <w:t>机构</w:t>
            </w:r>
          </w:p>
        </w:tc>
        <w:tc>
          <w:tcPr>
            <w:vAlign w:val="center"/>
          </w:tcPr>
          <w:p>
            <w:pPr>
              <w:jc w:val="center"/>
            </w:pPr>
            <w:r>
              <w:rPr>
                <w:sz w:val="24"/>
              </w:rPr>
              <w:t>1</w:t>
            </w:r>
          </w:p>
        </w:tc>
        <w:tc>
          <w:tcPr>
            <w:vAlign w:val="center"/>
          </w:tcPr>
          <w:p>
            <w:pPr>
              <w:jc w:val="center"/>
            </w:pPr>
            <w:r>
              <w:rPr>
                <w:sz w:val="24"/>
              </w:rPr>
              <w:t>2020年04月01日~2020年06月30日</w:t>
            </w:r>
          </w:p>
        </w:tc>
        <w:tc>
          <w:tcPr>
            <w:vAlign w:val="center"/>
          </w:tcPr>
          <w:p>
            <w:pPr>
              <w:jc w:val="center"/>
            </w:pPr>
            <w:r>
              <w:rPr>
                <w:sz w:val="24"/>
              </w:rPr>
              <w:t>78,645,384.75</w:t>
            </w:r>
          </w:p>
        </w:tc>
        <w:tc>
          <w:tcPr>
            <w:vAlign w:val="center"/>
          </w:tcPr>
          <w:p>
            <w:pPr>
              <w:jc w:val="center"/>
            </w:pPr>
            <w:r>
              <w:rPr>
                <w:sz w:val="24"/>
              </w:rPr>
              <w:t>-</w:t>
            </w:r>
          </w:p>
        </w:tc>
        <w:tc>
          <w:tcPr>
            <w:vAlign w:val="center"/>
          </w:tcPr>
          <w:p>
            <w:pPr>
              <w:jc w:val="center"/>
            </w:pPr>
            <w:r>
              <w:rPr>
                <w:sz w:val="24"/>
              </w:rPr>
              <w:t>-</w:t>
            </w:r>
          </w:p>
        </w:tc>
        <w:tc>
          <w:tcPr>
            <w:vAlign w:val="center"/>
          </w:tcPr>
          <w:p>
            <w:pPr>
              <w:jc w:val="center"/>
            </w:pPr>
            <w:r>
              <w:rPr>
                <w:sz w:val="24"/>
              </w:rPr>
              <w:t>78,645,384.75</w:t>
            </w:r>
          </w:p>
        </w:tc>
        <w:tc>
          <w:tcPr>
            <w:vAlign w:val="center"/>
          </w:tcPr>
          <w:p>
            <w:pPr>
              <w:jc w:val="center"/>
            </w:pPr>
            <w:r>
              <w:rPr>
                <w:sz w:val="24"/>
              </w:rPr>
              <w:t>76.90%</w:t>
            </w:r>
          </w:p>
        </w:tc>
      </w:tr>
    </w:tbl>
    <w:tbl>
      <w:tblPr>
        <w:tblStyle w:val="af2"/>
        <w:tblW w:type="dxa" w:w="9637"/>
        <w:jc w:val="center"/>
        <w:tblLayout w:type="fixed"/>
        <w:tblLook w:firstColumn="1" w:firstRow="1" w:lastColumn="0" w:lastRow="0" w:noHBand="0" w:noVBand="1" w:val="04A0"/>
      </w:tblPr>
      <w:tblGrid>
        <w:gridCol w:w="9637"/>
      </w:tblGrid>
      <w:tr w:rsidR="00575C75" w:rsidRPr="00FC0759" w:rsidTr="00CD72D6">
        <w:trPr>
          <w:jc w:val="center"/>
        </w:trPr>
        <w:tc>
          <w:tcPr>
            <w:tcW w:type="dxa" w:w="9637"/>
            <w:vAlign w:val="center"/>
          </w:tcPr>
          <w:p w:rsidP="00BF07C4" w:rsidR="00575C75" w:rsidRDefault="00575C75" w:rsidRPr="00FC0759">
            <w:pPr>
              <w:autoSpaceDE w:val="0"/>
              <w:autoSpaceDN w:val="0"/>
              <w:adjustRightInd w:val="0"/>
              <w:jc w:val="center"/>
              <w:rPr>
                <w:sz w:val="24"/>
              </w:rPr>
            </w:pPr>
            <w:bookmarkStart w:id="2" w:name="_GoBack"/>
            <w:r w:rsidRPr="00FC0759">
              <w:rPr>
                <w:color w:val="000000"/>
                <w:sz w:val="24"/>
              </w:rPr>
              <w:t>产品特有风险</w:t>
            </w:r>
            <w:r w:rsidRPr="00FC0759">
              <w:rPr>
                <w:sz w:val="24"/>
              </w:rPr>
              <w:t/>
            </w:r>
            <w:proofErr w:type="spellStart"/>
            <w:r w:rsidRPr="00FC0759">
              <w:rPr>
                <w:sz w:val="24"/>
              </w:rPr>
              <w:t/>
            </w:r>
            <w:proofErr w:type="spellEnd"/>
            <w:r w:rsidRPr="00FC0759">
              <w:rPr>
                <w:sz w:val="24"/>
              </w:rPr>
              <w:t/>
            </w:r>
          </w:p>
        </w:tc>
      </w:tr>
      <w:tr w:rsidR="00575C75" w:rsidRPr="00FC0759" w:rsidTr="00CD72D6">
        <w:trPr>
          <w:jc w:val="center"/>
        </w:trPr>
        <w:tc>
          <w:tcPr>
            <w:tcW w:type="dxa" w:w="9637"/>
            <w:vAlign w:val="center"/>
          </w:tcPr>
          <w:p w:rsidP="00CD72D6" w:rsidR="00575C75" w:rsidRDefault="00575C75" w:rsidRPr="00FC0759">
            <w:pPr>
              <w:autoSpaceDE w:val="0"/>
              <w:autoSpaceDN w:val="0"/>
              <w:adjustRightInd w:val="0"/>
              <w:jc w:val="left"/>
              <w:rPr>
                <w:sz w:val="24"/>
              </w:rPr>
            </w:pPr>
            <w:r w:rsidRPr="00FC0759">
              <w:rPr>
                <w:sz w:val="24"/>
              </w:rPr>
              <w:t>报告期内，本基金存在单一投资者持有份额比例达到或超过20%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5000万元，基金还可能面临转换运作方式、与其他基金合并或者终止基金合同等情形；持有基金份额占比较高的投资者在召开持有人大会并对审议事项进行投票表决时可能拥有较大话语权。</w:t>
            </w:r>
          </w:p>
        </w:tc>
      </w:tr>
    </w:tbl>
    <w:bookmarkEnd w:id="2"/>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color w:val="000000"/>
          <w:kern w:val="0"/>
          <w:sz w:val="24"/>
          <w:szCs w:val="24"/>
        </w:rPr>
        <w:t/>
      </w:r>
      <w:r w:rsidRPr="0078105B">
        <w:rPr>
          <w:rFonts w:ascii="宋体" w:cs="Arial" w:hAnsi="宋体"/>
          <w:color w:val="000000"/>
          <w:kern w:val="0"/>
          <w:sz w:val="24"/>
          <w:szCs w:val="24"/>
        </w:rPr>
        <w:t>9</w:t>
      </w:r>
      <w:r w:rsidR="0066098B" w:rsidRPr="0078105B">
        <w:rPr>
          <w:rFonts w:ascii="宋体" w:cs="Arial" w:hAnsi="宋体"/>
          <w:color w:val="000000"/>
          <w:kern w:val="0"/>
          <w:sz w:val="24"/>
          <w:szCs w:val="24"/>
        </w:rPr>
        <w:t xml:space="preserve">  </w:t>
      </w:r>
      <w:r w:rsidRPr="0078105B">
        <w:rPr>
          <w:rFonts w:ascii="宋体" w:cs="Arial" w:hAnsi="宋体" w:hint="eastAsia"/>
          <w:color w:val="000000"/>
          <w:kern w:val="0"/>
          <w:sz w:val="24"/>
          <w:szCs w:val="24"/>
        </w:rPr>
        <w:t>备查文件目录</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9.1</w:t>
      </w:r>
      <w:r w:rsidRPr="00E8153C">
        <w:rPr>
          <w:color w:val="000000"/>
          <w:kern w:val="0"/>
          <w:sz w:val="24"/>
        </w:rPr>
        <w:t>备查文件目录</w:t>
      </w:r>
    </w:p>
    <w:p>
      <w:pPr>
        <w:spacing w:line="360" w:lineRule="auto"/>
        <w:ind w:firstLine="480" w:firstLineChars="200"/>
        <w:rPr>
          <w:color w:val="000000"/>
          <w:sz w:val="24"/>
        </w:rPr>
      </w:pPr>
      <w:r>
        <w:rPr>
          <w:color w:val="000000"/>
          <w:sz w:val="24"/>
        </w:rPr>
        <w:t>1.中国证监会准予易方达瑞享灵活配置混合型证券投资基金注册的文件；</w:t>
      </w:r>
    </w:p>
    <w:p>
      <w:pPr>
        <w:spacing w:line="360" w:lineRule="auto"/>
        <w:ind w:firstLine="480" w:firstLineChars="200"/>
        <w:rPr>
          <w:color w:val="000000"/>
          <w:sz w:val="24"/>
        </w:rPr>
      </w:pPr>
      <w:r>
        <w:rPr>
          <w:color w:val="000000"/>
          <w:sz w:val="24"/>
        </w:rPr>
        <w:t>2.《易方达瑞享灵活配置混合型证券投资基金基金合同》；</w:t>
      </w:r>
    </w:p>
    <w:p>
      <w:pPr>
        <w:spacing w:line="360" w:lineRule="auto"/>
        <w:ind w:firstLine="480" w:firstLineChars="200"/>
        <w:rPr>
          <w:color w:val="000000"/>
          <w:sz w:val="24"/>
        </w:rPr>
      </w:pPr>
      <w:r>
        <w:rPr>
          <w:color w:val="000000"/>
          <w:sz w:val="24"/>
        </w:rPr>
        <w:t>3.《易方达瑞享灵活配置混合型证券投资基金托管协议》；</w:t>
      </w:r>
    </w:p>
    <w:p>
      <w:pPr>
        <w:spacing w:line="360" w:lineRule="auto"/>
        <w:ind w:firstLine="480" w:firstLineChars="200"/>
        <w:rPr>
          <w:color w:val="000000"/>
          <w:sz w:val="24"/>
        </w:rPr>
      </w:pPr>
      <w:r>
        <w:rPr>
          <w:color w:val="000000"/>
          <w:sz w:val="24"/>
        </w:rPr>
        <w:t>4.《易方达基金管理有限公司开放式基金业务规则》；</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5.基金管理人业务资格批件、营业执照。</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9.2</w:t>
      </w:r>
      <w:r w:rsidRPr="00E8153C">
        <w:rPr>
          <w:color w:val="000000"/>
          <w:kern w:val="0"/>
          <w:sz w:val="24"/>
        </w:rPr>
        <w:t>存放地点</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广州市天河区珠江新城珠江东路30号广州银行大厦40-43楼。</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9.3</w:t>
      </w:r>
      <w:r w:rsidRPr="00E8153C">
        <w:rPr>
          <w:color w:val="000000"/>
          <w:kern w:val="0"/>
          <w:sz w:val="24"/>
        </w:rPr>
        <w:t>查阅方式</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投资者可在营业时间免费查阅，也可按工本费购买复印件。</w:t>
      </w:r>
    </w:p>
    <w:p w:rsidP="00FB3C94" w:rsidR="00F016DD" w:rsidRDefault="00F016DD" w:rsidRPr="0078105B">
      <w:pPr>
        <w:spacing w:line="360" w:lineRule="auto"/>
        <w:ind w:left="840"/>
        <w:jc w:val="right"/>
        <w:rPr>
          <w:rFonts w:ascii="宋体"/>
          <w:color w:val="000000"/>
          <w:sz w:val="24"/>
        </w:rPr>
      </w:pPr>
    </w:p>
    <w:p w:rsidP="00053FFD" w:rsidR="00F016DD" w:rsidRDefault="00F016DD" w:rsidRPr="0078105B">
      <w:pPr>
        <w:spacing w:line="360" w:lineRule="auto"/>
        <w:ind w:left="840"/>
        <w:jc w:val="center"/>
        <w:rPr>
          <w:rFonts w:ascii="宋体"/>
          <w:b/>
          <w:color w:val="000000"/>
          <w:sz w:val="24"/>
        </w:rPr>
      </w:pPr>
    </w:p>
    <w:p w:rsidP="00B1493B" w:rsidR="00F016DD" w:rsidRDefault="00F016DD" w:rsidRPr="0078105B">
      <w:pPr>
        <w:spacing w:line="360" w:lineRule="auto"/>
        <w:jc w:val="right"/>
        <w:rPr>
          <w:rFonts w:ascii="宋体" w:hAnsi="宋体"/>
          <w:b/>
          <w:bCs/>
          <w:sz w:val="24"/>
        </w:rPr>
      </w:pPr>
      <w:r w:rsidRPr="0078105B">
        <w:rPr>
          <w:rFonts w:ascii="宋体"/>
          <w:b/>
          <w:bCs/>
          <w:sz w:val="24"/>
        </w:rPr>
        <w:t/>
      </w:r>
      <w:proofErr w:type="spellStart"/>
      <w:proofErr w:type="gramStart"/>
      <w:r w:rsidRPr="0078105B">
        <w:rPr>
          <w:rFonts w:ascii="宋体" w:hAnsi="宋体"/>
          <w:b/>
          <w:bCs/>
          <w:sz w:val="24"/>
        </w:rPr>
        <w:t/>
      </w:r>
      <w:proofErr w:type="spellEnd"/>
      <w:proofErr w:type="gramEnd"/>
      <w:r w:rsidRPr="0078105B">
        <w:rPr>
          <w:rFonts w:ascii="宋体" w:hAnsi="宋体"/>
          <w:b/>
          <w:bCs/>
          <w:sz w:val="24"/>
        </w:rPr>
        <w:t>易方达基金管理有限公司</w:t>
      </w:r>
    </w:p>
    <w:p w:rsidP="00B1493B" w:rsidR="00F016DD" w:rsidRDefault="00F016DD" w:rsidRPr="0078105B">
      <w:pPr>
        <w:spacing w:line="360" w:lineRule="auto"/>
        <w:jc w:val="right"/>
        <w:rPr>
          <w:rFonts w:ascii="宋体" w:hAnsi="宋体"/>
          <w:b/>
          <w:bCs/>
          <w:sz w:val="24"/>
        </w:rPr>
      </w:pPr>
      <w:r w:rsidRPr="0078105B">
        <w:rPr>
          <w:rFonts w:ascii="宋体" w:hAnsi="宋体"/>
          <w:b/>
          <w:bCs/>
          <w:sz w:val="24"/>
        </w:rPr>
        <w:t/>
      </w:r>
      <w:proofErr w:type="spellStart"/>
      <w:proofErr w:type="gramStart"/>
      <w:r w:rsidRPr="0078105B">
        <w:rPr>
          <w:rFonts w:ascii="宋体" w:hAnsi="宋体"/>
          <w:b/>
          <w:bCs/>
          <w:sz w:val="24"/>
        </w:rPr>
        <w:t/>
      </w:r>
      <w:proofErr w:type="spellEnd"/>
      <w:proofErr w:type="gramEnd"/>
      <w:r w:rsidRPr="0078105B">
        <w:rPr>
          <w:rFonts w:ascii="宋体" w:hAnsi="宋体"/>
          <w:b/>
          <w:bCs/>
          <w:sz w:val="24"/>
        </w:rPr>
        <w:t>二〇二〇年七月二十一日</w:t>
      </w:r>
    </w:p>
    <w:sectPr w:rsidR="00F016DD" w:rsidRPr="0078105B" w:rsidSect="00A8324F">
      <w:footerReference r:id="rId12" w:type="even"/>
      <w:footerReference r:id="rId13" w:type="default"/>
      <w:pgSz w:h="16838" w:w="11906"/>
      <w:pgMar w:bottom="1440" w:footer="992" w:gutter="0" w:header="851" w:left="1800" w:right="1286"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1041" w:rsidRDefault="00901041">
      <w:r>
        <w:separator/>
      </w:r>
    </w:p>
  </w:endnote>
  <w:endnote w:type="continuationSeparator" w:id="0">
    <w:p w:rsidR="00901041" w:rsidRDefault="00901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方正仿宋简体">
    <w:altName w:val="微软雅黑"/>
    <w:charset w:val="86"/>
    <w:family w:val="auto"/>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F7094A" w:rsidR="00611CB2" w:rsidRDefault="00611CB2" w:rsidRPr="001D0DB0">
    <w:pPr>
      <w:pStyle w:val="a6"/>
      <w:jc w:val="center"/>
    </w:pPr>
    <w:r>
      <w:rPr>
        <w:rFonts w:hint="eastAsia"/>
        <w:szCs w:val="21"/>
      </w:rPr>
      <w:t>第</w:t>
    </w:r>
    <w:r w:rsidR="00F85FCB">
      <w:rPr>
        <w:szCs w:val="21"/>
      </w:rPr>
      <w:fldChar w:fldCharType="begin"/>
    </w:r>
    <w:r>
      <w:rPr>
        <w:szCs w:val="21"/>
      </w:rPr>
      <w:instrText xml:space="preserve"> PAGE </w:instrText>
    </w:r>
    <w:r w:rsidR="00F85FCB">
      <w:rPr>
        <w:szCs w:val="21"/>
      </w:rPr>
      <w:fldChar w:fldCharType="separate"/>
    </w:r>
    <w:r w:rsidR="0001612A">
      <w:rPr>
        <w:noProof/>
        <w:szCs w:val="21"/>
      </w:rPr>
      <w:t>1</w:t>
    </w:r>
    <w:r w:rsidR="00F85FCB">
      <w:rPr>
        <w:szCs w:val="21"/>
      </w:rPr>
      <w:fldChar w:fldCharType="end"/>
    </w:r>
    <w:proofErr w:type="gramStart"/>
    <w:r>
      <w:rPr>
        <w:rFonts w:hint="eastAsia"/>
        <w:szCs w:val="21"/>
      </w:rPr>
      <w:t>页共</w:t>
    </w:r>
    <w:proofErr w:type="gramEnd"/>
    <w:r w:rsidR="00F85FCB">
      <w:rPr>
        <w:szCs w:val="21"/>
      </w:rPr>
      <w:fldChar w:fldCharType="begin"/>
    </w:r>
    <w:r>
      <w:rPr>
        <w:szCs w:val="21"/>
      </w:rPr>
      <w:instrText xml:space="preserve"> NUMPAGES </w:instrText>
    </w:r>
    <w:r w:rsidR="00F85FCB">
      <w:rPr>
        <w:szCs w:val="21"/>
      </w:rPr>
      <w:fldChar w:fldCharType="separate"/>
    </w:r>
    <w:r w:rsidR="0001612A">
      <w:rPr>
        <w:noProof/>
        <w:szCs w:val="21"/>
      </w:rPr>
      <w:t>1</w:t>
    </w:r>
    <w:r w:rsidR="00F85FCB">
      <w:rPr>
        <w:szCs w:val="21"/>
      </w:rPr>
      <w:fldChar w:fldCharType="end"/>
    </w:r>
    <w:r>
      <w:rPr>
        <w:rFonts w:hint="eastAsia"/>
        <w:szCs w:val="21"/>
      </w:rPr>
      <w:t>页</w:t>
    </w: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611CB2" w:rsidRDefault="00F85FCB">
    <w:pPr>
      <w:pStyle w:val="a6"/>
      <w:framePr w:hAnchor="margin" w:vAnchor="text" w:wrap="around" w:xAlign="center" w:y="1"/>
      <w:rPr>
        <w:rStyle w:val="a7"/>
      </w:rPr>
    </w:pPr>
    <w:r>
      <w:rPr>
        <w:rStyle w:val="a7"/>
      </w:rPr>
      <w:fldChar w:fldCharType="begin"/>
    </w:r>
    <w:r w:rsidR="00611CB2">
      <w:rPr>
        <w:rStyle w:val="a7"/>
      </w:rPr>
      <w:instrText xml:space="preserve">PAGE  </w:instrText>
    </w:r>
    <w:r>
      <w:rPr>
        <w:rStyle w:val="a7"/>
      </w:rPr>
      <w:fldChar w:fldCharType="end"/>
    </w:r>
  </w:p>
  <w:p w:rsidR="00611CB2" w:rsidRDefault="00611CB2">
    <w:pPr>
      <w:pStyle w:val="a6"/>
    </w:pPr>
  </w:p>
</w:ftr>
</file>

<file path=word/footer3.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611CB2" w:rsidRDefault="00F85FCB">
    <w:pPr>
      <w:pStyle w:val="a6"/>
      <w:framePr w:hAnchor="margin" w:vAnchor="text" w:wrap="around" w:xAlign="center" w:y="1"/>
      <w:rPr>
        <w:rStyle w:val="a7"/>
      </w:rPr>
    </w:pPr>
    <w:r>
      <w:rPr>
        <w:rStyle w:val="a7"/>
      </w:rPr>
      <w:fldChar w:fldCharType="begin"/>
    </w:r>
    <w:r w:rsidR="00611CB2">
      <w:rPr>
        <w:rStyle w:val="a7"/>
      </w:rPr>
      <w:instrText xml:space="preserve">PAGE  </w:instrText>
    </w:r>
    <w:r>
      <w:rPr>
        <w:rStyle w:val="a7"/>
      </w:rPr>
      <w:fldChar w:fldCharType="separate"/>
    </w:r>
    <w:r w:rsidR="0001612A">
      <w:rPr>
        <w:rStyle w:val="a7"/>
        <w:noProof/>
      </w:rPr>
      <w:t>29</w:t>
    </w:r>
    <w:r>
      <w:rPr>
        <w:rStyle w:val="a7"/>
      </w:rPr>
      <w:fldChar w:fldCharType="end"/>
    </w:r>
  </w:p>
  <w:p w:rsidR="00611CB2" w:rsidRDefault="00611CB2">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R="00901041" w:rsidRDefault="00901041">
      <w:r>
        <w:separator/>
      </w:r>
    </w:p>
  </w:footnote>
  <w:footnote w:id="0" w:type="continuationSeparator">
    <w:p w:rsidR="00901041" w:rsidRDefault="00901041">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1207F2" w:rsidR="00611CB2" w:rsidRDefault="00611CB2" w:rsidRPr="00DA451D">
    <w:pPr>
      <w:pStyle w:val="a9"/>
      <w:pBdr>
        <w:bottom w:color="auto" w:space="0" w:sz="6" w:val="single"/>
      </w:pBdr>
      <w:jc w:val="right"/>
    </w:pPr>
    <w:r w:rsidRPr="00DA451D">
      <w:t/>
    </w:r>
    <w:proofErr w:type="spellStart"/>
    <w:proofErr w:type="gramStart"/>
    <w:r w:rsidRPr="00DA451D">
      <w:t/>
    </w:r>
    <w:proofErr w:type="spellEnd"/>
    <w:proofErr w:type="gramEnd"/>
    <w:r w:rsidRPr="00DA451D">
      <w:t>易方达瑞享灵活配置混合型证券投资基金</w:t>
    </w:r>
    <w:proofErr w:type="spellStart"/>
    <w:r w:rsidRPr="00DA451D">
      <w:t/>
    </w:r>
    <w:proofErr w:type="spellEnd"/>
    <w:r w:rsidRPr="00DA451D">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entative="1" w:tplc="04090003">
      <w:start w:val="1"/>
      <w:numFmt w:val="bullet"/>
      <w:lvlText w:val=""/>
      <w:lvlJc w:val="left"/>
      <w:pPr>
        <w:tabs>
          <w:tab w:pos="1260" w:val="num"/>
        </w:tabs>
        <w:ind w:hanging="420" w:left="1260"/>
      </w:pPr>
      <w:rPr>
        <w:rFonts w:ascii="Wingdings" w:hAnsi="Wingdings" w:hint="default"/>
      </w:rPr>
    </w:lvl>
    <w:lvl w:ilvl="2" w:tentative="1" w:tplc="04090005">
      <w:start w:val="1"/>
      <w:numFmt w:val="bullet"/>
      <w:lvlText w:val=""/>
      <w:lvlJc w:val="left"/>
      <w:pPr>
        <w:tabs>
          <w:tab w:pos="1680" w:val="num"/>
        </w:tabs>
        <w:ind w:hanging="420" w:left="1680"/>
      </w:pPr>
      <w:rPr>
        <w:rFonts w:ascii="Wingdings" w:hAnsi="Wingdings" w:hint="default"/>
      </w:rPr>
    </w:lvl>
    <w:lvl w:ilvl="3" w:tentative="1" w:tplc="04090001">
      <w:start w:val="1"/>
      <w:numFmt w:val="bullet"/>
      <w:lvlText w:val=""/>
      <w:lvlJc w:val="left"/>
      <w:pPr>
        <w:tabs>
          <w:tab w:pos="2100" w:val="num"/>
        </w:tabs>
        <w:ind w:hanging="420" w:left="2100"/>
      </w:pPr>
      <w:rPr>
        <w:rFonts w:ascii="Wingdings" w:hAnsi="Wingdings" w:hint="default"/>
      </w:rPr>
    </w:lvl>
    <w:lvl w:ilvl="4" w:tentative="1" w:tplc="04090003">
      <w:start w:val="1"/>
      <w:numFmt w:val="bullet"/>
      <w:lvlText w:val=""/>
      <w:lvlJc w:val="left"/>
      <w:pPr>
        <w:tabs>
          <w:tab w:pos="2520" w:val="num"/>
        </w:tabs>
        <w:ind w:hanging="420" w:left="2520"/>
      </w:pPr>
      <w:rPr>
        <w:rFonts w:ascii="Wingdings" w:hAnsi="Wingdings" w:hint="default"/>
      </w:rPr>
    </w:lvl>
    <w:lvl w:ilvl="5" w:tentative="1" w:tplc="04090005">
      <w:start w:val="1"/>
      <w:numFmt w:val="bullet"/>
      <w:lvlText w:val=""/>
      <w:lvlJc w:val="left"/>
      <w:pPr>
        <w:tabs>
          <w:tab w:pos="2940" w:val="num"/>
        </w:tabs>
        <w:ind w:hanging="420" w:left="2940"/>
      </w:pPr>
      <w:rPr>
        <w:rFonts w:ascii="Wingdings" w:hAnsi="Wingdings" w:hint="default"/>
      </w:rPr>
    </w:lvl>
    <w:lvl w:ilvl="6" w:tentative="1" w:tplc="04090001">
      <w:start w:val="1"/>
      <w:numFmt w:val="bullet"/>
      <w:lvlText w:val=""/>
      <w:lvlJc w:val="left"/>
      <w:pPr>
        <w:tabs>
          <w:tab w:pos="3360" w:val="num"/>
        </w:tabs>
        <w:ind w:hanging="420" w:left="3360"/>
      </w:pPr>
      <w:rPr>
        <w:rFonts w:ascii="Wingdings" w:hAnsi="Wingdings" w:hint="default"/>
      </w:rPr>
    </w:lvl>
    <w:lvl w:ilvl="7" w:tentative="1" w:tplc="04090003">
      <w:start w:val="1"/>
      <w:numFmt w:val="bullet"/>
      <w:lvlText w:val=""/>
      <w:lvlJc w:val="left"/>
      <w:pPr>
        <w:tabs>
          <w:tab w:pos="3780" w:val="num"/>
        </w:tabs>
        <w:ind w:hanging="420" w:left="3780"/>
      </w:pPr>
      <w:rPr>
        <w:rFonts w:ascii="Wingdings" w:hAnsi="Wingdings" w:hint="default"/>
      </w:rPr>
    </w:lvl>
    <w:lvl w:ilvl="8" w:tentative="1" w:tplc="04090005">
      <w:start w:val="1"/>
      <w:numFmt w:val="bullet"/>
      <w:lvlText w:val=""/>
      <w:lvlJc w:val="left"/>
      <w:pPr>
        <w:tabs>
          <w:tab w:pos="4200" w:val="num"/>
        </w:tabs>
        <w:ind w:hanging="420" w:left="4200"/>
      </w:pPr>
      <w:rPr>
        <w:rFonts w:ascii="Wingdings" w:hAnsi="Wingdings" w:hint="default"/>
      </w:rPr>
    </w:lvl>
  </w:abstractNum>
  <w:abstractNum w:abstractNumId="1">
    <w:nsid w:val="2A93165E"/>
    <w:multiLevelType w:val="hybridMultilevel"/>
    <w:tmpl w:val="8F54F77E"/>
    <w:lvl w:ilvl="0" w:tplc="8996D53A">
      <w:start w:val="1"/>
      <w:numFmt w:val="japaneseCounting"/>
      <w:lvlText w:val="（%1）"/>
      <w:lvlJc w:val="left"/>
      <w:pPr>
        <w:tabs>
          <w:tab w:pos="1200" w:val="num"/>
        </w:tabs>
        <w:ind w:hanging="720" w:left="1200"/>
      </w:pPr>
      <w:rPr>
        <w:rFonts w:cs="Times New Roman" w:hAnsi="宋体" w:hint="default"/>
      </w:rPr>
    </w:lvl>
    <w:lvl w:ilvl="1" w:tentative="1" w:tplc="04090019">
      <w:start w:val="1"/>
      <w:numFmt w:val="lowerLetter"/>
      <w:lvlText w:val="%2)"/>
      <w:lvlJc w:val="left"/>
      <w:pPr>
        <w:tabs>
          <w:tab w:pos="1320" w:val="num"/>
        </w:tabs>
        <w:ind w:hanging="420" w:left="1320"/>
      </w:pPr>
      <w:rPr>
        <w:rFonts w:cs="Times New Roman"/>
      </w:rPr>
    </w:lvl>
    <w:lvl w:ilvl="2" w:tentative="1" w:tplc="0409001B">
      <w:start w:val="1"/>
      <w:numFmt w:val="lowerRoman"/>
      <w:lvlText w:val="%3."/>
      <w:lvlJc w:val="right"/>
      <w:pPr>
        <w:tabs>
          <w:tab w:pos="1740" w:val="num"/>
        </w:tabs>
        <w:ind w:hanging="420" w:left="1740"/>
      </w:pPr>
      <w:rPr>
        <w:rFonts w:cs="Times New Roman"/>
      </w:rPr>
    </w:lvl>
    <w:lvl w:ilvl="3" w:tentative="1" w:tplc="0409000F">
      <w:start w:val="1"/>
      <w:numFmt w:val="decimal"/>
      <w:lvlText w:val="%4."/>
      <w:lvlJc w:val="left"/>
      <w:pPr>
        <w:tabs>
          <w:tab w:pos="2160" w:val="num"/>
        </w:tabs>
        <w:ind w:hanging="420" w:left="2160"/>
      </w:pPr>
      <w:rPr>
        <w:rFonts w:cs="Times New Roman"/>
      </w:rPr>
    </w:lvl>
    <w:lvl w:ilvl="4" w:tentative="1" w:tplc="04090019">
      <w:start w:val="1"/>
      <w:numFmt w:val="lowerLetter"/>
      <w:lvlText w:val="%5)"/>
      <w:lvlJc w:val="left"/>
      <w:pPr>
        <w:tabs>
          <w:tab w:pos="2580" w:val="num"/>
        </w:tabs>
        <w:ind w:hanging="420" w:left="2580"/>
      </w:pPr>
      <w:rPr>
        <w:rFonts w:cs="Times New Roman"/>
      </w:rPr>
    </w:lvl>
    <w:lvl w:ilvl="5" w:tentative="1" w:tplc="0409001B">
      <w:start w:val="1"/>
      <w:numFmt w:val="lowerRoman"/>
      <w:lvlText w:val="%6."/>
      <w:lvlJc w:val="right"/>
      <w:pPr>
        <w:tabs>
          <w:tab w:pos="3000" w:val="num"/>
        </w:tabs>
        <w:ind w:hanging="420" w:left="3000"/>
      </w:pPr>
      <w:rPr>
        <w:rFonts w:cs="Times New Roman"/>
      </w:rPr>
    </w:lvl>
    <w:lvl w:ilvl="6" w:tentative="1" w:tplc="0409000F">
      <w:start w:val="1"/>
      <w:numFmt w:val="decimal"/>
      <w:lvlText w:val="%7."/>
      <w:lvlJc w:val="left"/>
      <w:pPr>
        <w:tabs>
          <w:tab w:pos="3420" w:val="num"/>
        </w:tabs>
        <w:ind w:hanging="420" w:left="3420"/>
      </w:pPr>
      <w:rPr>
        <w:rFonts w:cs="Times New Roman"/>
      </w:rPr>
    </w:lvl>
    <w:lvl w:ilvl="7" w:tentative="1" w:tplc="04090019">
      <w:start w:val="1"/>
      <w:numFmt w:val="lowerLetter"/>
      <w:lvlText w:val="%8)"/>
      <w:lvlJc w:val="left"/>
      <w:pPr>
        <w:tabs>
          <w:tab w:pos="3840" w:val="num"/>
        </w:tabs>
        <w:ind w:hanging="420" w:left="3840"/>
      </w:pPr>
      <w:rPr>
        <w:rFonts w:cs="Times New Roman"/>
      </w:rPr>
    </w:lvl>
    <w:lvl w:ilvl="8" w:tentative="1" w:tplc="0409001B">
      <w:start w:val="1"/>
      <w:numFmt w:val="lowerRoman"/>
      <w:lvlText w:val="%9."/>
      <w:lvlJc w:val="right"/>
      <w:pPr>
        <w:tabs>
          <w:tab w:pos="4260" w:val="num"/>
        </w:tabs>
        <w:ind w:hanging="420" w:left="4260"/>
      </w:pPr>
      <w:rPr>
        <w:rFonts w:cs="Times New Roman"/>
      </w:rPr>
    </w:lvl>
  </w:abstractNum>
  <w:abstractNum w:abstractNumId="2">
    <w:nsid w:val="32C43FA3"/>
    <w:multiLevelType w:val="hybridMultilevel"/>
    <w:tmpl w:val="2658615A"/>
    <w:lvl w:ilvl="0" w:tplc="04090001">
      <w:start w:val="1"/>
      <w:numFmt w:val="bullet"/>
      <w:lvlText w:val=""/>
      <w:lvlJc w:val="left"/>
      <w:pPr>
        <w:tabs>
          <w:tab w:pos="420" w:val="num"/>
        </w:tabs>
        <w:ind w:hanging="420" w:left="420"/>
      </w:pPr>
      <w:rPr>
        <w:rFonts w:ascii="Wingdings" w:hAnsi="Wingdings" w:hint="default"/>
      </w:rPr>
    </w:lvl>
    <w:lvl w:ilvl="1" w:tentative="1" w:tplc="04090003">
      <w:start w:val="1"/>
      <w:numFmt w:val="bullet"/>
      <w:lvlText w:val=""/>
      <w:lvlJc w:val="left"/>
      <w:pPr>
        <w:tabs>
          <w:tab w:pos="840" w:val="num"/>
        </w:tabs>
        <w:ind w:hanging="420" w:left="840"/>
      </w:pPr>
      <w:rPr>
        <w:rFonts w:ascii="Wingdings" w:hAnsi="Wingdings" w:hint="default"/>
      </w:rPr>
    </w:lvl>
    <w:lvl w:ilvl="2" w:tentative="1" w:tplc="04090005">
      <w:start w:val="1"/>
      <w:numFmt w:val="bullet"/>
      <w:lvlText w:val=""/>
      <w:lvlJc w:val="left"/>
      <w:pPr>
        <w:tabs>
          <w:tab w:pos="1260" w:val="num"/>
        </w:tabs>
        <w:ind w:hanging="420" w:left="1260"/>
      </w:pPr>
      <w:rPr>
        <w:rFonts w:ascii="Wingdings" w:hAnsi="Wingdings" w:hint="default"/>
      </w:rPr>
    </w:lvl>
    <w:lvl w:ilvl="3" w:tentative="1" w:tplc="04090001">
      <w:start w:val="1"/>
      <w:numFmt w:val="bullet"/>
      <w:lvlText w:val=""/>
      <w:lvlJc w:val="left"/>
      <w:pPr>
        <w:tabs>
          <w:tab w:pos="1680" w:val="num"/>
        </w:tabs>
        <w:ind w:hanging="420" w:left="1680"/>
      </w:pPr>
      <w:rPr>
        <w:rFonts w:ascii="Wingdings" w:hAnsi="Wingdings" w:hint="default"/>
      </w:rPr>
    </w:lvl>
    <w:lvl w:ilvl="4" w:tentative="1" w:tplc="04090003">
      <w:start w:val="1"/>
      <w:numFmt w:val="bullet"/>
      <w:lvlText w:val=""/>
      <w:lvlJc w:val="left"/>
      <w:pPr>
        <w:tabs>
          <w:tab w:pos="2100" w:val="num"/>
        </w:tabs>
        <w:ind w:hanging="420" w:left="2100"/>
      </w:pPr>
      <w:rPr>
        <w:rFonts w:ascii="Wingdings" w:hAnsi="Wingdings" w:hint="default"/>
      </w:rPr>
    </w:lvl>
    <w:lvl w:ilvl="5" w:tentative="1" w:tplc="04090005">
      <w:start w:val="1"/>
      <w:numFmt w:val="bullet"/>
      <w:lvlText w:val=""/>
      <w:lvlJc w:val="left"/>
      <w:pPr>
        <w:tabs>
          <w:tab w:pos="2520" w:val="num"/>
        </w:tabs>
        <w:ind w:hanging="420" w:left="2520"/>
      </w:pPr>
      <w:rPr>
        <w:rFonts w:ascii="Wingdings" w:hAnsi="Wingdings" w:hint="default"/>
      </w:rPr>
    </w:lvl>
    <w:lvl w:ilvl="6" w:tentative="1" w:tplc="04090001">
      <w:start w:val="1"/>
      <w:numFmt w:val="bullet"/>
      <w:lvlText w:val=""/>
      <w:lvlJc w:val="left"/>
      <w:pPr>
        <w:tabs>
          <w:tab w:pos="2940" w:val="num"/>
        </w:tabs>
        <w:ind w:hanging="420" w:left="2940"/>
      </w:pPr>
      <w:rPr>
        <w:rFonts w:ascii="Wingdings" w:hAnsi="Wingdings" w:hint="default"/>
      </w:rPr>
    </w:lvl>
    <w:lvl w:ilvl="7" w:tentative="1" w:tplc="04090003">
      <w:start w:val="1"/>
      <w:numFmt w:val="bullet"/>
      <w:lvlText w:val=""/>
      <w:lvlJc w:val="left"/>
      <w:pPr>
        <w:tabs>
          <w:tab w:pos="3360" w:val="num"/>
        </w:tabs>
        <w:ind w:hanging="420" w:left="3360"/>
      </w:pPr>
      <w:rPr>
        <w:rFonts w:ascii="Wingdings" w:hAnsi="Wingdings" w:hint="default"/>
      </w:rPr>
    </w:lvl>
    <w:lvl w:ilvl="8" w:tentative="1" w:tplc="04090005">
      <w:start w:val="1"/>
      <w:numFmt w:val="bullet"/>
      <w:lvlText w:val=""/>
      <w:lvlJc w:val="left"/>
      <w:pPr>
        <w:tabs>
          <w:tab w:pos="3780" w:val="num"/>
        </w:tabs>
        <w:ind w:hanging="420" w:left="3780"/>
      </w:pPr>
      <w:rPr>
        <w:rFonts w:ascii="Wingdings" w:hAnsi="Wingdings" w:hint="default"/>
      </w:rPr>
    </w:lvl>
  </w:abstractNum>
  <w:abstractNum w:abstractNumId="3">
    <w:nsid w:val="45342383"/>
    <w:multiLevelType w:val="multilevel"/>
    <w:tmpl w:val="0409001D"/>
    <w:styleLink w:val="5"/>
    <w:lvl w:ilvl="0">
      <w:start w:val="1"/>
      <w:numFmt w:val="decimal"/>
      <w:lvlText w:val="%1"/>
      <w:lvlJc w:val="left"/>
      <w:pPr>
        <w:tabs>
          <w:tab w:pos="425" w:val="num"/>
        </w:tabs>
        <w:ind w:hanging="425" w:left="425"/>
      </w:pPr>
      <w:rPr>
        <w:rFonts w:cs="Times New Roman"/>
      </w:rPr>
    </w:lvl>
    <w:lvl w:ilvl="1">
      <w:start w:val="1"/>
      <w:numFmt w:val="decimal"/>
      <w:lvlText w:val="%1.%2"/>
      <w:lvlJc w:val="left"/>
      <w:pPr>
        <w:tabs>
          <w:tab w:pos="992" w:val="num"/>
        </w:tabs>
        <w:ind w:hanging="567" w:left="992"/>
      </w:pPr>
      <w:rPr>
        <w:rFonts w:cs="Times New Roman"/>
      </w:rPr>
    </w:lvl>
    <w:lvl w:ilvl="2">
      <w:start w:val="1"/>
      <w:numFmt w:val="decimal"/>
      <w:lvlText w:val="%1.%2.%3"/>
      <w:lvlJc w:val="left"/>
      <w:pPr>
        <w:tabs>
          <w:tab w:pos="1418" w:val="num"/>
        </w:tabs>
        <w:ind w:hanging="567" w:left="1418"/>
      </w:pPr>
      <w:rPr>
        <w:rFonts w:cs="Times New Roman"/>
      </w:rPr>
    </w:lvl>
    <w:lvl w:ilvl="3">
      <w:start w:val="1"/>
      <w:numFmt w:val="decimal"/>
      <w:lvlText w:val="%1.%2.%3.%4"/>
      <w:lvlJc w:val="left"/>
      <w:pPr>
        <w:tabs>
          <w:tab w:pos="1984" w:val="num"/>
        </w:tabs>
        <w:ind w:hanging="708" w:left="1984"/>
      </w:pPr>
      <w:rPr>
        <w:rFonts w:cs="Times New Roman"/>
      </w:rPr>
    </w:lvl>
    <w:lvl w:ilvl="4">
      <w:start w:val="1"/>
      <w:numFmt w:val="decimal"/>
      <w:lvlText w:val="%1.%2.%3.%4.%5"/>
      <w:lvlJc w:val="left"/>
      <w:pPr>
        <w:tabs>
          <w:tab w:pos="2551" w:val="num"/>
        </w:tabs>
        <w:ind w:hanging="850" w:left="2551"/>
      </w:pPr>
      <w:rPr>
        <w:rFonts w:cs="Times New Roman"/>
      </w:rPr>
    </w:lvl>
    <w:lvl w:ilvl="5">
      <w:start w:val="1"/>
      <w:numFmt w:val="decimal"/>
      <w:lvlText w:val="%1.%2.%3.%4.%5.%6"/>
      <w:lvlJc w:val="left"/>
      <w:pPr>
        <w:tabs>
          <w:tab w:pos="3260" w:val="num"/>
        </w:tabs>
        <w:ind w:hanging="1134" w:left="3260"/>
      </w:pPr>
      <w:rPr>
        <w:rFonts w:cs="Times New Roman"/>
      </w:rPr>
    </w:lvl>
    <w:lvl w:ilvl="6">
      <w:start w:val="1"/>
      <w:numFmt w:val="decimal"/>
      <w:lvlText w:val="%1.%2.%3.%4.%5.%6.%7"/>
      <w:lvlJc w:val="left"/>
      <w:pPr>
        <w:tabs>
          <w:tab w:pos="3827" w:val="num"/>
        </w:tabs>
        <w:ind w:hanging="1276" w:left="3827"/>
      </w:pPr>
      <w:rPr>
        <w:rFonts w:cs="Times New Roman"/>
      </w:rPr>
    </w:lvl>
    <w:lvl w:ilvl="7">
      <w:start w:val="1"/>
      <w:numFmt w:val="decimal"/>
      <w:lvlText w:val="%1.%2.%3.%4.%5.%6.%7.%8"/>
      <w:lvlJc w:val="left"/>
      <w:pPr>
        <w:tabs>
          <w:tab w:pos="4394" w:val="num"/>
        </w:tabs>
        <w:ind w:hanging="1418" w:left="4394"/>
      </w:pPr>
      <w:rPr>
        <w:rFonts w:cs="Times New Roman"/>
      </w:rPr>
    </w:lvl>
    <w:lvl w:ilvl="8">
      <w:start w:val="1"/>
      <w:numFmt w:val="decimal"/>
      <w:lvlText w:val="%1.%2.%3.%4.%5.%6.%7.%8.%9"/>
      <w:lvlJc w:val="left"/>
      <w:pPr>
        <w:tabs>
          <w:tab w:pos="5102" w:val="num"/>
        </w:tabs>
        <w:ind w:hanging="1700" w:left="5102"/>
      </w:pPr>
      <w:rPr>
        <w:rFonts w:cs="Times New Roman"/>
      </w:rPr>
    </w:lvl>
  </w:abstractNum>
  <w:abstractNum w:abstractNumId="4">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rPr>
    </w:lvl>
    <w:lvl w:ilvl="1" w:tentative="1" w:tplc="04090019">
      <w:start w:val="1"/>
      <w:numFmt w:val="lowerLetter"/>
      <w:lvlText w:val="%2)"/>
      <w:lvlJc w:val="left"/>
      <w:pPr>
        <w:tabs>
          <w:tab w:pos="1320" w:val="num"/>
        </w:tabs>
        <w:ind w:hanging="420" w:left="1320"/>
      </w:pPr>
      <w:rPr>
        <w:rFonts w:cs="Times New Roman"/>
      </w:rPr>
    </w:lvl>
    <w:lvl w:ilvl="2" w:tentative="1" w:tplc="0409001B">
      <w:start w:val="1"/>
      <w:numFmt w:val="lowerRoman"/>
      <w:lvlText w:val="%3."/>
      <w:lvlJc w:val="right"/>
      <w:pPr>
        <w:tabs>
          <w:tab w:pos="1740" w:val="num"/>
        </w:tabs>
        <w:ind w:hanging="420" w:left="1740"/>
      </w:pPr>
      <w:rPr>
        <w:rFonts w:cs="Times New Roman"/>
      </w:rPr>
    </w:lvl>
    <w:lvl w:ilvl="3" w:tentative="1" w:tplc="0409000F">
      <w:start w:val="1"/>
      <w:numFmt w:val="decimal"/>
      <w:lvlText w:val="%4."/>
      <w:lvlJc w:val="left"/>
      <w:pPr>
        <w:tabs>
          <w:tab w:pos="2160" w:val="num"/>
        </w:tabs>
        <w:ind w:hanging="420" w:left="2160"/>
      </w:pPr>
      <w:rPr>
        <w:rFonts w:cs="Times New Roman"/>
      </w:rPr>
    </w:lvl>
    <w:lvl w:ilvl="4" w:tentative="1" w:tplc="04090019">
      <w:start w:val="1"/>
      <w:numFmt w:val="lowerLetter"/>
      <w:lvlText w:val="%5)"/>
      <w:lvlJc w:val="left"/>
      <w:pPr>
        <w:tabs>
          <w:tab w:pos="2580" w:val="num"/>
        </w:tabs>
        <w:ind w:hanging="420" w:left="2580"/>
      </w:pPr>
      <w:rPr>
        <w:rFonts w:cs="Times New Roman"/>
      </w:rPr>
    </w:lvl>
    <w:lvl w:ilvl="5" w:tentative="1" w:tplc="0409001B">
      <w:start w:val="1"/>
      <w:numFmt w:val="lowerRoman"/>
      <w:lvlText w:val="%6."/>
      <w:lvlJc w:val="right"/>
      <w:pPr>
        <w:tabs>
          <w:tab w:pos="3000" w:val="num"/>
        </w:tabs>
        <w:ind w:hanging="420" w:left="3000"/>
      </w:pPr>
      <w:rPr>
        <w:rFonts w:cs="Times New Roman"/>
      </w:rPr>
    </w:lvl>
    <w:lvl w:ilvl="6" w:tentative="1" w:tplc="0409000F">
      <w:start w:val="1"/>
      <w:numFmt w:val="decimal"/>
      <w:lvlText w:val="%7."/>
      <w:lvlJc w:val="left"/>
      <w:pPr>
        <w:tabs>
          <w:tab w:pos="3420" w:val="num"/>
        </w:tabs>
        <w:ind w:hanging="420" w:left="3420"/>
      </w:pPr>
      <w:rPr>
        <w:rFonts w:cs="Times New Roman"/>
      </w:rPr>
    </w:lvl>
    <w:lvl w:ilvl="7" w:tentative="1" w:tplc="04090019">
      <w:start w:val="1"/>
      <w:numFmt w:val="lowerLetter"/>
      <w:lvlText w:val="%8)"/>
      <w:lvlJc w:val="left"/>
      <w:pPr>
        <w:tabs>
          <w:tab w:pos="3840" w:val="num"/>
        </w:tabs>
        <w:ind w:hanging="420" w:left="3840"/>
      </w:pPr>
      <w:rPr>
        <w:rFonts w:cs="Times New Roman"/>
      </w:rPr>
    </w:lvl>
    <w:lvl w:ilvl="8" w:tentative="1" w:tplc="0409001B">
      <w:start w:val="1"/>
      <w:numFmt w:val="lowerRoman"/>
      <w:lvlText w:val="%9."/>
      <w:lvlJc w:val="right"/>
      <w:pPr>
        <w:tabs>
          <w:tab w:pos="4260" w:val="num"/>
        </w:tabs>
        <w:ind w:hanging="420" w:left="4260"/>
      </w:pPr>
      <w:rPr>
        <w:rFonts w:cs="Times New Roman"/>
      </w:rPr>
    </w:lvl>
  </w:abstractNum>
  <w:abstractNum w:abstractNumId="5">
    <w:nsid w:val="64C22724"/>
    <w:multiLevelType w:val="multilevel"/>
    <w:tmpl w:val="0409001D"/>
    <w:numStyleLink w:val="5"/>
  </w:abstractNum>
  <w:abstractNum w:abstractNumId="6">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entative="1" w:tplc="0409000F">
      <w:start w:val="1"/>
      <w:numFmt w:val="decimal"/>
      <w:lvlText w:val="%4."/>
      <w:lvlJc w:val="left"/>
      <w:pPr>
        <w:tabs>
          <w:tab w:pos="1680" w:val="num"/>
        </w:tabs>
        <w:ind w:hanging="420" w:left="1680"/>
      </w:pPr>
      <w:rPr>
        <w:rFonts w:cs="Times New Roman"/>
      </w:rPr>
    </w:lvl>
    <w:lvl w:ilvl="4" w:tentative="1" w:tplc="04090019">
      <w:start w:val="1"/>
      <w:numFmt w:val="lowerLetter"/>
      <w:lvlText w:val="%5)"/>
      <w:lvlJc w:val="left"/>
      <w:pPr>
        <w:tabs>
          <w:tab w:pos="2100" w:val="num"/>
        </w:tabs>
        <w:ind w:hanging="420" w:left="2100"/>
      </w:pPr>
      <w:rPr>
        <w:rFonts w:cs="Times New Roman"/>
      </w:rPr>
    </w:lvl>
    <w:lvl w:ilvl="5" w:tentative="1" w:tplc="0409001B">
      <w:start w:val="1"/>
      <w:numFmt w:val="lowerRoman"/>
      <w:lvlText w:val="%6."/>
      <w:lvlJc w:val="right"/>
      <w:pPr>
        <w:tabs>
          <w:tab w:pos="2520" w:val="num"/>
        </w:tabs>
        <w:ind w:hanging="420" w:left="2520"/>
      </w:pPr>
      <w:rPr>
        <w:rFonts w:cs="Times New Roman"/>
      </w:rPr>
    </w:lvl>
    <w:lvl w:ilvl="6" w:tentative="1" w:tplc="0409000F">
      <w:start w:val="1"/>
      <w:numFmt w:val="decimal"/>
      <w:lvlText w:val="%7."/>
      <w:lvlJc w:val="left"/>
      <w:pPr>
        <w:tabs>
          <w:tab w:pos="2940" w:val="num"/>
        </w:tabs>
        <w:ind w:hanging="420" w:left="2940"/>
      </w:pPr>
      <w:rPr>
        <w:rFonts w:cs="Times New Roman"/>
      </w:rPr>
    </w:lvl>
    <w:lvl w:ilvl="7" w:tentative="1" w:tplc="04090019">
      <w:start w:val="1"/>
      <w:numFmt w:val="lowerLetter"/>
      <w:lvlText w:val="%8)"/>
      <w:lvlJc w:val="left"/>
      <w:pPr>
        <w:tabs>
          <w:tab w:pos="3360" w:val="num"/>
        </w:tabs>
        <w:ind w:hanging="420" w:left="3360"/>
      </w:pPr>
      <w:rPr>
        <w:rFonts w:cs="Times New Roman"/>
      </w:rPr>
    </w:lvl>
    <w:lvl w:ilvl="8" w:tentative="1" w:tplc="0409001B">
      <w:start w:val="1"/>
      <w:numFmt w:val="lowerRoman"/>
      <w:lvlText w:val="%9."/>
      <w:lvlJc w:val="right"/>
      <w:pPr>
        <w:tabs>
          <w:tab w:pos="3780" w:val="num"/>
        </w:tabs>
        <w:ind w:hanging="420" w:left="3780"/>
      </w:pPr>
      <w:rPr>
        <w:rFonts w:cs="Times New Roman"/>
      </w:rPr>
    </w:lvl>
  </w:abstractNum>
  <w:num w:numId="1">
    <w:abstractNumId w:val="6"/>
  </w:num>
  <w:num w:numId="2">
    <w:abstractNumId w:val="4"/>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lvlOverride w:ilvl="0">
      <w:lvl w:ilvl="0">
        <w:numFmt w:val="decimal"/>
        <w:lvlText w:val=""/>
        <w:lvlJc w:val="left"/>
        <w:rPr>
          <w:rFonts w:cs="Times New Roman"/>
        </w:rPr>
      </w:lvl>
    </w:lvlOverride>
    <w:lvlOverride w:ilvl="1">
      <w:lvl w:ilvl="1">
        <w:start w:val="1"/>
        <w:numFmt w:val="decimal"/>
        <w:lvlText w:val="%1.%2"/>
        <w:lvlJc w:val="left"/>
        <w:pPr>
          <w:tabs>
            <w:tab w:pos="992" w:val="num"/>
          </w:tabs>
          <w:ind w:hanging="567" w:left="992"/>
        </w:pPr>
        <w:rPr>
          <w:rFonts w:cs="Times New Roman"/>
        </w:rPr>
      </w:lvl>
    </w:lvlOverride>
    <w:lvlOverride w:ilvl="2">
      <w:lvl w:ilvl="2">
        <w:start w:val="1"/>
        <w:numFmt w:val="decimal"/>
        <w:lvlText w:val="%1.%2.%3"/>
        <w:lvlJc w:val="left"/>
        <w:pPr>
          <w:tabs>
            <w:tab w:pos="1418" w:val="num"/>
          </w:tabs>
          <w:ind w:hanging="567" w:left="1418"/>
        </w:pPr>
        <w:rPr>
          <w:rFonts w:cs="Times New Roman"/>
        </w:rPr>
      </w:lvl>
    </w:lvlOverride>
  </w:num>
  <w:num w:numId="8">
    <w:abstractNumId w:val="3"/>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printPostScriptOverText/>
  <w:bordersDoNotSurroundHeader/>
  <w:bordersDoNotSurroundFooter/>
  <w:proofState w:grammar="clean" w:spelling="clean"/>
  <w:attachedTemplate r:id="rId1"/>
  <w:stylePaneFormatFilter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al="3F01" w:visibleStyl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302187"/>
    <w:rsid w:val="0000059C"/>
    <w:rsid w:val="000008B1"/>
    <w:rsid w:val="0000403B"/>
    <w:rsid w:val="00007441"/>
    <w:rsid w:val="00007F1F"/>
    <w:rsid w:val="000108A5"/>
    <w:rsid w:val="00010A83"/>
    <w:rsid w:val="000137C1"/>
    <w:rsid w:val="0001579C"/>
    <w:rsid w:val="0001612A"/>
    <w:rsid w:val="00016551"/>
    <w:rsid w:val="00020737"/>
    <w:rsid w:val="00020C27"/>
    <w:rsid w:val="000219D5"/>
    <w:rsid w:val="00022396"/>
    <w:rsid w:val="00023073"/>
    <w:rsid w:val="00023B86"/>
    <w:rsid w:val="00023B97"/>
    <w:rsid w:val="00024836"/>
    <w:rsid w:val="000252D8"/>
    <w:rsid w:val="0003338D"/>
    <w:rsid w:val="0003564A"/>
    <w:rsid w:val="00037B55"/>
    <w:rsid w:val="00037C73"/>
    <w:rsid w:val="00041CC8"/>
    <w:rsid w:val="00042065"/>
    <w:rsid w:val="00043FD2"/>
    <w:rsid w:val="00045558"/>
    <w:rsid w:val="00045BA9"/>
    <w:rsid w:val="00047D87"/>
    <w:rsid w:val="000510AB"/>
    <w:rsid w:val="00053FFD"/>
    <w:rsid w:val="00056D5C"/>
    <w:rsid w:val="00061B0B"/>
    <w:rsid w:val="00061E09"/>
    <w:rsid w:val="00062C69"/>
    <w:rsid w:val="00062E1F"/>
    <w:rsid w:val="00064601"/>
    <w:rsid w:val="00064AE3"/>
    <w:rsid w:val="00064F4B"/>
    <w:rsid w:val="00065ABE"/>
    <w:rsid w:val="0006750A"/>
    <w:rsid w:val="000776C0"/>
    <w:rsid w:val="00077849"/>
    <w:rsid w:val="000803AD"/>
    <w:rsid w:val="000813D6"/>
    <w:rsid w:val="00081D05"/>
    <w:rsid w:val="000827CC"/>
    <w:rsid w:val="000871DB"/>
    <w:rsid w:val="000922C5"/>
    <w:rsid w:val="0009314F"/>
    <w:rsid w:val="00093A23"/>
    <w:rsid w:val="00097169"/>
    <w:rsid w:val="000A08FC"/>
    <w:rsid w:val="000A15F1"/>
    <w:rsid w:val="000A1617"/>
    <w:rsid w:val="000A40A5"/>
    <w:rsid w:val="000A457E"/>
    <w:rsid w:val="000A549A"/>
    <w:rsid w:val="000A5A81"/>
    <w:rsid w:val="000A6D8C"/>
    <w:rsid w:val="000A72F2"/>
    <w:rsid w:val="000A7BFD"/>
    <w:rsid w:val="000B000E"/>
    <w:rsid w:val="000B1CB9"/>
    <w:rsid w:val="000B24AF"/>
    <w:rsid w:val="000B251E"/>
    <w:rsid w:val="000B3E43"/>
    <w:rsid w:val="000B4E99"/>
    <w:rsid w:val="000B5B16"/>
    <w:rsid w:val="000B648A"/>
    <w:rsid w:val="000C45E7"/>
    <w:rsid w:val="000C5956"/>
    <w:rsid w:val="000C757F"/>
    <w:rsid w:val="000C7DD4"/>
    <w:rsid w:val="000D1164"/>
    <w:rsid w:val="000D1BBE"/>
    <w:rsid w:val="000D3773"/>
    <w:rsid w:val="000D4DE9"/>
    <w:rsid w:val="000D58E0"/>
    <w:rsid w:val="000D6660"/>
    <w:rsid w:val="000D6BA0"/>
    <w:rsid w:val="000D7ECA"/>
    <w:rsid w:val="000E2F81"/>
    <w:rsid w:val="000E3726"/>
    <w:rsid w:val="000E39DB"/>
    <w:rsid w:val="000F0558"/>
    <w:rsid w:val="000F0AC3"/>
    <w:rsid w:val="000F1611"/>
    <w:rsid w:val="000F175F"/>
    <w:rsid w:val="000F17D1"/>
    <w:rsid w:val="000F1CC9"/>
    <w:rsid w:val="000F5ABD"/>
    <w:rsid w:val="000F60FF"/>
    <w:rsid w:val="000F6F7C"/>
    <w:rsid w:val="001005BB"/>
    <w:rsid w:val="00103B0E"/>
    <w:rsid w:val="001040EA"/>
    <w:rsid w:val="00112BCF"/>
    <w:rsid w:val="00114E7E"/>
    <w:rsid w:val="00117465"/>
    <w:rsid w:val="00117F22"/>
    <w:rsid w:val="00120280"/>
    <w:rsid w:val="001207F2"/>
    <w:rsid w:val="00121533"/>
    <w:rsid w:val="0012304E"/>
    <w:rsid w:val="00123051"/>
    <w:rsid w:val="0012558C"/>
    <w:rsid w:val="001257C7"/>
    <w:rsid w:val="00125E66"/>
    <w:rsid w:val="001262F4"/>
    <w:rsid w:val="001263E1"/>
    <w:rsid w:val="00126AC0"/>
    <w:rsid w:val="00126C2B"/>
    <w:rsid w:val="00127A01"/>
    <w:rsid w:val="00130D77"/>
    <w:rsid w:val="00131EF6"/>
    <w:rsid w:val="0013251D"/>
    <w:rsid w:val="00134734"/>
    <w:rsid w:val="00134CBE"/>
    <w:rsid w:val="00140C30"/>
    <w:rsid w:val="001427AE"/>
    <w:rsid w:val="00142C74"/>
    <w:rsid w:val="001453EF"/>
    <w:rsid w:val="00145E5B"/>
    <w:rsid w:val="00147319"/>
    <w:rsid w:val="00147551"/>
    <w:rsid w:val="0015012F"/>
    <w:rsid w:val="00150C2E"/>
    <w:rsid w:val="0015170D"/>
    <w:rsid w:val="001517AE"/>
    <w:rsid w:val="00154FA5"/>
    <w:rsid w:val="0015531A"/>
    <w:rsid w:val="00156F9D"/>
    <w:rsid w:val="001602E3"/>
    <w:rsid w:val="00160539"/>
    <w:rsid w:val="00161548"/>
    <w:rsid w:val="00162D92"/>
    <w:rsid w:val="0016464C"/>
    <w:rsid w:val="0017176A"/>
    <w:rsid w:val="00172B54"/>
    <w:rsid w:val="00174038"/>
    <w:rsid w:val="00174D16"/>
    <w:rsid w:val="00176874"/>
    <w:rsid w:val="0017725A"/>
    <w:rsid w:val="0018052A"/>
    <w:rsid w:val="00180952"/>
    <w:rsid w:val="0018191A"/>
    <w:rsid w:val="00185B68"/>
    <w:rsid w:val="00186199"/>
    <w:rsid w:val="001874E3"/>
    <w:rsid w:val="001878B0"/>
    <w:rsid w:val="00194155"/>
    <w:rsid w:val="001A0417"/>
    <w:rsid w:val="001A0B71"/>
    <w:rsid w:val="001A1389"/>
    <w:rsid w:val="001A3016"/>
    <w:rsid w:val="001A3914"/>
    <w:rsid w:val="001A5FA6"/>
    <w:rsid w:val="001B053A"/>
    <w:rsid w:val="001B08B3"/>
    <w:rsid w:val="001B0A62"/>
    <w:rsid w:val="001B0C78"/>
    <w:rsid w:val="001B151C"/>
    <w:rsid w:val="001B1A13"/>
    <w:rsid w:val="001B22BA"/>
    <w:rsid w:val="001B3C1C"/>
    <w:rsid w:val="001B4983"/>
    <w:rsid w:val="001C2045"/>
    <w:rsid w:val="001C5040"/>
    <w:rsid w:val="001C715A"/>
    <w:rsid w:val="001D0DB0"/>
    <w:rsid w:val="001D0F6A"/>
    <w:rsid w:val="001D2FA5"/>
    <w:rsid w:val="001D3394"/>
    <w:rsid w:val="001D3D57"/>
    <w:rsid w:val="001D4980"/>
    <w:rsid w:val="001D5045"/>
    <w:rsid w:val="001D5A44"/>
    <w:rsid w:val="001D5CD0"/>
    <w:rsid w:val="001D63BB"/>
    <w:rsid w:val="001D724B"/>
    <w:rsid w:val="001E023C"/>
    <w:rsid w:val="001E0BA5"/>
    <w:rsid w:val="001F03E1"/>
    <w:rsid w:val="001F1F19"/>
    <w:rsid w:val="001F2BD1"/>
    <w:rsid w:val="001F3080"/>
    <w:rsid w:val="001F3CC6"/>
    <w:rsid w:val="001F5F5F"/>
    <w:rsid w:val="001F60E9"/>
    <w:rsid w:val="002035B9"/>
    <w:rsid w:val="00205064"/>
    <w:rsid w:val="0020548A"/>
    <w:rsid w:val="002079FA"/>
    <w:rsid w:val="00211668"/>
    <w:rsid w:val="002118A6"/>
    <w:rsid w:val="002122FF"/>
    <w:rsid w:val="002125F7"/>
    <w:rsid w:val="0021288A"/>
    <w:rsid w:val="002150AC"/>
    <w:rsid w:val="0021650B"/>
    <w:rsid w:val="00221938"/>
    <w:rsid w:val="00222262"/>
    <w:rsid w:val="00222ABD"/>
    <w:rsid w:val="002230A8"/>
    <w:rsid w:val="00227D20"/>
    <w:rsid w:val="00231BCE"/>
    <w:rsid w:val="0023336A"/>
    <w:rsid w:val="002359EB"/>
    <w:rsid w:val="0023649E"/>
    <w:rsid w:val="00236926"/>
    <w:rsid w:val="00241740"/>
    <w:rsid w:val="002424E4"/>
    <w:rsid w:val="00243122"/>
    <w:rsid w:val="002437F5"/>
    <w:rsid w:val="00244DB1"/>
    <w:rsid w:val="00244FDA"/>
    <w:rsid w:val="00245012"/>
    <w:rsid w:val="0024504E"/>
    <w:rsid w:val="0024651F"/>
    <w:rsid w:val="00246874"/>
    <w:rsid w:val="00246D81"/>
    <w:rsid w:val="00250869"/>
    <w:rsid w:val="00251920"/>
    <w:rsid w:val="00253D3C"/>
    <w:rsid w:val="00254A7E"/>
    <w:rsid w:val="00255292"/>
    <w:rsid w:val="00256047"/>
    <w:rsid w:val="0025722F"/>
    <w:rsid w:val="00257E84"/>
    <w:rsid w:val="00260200"/>
    <w:rsid w:val="00263106"/>
    <w:rsid w:val="002642F2"/>
    <w:rsid w:val="00264AE1"/>
    <w:rsid w:val="00264E55"/>
    <w:rsid w:val="00266645"/>
    <w:rsid w:val="00267386"/>
    <w:rsid w:val="00267C2E"/>
    <w:rsid w:val="00267DA9"/>
    <w:rsid w:val="00273E5C"/>
    <w:rsid w:val="0027576B"/>
    <w:rsid w:val="00275FD0"/>
    <w:rsid w:val="00280514"/>
    <w:rsid w:val="002810D8"/>
    <w:rsid w:val="002819E7"/>
    <w:rsid w:val="00282FF2"/>
    <w:rsid w:val="00283483"/>
    <w:rsid w:val="002844B5"/>
    <w:rsid w:val="0028459B"/>
    <w:rsid w:val="00285618"/>
    <w:rsid w:val="002872F8"/>
    <w:rsid w:val="00293065"/>
    <w:rsid w:val="002953E8"/>
    <w:rsid w:val="00296E4A"/>
    <w:rsid w:val="00297260"/>
    <w:rsid w:val="002976E5"/>
    <w:rsid w:val="002A1F14"/>
    <w:rsid w:val="002A2678"/>
    <w:rsid w:val="002A3369"/>
    <w:rsid w:val="002A3965"/>
    <w:rsid w:val="002A4B8A"/>
    <w:rsid w:val="002A5161"/>
    <w:rsid w:val="002A5C0F"/>
    <w:rsid w:val="002A6385"/>
    <w:rsid w:val="002A7929"/>
    <w:rsid w:val="002B41D7"/>
    <w:rsid w:val="002B5240"/>
    <w:rsid w:val="002B6A13"/>
    <w:rsid w:val="002C0904"/>
    <w:rsid w:val="002C0F67"/>
    <w:rsid w:val="002C1E84"/>
    <w:rsid w:val="002C36C3"/>
    <w:rsid w:val="002C77CC"/>
    <w:rsid w:val="002D2A00"/>
    <w:rsid w:val="002D5199"/>
    <w:rsid w:val="002E2862"/>
    <w:rsid w:val="002E2BEF"/>
    <w:rsid w:val="002E356A"/>
    <w:rsid w:val="002E4C01"/>
    <w:rsid w:val="002F0516"/>
    <w:rsid w:val="002F22D2"/>
    <w:rsid w:val="002F778A"/>
    <w:rsid w:val="00302187"/>
    <w:rsid w:val="003028D8"/>
    <w:rsid w:val="0030290F"/>
    <w:rsid w:val="00302DE9"/>
    <w:rsid w:val="00302FAB"/>
    <w:rsid w:val="00303869"/>
    <w:rsid w:val="00303F1D"/>
    <w:rsid w:val="00305084"/>
    <w:rsid w:val="00305153"/>
    <w:rsid w:val="00311ABF"/>
    <w:rsid w:val="00314A81"/>
    <w:rsid w:val="00314DD2"/>
    <w:rsid w:val="00315A7C"/>
    <w:rsid w:val="00317705"/>
    <w:rsid w:val="00320453"/>
    <w:rsid w:val="003204E9"/>
    <w:rsid w:val="003232AA"/>
    <w:rsid w:val="00323A10"/>
    <w:rsid w:val="00323E6A"/>
    <w:rsid w:val="00323F25"/>
    <w:rsid w:val="00324A71"/>
    <w:rsid w:val="003303E3"/>
    <w:rsid w:val="00334656"/>
    <w:rsid w:val="00337A86"/>
    <w:rsid w:val="0034147B"/>
    <w:rsid w:val="00341889"/>
    <w:rsid w:val="003426CE"/>
    <w:rsid w:val="00343016"/>
    <w:rsid w:val="0034447B"/>
    <w:rsid w:val="00351704"/>
    <w:rsid w:val="003570C8"/>
    <w:rsid w:val="00367770"/>
    <w:rsid w:val="00371424"/>
    <w:rsid w:val="00371FF4"/>
    <w:rsid w:val="00372209"/>
    <w:rsid w:val="003771ED"/>
    <w:rsid w:val="0037768B"/>
    <w:rsid w:val="00381791"/>
    <w:rsid w:val="00382E6F"/>
    <w:rsid w:val="00387C00"/>
    <w:rsid w:val="00397960"/>
    <w:rsid w:val="00397F75"/>
    <w:rsid w:val="003A2008"/>
    <w:rsid w:val="003A3BC4"/>
    <w:rsid w:val="003A4AA3"/>
    <w:rsid w:val="003B405E"/>
    <w:rsid w:val="003B4843"/>
    <w:rsid w:val="003B494E"/>
    <w:rsid w:val="003C6E9E"/>
    <w:rsid w:val="003C792F"/>
    <w:rsid w:val="003D117A"/>
    <w:rsid w:val="003D36B2"/>
    <w:rsid w:val="003D42D5"/>
    <w:rsid w:val="003D656E"/>
    <w:rsid w:val="003D7783"/>
    <w:rsid w:val="003D78B5"/>
    <w:rsid w:val="003E0BD4"/>
    <w:rsid w:val="003E45B9"/>
    <w:rsid w:val="003E654C"/>
    <w:rsid w:val="003F0DE5"/>
    <w:rsid w:val="003F0E22"/>
    <w:rsid w:val="003F1058"/>
    <w:rsid w:val="003F13CD"/>
    <w:rsid w:val="003F46FC"/>
    <w:rsid w:val="003F4AA5"/>
    <w:rsid w:val="003F697D"/>
    <w:rsid w:val="003F7C45"/>
    <w:rsid w:val="00400500"/>
    <w:rsid w:val="0040132C"/>
    <w:rsid w:val="00404257"/>
    <w:rsid w:val="00407F66"/>
    <w:rsid w:val="004113B4"/>
    <w:rsid w:val="0041220A"/>
    <w:rsid w:val="00413B96"/>
    <w:rsid w:val="00413C2C"/>
    <w:rsid w:val="00414367"/>
    <w:rsid w:val="00415168"/>
    <w:rsid w:val="00415A8A"/>
    <w:rsid w:val="00415B04"/>
    <w:rsid w:val="00416A6B"/>
    <w:rsid w:val="0042044C"/>
    <w:rsid w:val="00421624"/>
    <w:rsid w:val="00424151"/>
    <w:rsid w:val="00425208"/>
    <w:rsid w:val="00425A5A"/>
    <w:rsid w:val="00425FB6"/>
    <w:rsid w:val="004268BB"/>
    <w:rsid w:val="0042785F"/>
    <w:rsid w:val="004314FF"/>
    <w:rsid w:val="004408EC"/>
    <w:rsid w:val="00440F74"/>
    <w:rsid w:val="00441816"/>
    <w:rsid w:val="00441FEC"/>
    <w:rsid w:val="004425E8"/>
    <w:rsid w:val="00443C8F"/>
    <w:rsid w:val="00447BC6"/>
    <w:rsid w:val="004501CE"/>
    <w:rsid w:val="00452481"/>
    <w:rsid w:val="00454A0F"/>
    <w:rsid w:val="0046335D"/>
    <w:rsid w:val="00463C2C"/>
    <w:rsid w:val="00471D81"/>
    <w:rsid w:val="004733AC"/>
    <w:rsid w:val="00483271"/>
    <w:rsid w:val="00490F85"/>
    <w:rsid w:val="0049210E"/>
    <w:rsid w:val="0049297D"/>
    <w:rsid w:val="0049327D"/>
    <w:rsid w:val="0049405D"/>
    <w:rsid w:val="0049455C"/>
    <w:rsid w:val="00495A03"/>
    <w:rsid w:val="004A135B"/>
    <w:rsid w:val="004A1BE1"/>
    <w:rsid w:val="004A3251"/>
    <w:rsid w:val="004A4980"/>
    <w:rsid w:val="004A4F68"/>
    <w:rsid w:val="004A63CB"/>
    <w:rsid w:val="004A67B0"/>
    <w:rsid w:val="004A6FB2"/>
    <w:rsid w:val="004B0847"/>
    <w:rsid w:val="004B0E6D"/>
    <w:rsid w:val="004B16E8"/>
    <w:rsid w:val="004B67DB"/>
    <w:rsid w:val="004C0541"/>
    <w:rsid w:val="004C3A16"/>
    <w:rsid w:val="004C634A"/>
    <w:rsid w:val="004C660B"/>
    <w:rsid w:val="004D050C"/>
    <w:rsid w:val="004D23D9"/>
    <w:rsid w:val="004D29A9"/>
    <w:rsid w:val="004D3537"/>
    <w:rsid w:val="004D4D4E"/>
    <w:rsid w:val="004D614E"/>
    <w:rsid w:val="004D650F"/>
    <w:rsid w:val="004E2133"/>
    <w:rsid w:val="004E4E04"/>
    <w:rsid w:val="004E6CBA"/>
    <w:rsid w:val="004F521C"/>
    <w:rsid w:val="00502CD8"/>
    <w:rsid w:val="0050361C"/>
    <w:rsid w:val="00503BF4"/>
    <w:rsid w:val="00506A40"/>
    <w:rsid w:val="0051064F"/>
    <w:rsid w:val="00513461"/>
    <w:rsid w:val="00513A0E"/>
    <w:rsid w:val="00515D7B"/>
    <w:rsid w:val="00515F29"/>
    <w:rsid w:val="0052009E"/>
    <w:rsid w:val="00523F04"/>
    <w:rsid w:val="00524368"/>
    <w:rsid w:val="0052438C"/>
    <w:rsid w:val="00526282"/>
    <w:rsid w:val="00530161"/>
    <w:rsid w:val="00532DB7"/>
    <w:rsid w:val="00536F71"/>
    <w:rsid w:val="00544342"/>
    <w:rsid w:val="005450F7"/>
    <w:rsid w:val="00545A0B"/>
    <w:rsid w:val="0054672F"/>
    <w:rsid w:val="00547FA4"/>
    <w:rsid w:val="005536D4"/>
    <w:rsid w:val="00553EC8"/>
    <w:rsid w:val="005564EE"/>
    <w:rsid w:val="00557D4A"/>
    <w:rsid w:val="0056176B"/>
    <w:rsid w:val="00561889"/>
    <w:rsid w:val="005621F6"/>
    <w:rsid w:val="0056291C"/>
    <w:rsid w:val="005668D3"/>
    <w:rsid w:val="00566EBD"/>
    <w:rsid w:val="00571535"/>
    <w:rsid w:val="0057154B"/>
    <w:rsid w:val="0057278A"/>
    <w:rsid w:val="005742DB"/>
    <w:rsid w:val="00575C75"/>
    <w:rsid w:val="00577209"/>
    <w:rsid w:val="005800A9"/>
    <w:rsid w:val="00581139"/>
    <w:rsid w:val="00581645"/>
    <w:rsid w:val="0058694E"/>
    <w:rsid w:val="005875F9"/>
    <w:rsid w:val="00593A35"/>
    <w:rsid w:val="00593C74"/>
    <w:rsid w:val="00594934"/>
    <w:rsid w:val="005954CF"/>
    <w:rsid w:val="00597D8B"/>
    <w:rsid w:val="005A46FF"/>
    <w:rsid w:val="005A557E"/>
    <w:rsid w:val="005A63FD"/>
    <w:rsid w:val="005B462A"/>
    <w:rsid w:val="005B5137"/>
    <w:rsid w:val="005B6047"/>
    <w:rsid w:val="005C0ED7"/>
    <w:rsid w:val="005C5409"/>
    <w:rsid w:val="005C62A5"/>
    <w:rsid w:val="005C6FF7"/>
    <w:rsid w:val="005C7D00"/>
    <w:rsid w:val="005D01A4"/>
    <w:rsid w:val="005D0BAB"/>
    <w:rsid w:val="005D1893"/>
    <w:rsid w:val="005D26E9"/>
    <w:rsid w:val="005D2CAA"/>
    <w:rsid w:val="005D4B66"/>
    <w:rsid w:val="005D4CBA"/>
    <w:rsid w:val="005E01A3"/>
    <w:rsid w:val="005E0354"/>
    <w:rsid w:val="005E6C62"/>
    <w:rsid w:val="005E6F13"/>
    <w:rsid w:val="005E726C"/>
    <w:rsid w:val="005F293E"/>
    <w:rsid w:val="005F43B9"/>
    <w:rsid w:val="005F458B"/>
    <w:rsid w:val="005F4A6A"/>
    <w:rsid w:val="005F4E28"/>
    <w:rsid w:val="005F56BA"/>
    <w:rsid w:val="0060008E"/>
    <w:rsid w:val="00602321"/>
    <w:rsid w:val="006033E3"/>
    <w:rsid w:val="00606B29"/>
    <w:rsid w:val="0060758A"/>
    <w:rsid w:val="00607D0E"/>
    <w:rsid w:val="006101F5"/>
    <w:rsid w:val="00610DA5"/>
    <w:rsid w:val="00611663"/>
    <w:rsid w:val="00611CB2"/>
    <w:rsid w:val="0061321C"/>
    <w:rsid w:val="00613F44"/>
    <w:rsid w:val="006160BD"/>
    <w:rsid w:val="00620EDB"/>
    <w:rsid w:val="0062386E"/>
    <w:rsid w:val="00624C10"/>
    <w:rsid w:val="006253EF"/>
    <w:rsid w:val="00626075"/>
    <w:rsid w:val="0062680E"/>
    <w:rsid w:val="00630C47"/>
    <w:rsid w:val="00631158"/>
    <w:rsid w:val="00632923"/>
    <w:rsid w:val="006341E6"/>
    <w:rsid w:val="00634439"/>
    <w:rsid w:val="006366C6"/>
    <w:rsid w:val="00636B55"/>
    <w:rsid w:val="00636EB1"/>
    <w:rsid w:val="006373D6"/>
    <w:rsid w:val="006403D4"/>
    <w:rsid w:val="00642CBC"/>
    <w:rsid w:val="0064454A"/>
    <w:rsid w:val="00645293"/>
    <w:rsid w:val="006456D3"/>
    <w:rsid w:val="00651B78"/>
    <w:rsid w:val="0065237A"/>
    <w:rsid w:val="00652FF5"/>
    <w:rsid w:val="0065303C"/>
    <w:rsid w:val="00653246"/>
    <w:rsid w:val="00654382"/>
    <w:rsid w:val="006548FA"/>
    <w:rsid w:val="0066098B"/>
    <w:rsid w:val="00661244"/>
    <w:rsid w:val="006640DF"/>
    <w:rsid w:val="00666A3C"/>
    <w:rsid w:val="00667519"/>
    <w:rsid w:val="006676A0"/>
    <w:rsid w:val="00670857"/>
    <w:rsid w:val="00670868"/>
    <w:rsid w:val="00673D69"/>
    <w:rsid w:val="00676431"/>
    <w:rsid w:val="00677A9C"/>
    <w:rsid w:val="0068050D"/>
    <w:rsid w:val="00684C6B"/>
    <w:rsid w:val="00685FFC"/>
    <w:rsid w:val="00686943"/>
    <w:rsid w:val="00686EDE"/>
    <w:rsid w:val="00687AD5"/>
    <w:rsid w:val="00690A31"/>
    <w:rsid w:val="006911CE"/>
    <w:rsid w:val="00692002"/>
    <w:rsid w:val="00695251"/>
    <w:rsid w:val="00695B58"/>
    <w:rsid w:val="006A1153"/>
    <w:rsid w:val="006A4828"/>
    <w:rsid w:val="006A7C09"/>
    <w:rsid w:val="006B046C"/>
    <w:rsid w:val="006B252F"/>
    <w:rsid w:val="006B3940"/>
    <w:rsid w:val="006B4B1E"/>
    <w:rsid w:val="006B7FA5"/>
    <w:rsid w:val="006C168D"/>
    <w:rsid w:val="006C21E6"/>
    <w:rsid w:val="006C4033"/>
    <w:rsid w:val="006C5BC9"/>
    <w:rsid w:val="006C642C"/>
    <w:rsid w:val="006C7247"/>
    <w:rsid w:val="006D462B"/>
    <w:rsid w:val="006D7386"/>
    <w:rsid w:val="006E0DAD"/>
    <w:rsid w:val="006E313F"/>
    <w:rsid w:val="006E6CA2"/>
    <w:rsid w:val="006F1F1A"/>
    <w:rsid w:val="006F5AC2"/>
    <w:rsid w:val="006F6C28"/>
    <w:rsid w:val="007007EB"/>
    <w:rsid w:val="00701109"/>
    <w:rsid w:val="00701F57"/>
    <w:rsid w:val="00701FD8"/>
    <w:rsid w:val="00703E8A"/>
    <w:rsid w:val="00706046"/>
    <w:rsid w:val="007112F0"/>
    <w:rsid w:val="00711343"/>
    <w:rsid w:val="00714309"/>
    <w:rsid w:val="0071450F"/>
    <w:rsid w:val="00717772"/>
    <w:rsid w:val="00720B42"/>
    <w:rsid w:val="00721DBE"/>
    <w:rsid w:val="007226EC"/>
    <w:rsid w:val="00722B5E"/>
    <w:rsid w:val="00724F6D"/>
    <w:rsid w:val="0072678C"/>
    <w:rsid w:val="00732D1D"/>
    <w:rsid w:val="00734119"/>
    <w:rsid w:val="007350D4"/>
    <w:rsid w:val="00736034"/>
    <w:rsid w:val="00736D15"/>
    <w:rsid w:val="00740707"/>
    <w:rsid w:val="0074120F"/>
    <w:rsid w:val="00743764"/>
    <w:rsid w:val="00743B2D"/>
    <w:rsid w:val="00747930"/>
    <w:rsid w:val="0075060E"/>
    <w:rsid w:val="00752E8B"/>
    <w:rsid w:val="007541BB"/>
    <w:rsid w:val="00754D62"/>
    <w:rsid w:val="00756CFF"/>
    <w:rsid w:val="00757FD7"/>
    <w:rsid w:val="00761B7A"/>
    <w:rsid w:val="007651E5"/>
    <w:rsid w:val="00765256"/>
    <w:rsid w:val="007661D4"/>
    <w:rsid w:val="007661FD"/>
    <w:rsid w:val="00766A7C"/>
    <w:rsid w:val="00767A27"/>
    <w:rsid w:val="0077111A"/>
    <w:rsid w:val="00775419"/>
    <w:rsid w:val="007763A5"/>
    <w:rsid w:val="0078105B"/>
    <w:rsid w:val="00782B50"/>
    <w:rsid w:val="007836C2"/>
    <w:rsid w:val="00784FE0"/>
    <w:rsid w:val="007858B1"/>
    <w:rsid w:val="0078648E"/>
    <w:rsid w:val="00790803"/>
    <w:rsid w:val="00791A3A"/>
    <w:rsid w:val="00791D9C"/>
    <w:rsid w:val="007A391B"/>
    <w:rsid w:val="007A4409"/>
    <w:rsid w:val="007A4F37"/>
    <w:rsid w:val="007A5241"/>
    <w:rsid w:val="007A59B8"/>
    <w:rsid w:val="007B06C7"/>
    <w:rsid w:val="007B3D06"/>
    <w:rsid w:val="007B42F5"/>
    <w:rsid w:val="007B5157"/>
    <w:rsid w:val="007B5CD8"/>
    <w:rsid w:val="007C1122"/>
    <w:rsid w:val="007C19EC"/>
    <w:rsid w:val="007C364E"/>
    <w:rsid w:val="007C5359"/>
    <w:rsid w:val="007C6701"/>
    <w:rsid w:val="007D16ED"/>
    <w:rsid w:val="007D2398"/>
    <w:rsid w:val="007D440B"/>
    <w:rsid w:val="007D62F9"/>
    <w:rsid w:val="007D63A4"/>
    <w:rsid w:val="007D732D"/>
    <w:rsid w:val="007D7C43"/>
    <w:rsid w:val="007E0F19"/>
    <w:rsid w:val="007E2A84"/>
    <w:rsid w:val="007E5ECB"/>
    <w:rsid w:val="007F063D"/>
    <w:rsid w:val="007F0D73"/>
    <w:rsid w:val="007F153F"/>
    <w:rsid w:val="007F3137"/>
    <w:rsid w:val="007F432A"/>
    <w:rsid w:val="007F63AA"/>
    <w:rsid w:val="008006B7"/>
    <w:rsid w:val="008032FD"/>
    <w:rsid w:val="00806461"/>
    <w:rsid w:val="008064CE"/>
    <w:rsid w:val="0080673A"/>
    <w:rsid w:val="00807A94"/>
    <w:rsid w:val="00810B79"/>
    <w:rsid w:val="00810EAD"/>
    <w:rsid w:val="00814530"/>
    <w:rsid w:val="00815386"/>
    <w:rsid w:val="00821F9C"/>
    <w:rsid w:val="00825570"/>
    <w:rsid w:val="00826403"/>
    <w:rsid w:val="00827990"/>
    <w:rsid w:val="00834CA6"/>
    <w:rsid w:val="00835146"/>
    <w:rsid w:val="0083623B"/>
    <w:rsid w:val="00836C5A"/>
    <w:rsid w:val="00837E59"/>
    <w:rsid w:val="00840AC0"/>
    <w:rsid w:val="00842100"/>
    <w:rsid w:val="008428A9"/>
    <w:rsid w:val="0084308F"/>
    <w:rsid w:val="00846C2B"/>
    <w:rsid w:val="0085139A"/>
    <w:rsid w:val="008524F6"/>
    <w:rsid w:val="008532F3"/>
    <w:rsid w:val="00854B3F"/>
    <w:rsid w:val="00861C2C"/>
    <w:rsid w:val="00863744"/>
    <w:rsid w:val="00865CFA"/>
    <w:rsid w:val="008668B8"/>
    <w:rsid w:val="0086748F"/>
    <w:rsid w:val="00867B4D"/>
    <w:rsid w:val="00867CF3"/>
    <w:rsid w:val="00874AA3"/>
    <w:rsid w:val="00874AB5"/>
    <w:rsid w:val="00877671"/>
    <w:rsid w:val="00877A13"/>
    <w:rsid w:val="008811F8"/>
    <w:rsid w:val="008869BC"/>
    <w:rsid w:val="00887DDD"/>
    <w:rsid w:val="00887DE6"/>
    <w:rsid w:val="00887E9F"/>
    <w:rsid w:val="008908AA"/>
    <w:rsid w:val="00890E08"/>
    <w:rsid w:val="008927F0"/>
    <w:rsid w:val="00894DCA"/>
    <w:rsid w:val="00896602"/>
    <w:rsid w:val="00897D88"/>
    <w:rsid w:val="008A00BE"/>
    <w:rsid w:val="008A1539"/>
    <w:rsid w:val="008A2C5D"/>
    <w:rsid w:val="008A3BE2"/>
    <w:rsid w:val="008A6957"/>
    <w:rsid w:val="008A6B30"/>
    <w:rsid w:val="008B05E7"/>
    <w:rsid w:val="008B0758"/>
    <w:rsid w:val="008B1875"/>
    <w:rsid w:val="008B4146"/>
    <w:rsid w:val="008B5312"/>
    <w:rsid w:val="008B59CE"/>
    <w:rsid w:val="008B6078"/>
    <w:rsid w:val="008B6085"/>
    <w:rsid w:val="008B7110"/>
    <w:rsid w:val="008B7F4A"/>
    <w:rsid w:val="008C04E1"/>
    <w:rsid w:val="008C04FE"/>
    <w:rsid w:val="008C2F50"/>
    <w:rsid w:val="008C3109"/>
    <w:rsid w:val="008C32F7"/>
    <w:rsid w:val="008C383A"/>
    <w:rsid w:val="008C5312"/>
    <w:rsid w:val="008C5DBD"/>
    <w:rsid w:val="008C61D6"/>
    <w:rsid w:val="008C7498"/>
    <w:rsid w:val="008D49AF"/>
    <w:rsid w:val="008D4A2B"/>
    <w:rsid w:val="008D4A9F"/>
    <w:rsid w:val="008D6294"/>
    <w:rsid w:val="008E1FE0"/>
    <w:rsid w:val="008E3939"/>
    <w:rsid w:val="008E3DDD"/>
    <w:rsid w:val="008F23F4"/>
    <w:rsid w:val="008F61C4"/>
    <w:rsid w:val="008F7763"/>
    <w:rsid w:val="009007CB"/>
    <w:rsid w:val="00901041"/>
    <w:rsid w:val="009010F0"/>
    <w:rsid w:val="00901162"/>
    <w:rsid w:val="00901C2E"/>
    <w:rsid w:val="00901D46"/>
    <w:rsid w:val="009028E2"/>
    <w:rsid w:val="00903692"/>
    <w:rsid w:val="00904E07"/>
    <w:rsid w:val="00906059"/>
    <w:rsid w:val="00912BAF"/>
    <w:rsid w:val="0091311E"/>
    <w:rsid w:val="00914EAB"/>
    <w:rsid w:val="0091541F"/>
    <w:rsid w:val="00920D98"/>
    <w:rsid w:val="0092108C"/>
    <w:rsid w:val="00922D49"/>
    <w:rsid w:val="009238DB"/>
    <w:rsid w:val="00925E37"/>
    <w:rsid w:val="00925EDD"/>
    <w:rsid w:val="0092665C"/>
    <w:rsid w:val="00930079"/>
    <w:rsid w:val="00930966"/>
    <w:rsid w:val="00932F64"/>
    <w:rsid w:val="00935FB1"/>
    <w:rsid w:val="00936075"/>
    <w:rsid w:val="00936D40"/>
    <w:rsid w:val="00937ABF"/>
    <w:rsid w:val="00937DB1"/>
    <w:rsid w:val="009463CC"/>
    <w:rsid w:val="0094687A"/>
    <w:rsid w:val="00950413"/>
    <w:rsid w:val="0095078E"/>
    <w:rsid w:val="00952404"/>
    <w:rsid w:val="00952A72"/>
    <w:rsid w:val="009533AD"/>
    <w:rsid w:val="009542B3"/>
    <w:rsid w:val="009550A8"/>
    <w:rsid w:val="00955FF2"/>
    <w:rsid w:val="0095693D"/>
    <w:rsid w:val="00956B0D"/>
    <w:rsid w:val="0096224F"/>
    <w:rsid w:val="0096260B"/>
    <w:rsid w:val="009631C1"/>
    <w:rsid w:val="00970C69"/>
    <w:rsid w:val="00973B57"/>
    <w:rsid w:val="00973E0D"/>
    <w:rsid w:val="0097403F"/>
    <w:rsid w:val="00976797"/>
    <w:rsid w:val="00980C0C"/>
    <w:rsid w:val="00982E47"/>
    <w:rsid w:val="00983E7D"/>
    <w:rsid w:val="00991642"/>
    <w:rsid w:val="0099260C"/>
    <w:rsid w:val="009942F4"/>
    <w:rsid w:val="00995B3C"/>
    <w:rsid w:val="00996BCA"/>
    <w:rsid w:val="00997454"/>
    <w:rsid w:val="009A045B"/>
    <w:rsid w:val="009A0513"/>
    <w:rsid w:val="009A1119"/>
    <w:rsid w:val="009A2283"/>
    <w:rsid w:val="009A31AF"/>
    <w:rsid w:val="009A3507"/>
    <w:rsid w:val="009A529F"/>
    <w:rsid w:val="009A5C1D"/>
    <w:rsid w:val="009A6018"/>
    <w:rsid w:val="009A7C28"/>
    <w:rsid w:val="009B0273"/>
    <w:rsid w:val="009B4286"/>
    <w:rsid w:val="009B5BF9"/>
    <w:rsid w:val="009B5DAF"/>
    <w:rsid w:val="009B5F83"/>
    <w:rsid w:val="009B61C5"/>
    <w:rsid w:val="009B769E"/>
    <w:rsid w:val="009C03E5"/>
    <w:rsid w:val="009C3F17"/>
    <w:rsid w:val="009C4D19"/>
    <w:rsid w:val="009C5FDB"/>
    <w:rsid w:val="009C65AF"/>
    <w:rsid w:val="009C70CB"/>
    <w:rsid w:val="009C74DD"/>
    <w:rsid w:val="009D0312"/>
    <w:rsid w:val="009D27AA"/>
    <w:rsid w:val="009D2AD9"/>
    <w:rsid w:val="009D514E"/>
    <w:rsid w:val="009D5A40"/>
    <w:rsid w:val="009D5C39"/>
    <w:rsid w:val="009D6FED"/>
    <w:rsid w:val="009E0A95"/>
    <w:rsid w:val="009E0D47"/>
    <w:rsid w:val="009E549D"/>
    <w:rsid w:val="009E54AF"/>
    <w:rsid w:val="009E5C59"/>
    <w:rsid w:val="009E6BB8"/>
    <w:rsid w:val="009F0FB1"/>
    <w:rsid w:val="009F1CC3"/>
    <w:rsid w:val="009F26F2"/>
    <w:rsid w:val="009F3E1E"/>
    <w:rsid w:val="009F4CC5"/>
    <w:rsid w:val="009F6550"/>
    <w:rsid w:val="00A003BE"/>
    <w:rsid w:val="00A02F51"/>
    <w:rsid w:val="00A0520F"/>
    <w:rsid w:val="00A05ACE"/>
    <w:rsid w:val="00A06788"/>
    <w:rsid w:val="00A104A4"/>
    <w:rsid w:val="00A10D63"/>
    <w:rsid w:val="00A115BC"/>
    <w:rsid w:val="00A11776"/>
    <w:rsid w:val="00A1276C"/>
    <w:rsid w:val="00A14098"/>
    <w:rsid w:val="00A14304"/>
    <w:rsid w:val="00A14399"/>
    <w:rsid w:val="00A14C46"/>
    <w:rsid w:val="00A15524"/>
    <w:rsid w:val="00A15EE9"/>
    <w:rsid w:val="00A16675"/>
    <w:rsid w:val="00A1724E"/>
    <w:rsid w:val="00A17E5B"/>
    <w:rsid w:val="00A20263"/>
    <w:rsid w:val="00A2168F"/>
    <w:rsid w:val="00A248B1"/>
    <w:rsid w:val="00A26437"/>
    <w:rsid w:val="00A30E4D"/>
    <w:rsid w:val="00A32410"/>
    <w:rsid w:val="00A32B48"/>
    <w:rsid w:val="00A35D6F"/>
    <w:rsid w:val="00A36D00"/>
    <w:rsid w:val="00A42462"/>
    <w:rsid w:val="00A43389"/>
    <w:rsid w:val="00A4642E"/>
    <w:rsid w:val="00A47AF8"/>
    <w:rsid w:val="00A52D75"/>
    <w:rsid w:val="00A53013"/>
    <w:rsid w:val="00A54BD6"/>
    <w:rsid w:val="00A5643A"/>
    <w:rsid w:val="00A57678"/>
    <w:rsid w:val="00A6090C"/>
    <w:rsid w:val="00A6200E"/>
    <w:rsid w:val="00A62D1E"/>
    <w:rsid w:val="00A65C6D"/>
    <w:rsid w:val="00A670C7"/>
    <w:rsid w:val="00A716B9"/>
    <w:rsid w:val="00A720D8"/>
    <w:rsid w:val="00A72216"/>
    <w:rsid w:val="00A733F2"/>
    <w:rsid w:val="00A75705"/>
    <w:rsid w:val="00A75BE1"/>
    <w:rsid w:val="00A8187C"/>
    <w:rsid w:val="00A82C9E"/>
    <w:rsid w:val="00A8324F"/>
    <w:rsid w:val="00A84193"/>
    <w:rsid w:val="00A85142"/>
    <w:rsid w:val="00A875B4"/>
    <w:rsid w:val="00A95B37"/>
    <w:rsid w:val="00A96B6F"/>
    <w:rsid w:val="00AA0CE8"/>
    <w:rsid w:val="00AA35FD"/>
    <w:rsid w:val="00AA3DB7"/>
    <w:rsid w:val="00AA5EF2"/>
    <w:rsid w:val="00AA5F63"/>
    <w:rsid w:val="00AA7EBD"/>
    <w:rsid w:val="00AB0590"/>
    <w:rsid w:val="00AB1112"/>
    <w:rsid w:val="00AB67DE"/>
    <w:rsid w:val="00AB69EF"/>
    <w:rsid w:val="00AC11DC"/>
    <w:rsid w:val="00AC23B0"/>
    <w:rsid w:val="00AC3E87"/>
    <w:rsid w:val="00AC469F"/>
    <w:rsid w:val="00AD0611"/>
    <w:rsid w:val="00AD0E4F"/>
    <w:rsid w:val="00AD26D7"/>
    <w:rsid w:val="00AD3905"/>
    <w:rsid w:val="00AD4555"/>
    <w:rsid w:val="00AD4A31"/>
    <w:rsid w:val="00AD5638"/>
    <w:rsid w:val="00AD7214"/>
    <w:rsid w:val="00AE1066"/>
    <w:rsid w:val="00AE12A4"/>
    <w:rsid w:val="00AE2480"/>
    <w:rsid w:val="00AE2E1B"/>
    <w:rsid w:val="00AE5129"/>
    <w:rsid w:val="00AE5645"/>
    <w:rsid w:val="00AE68BC"/>
    <w:rsid w:val="00AF1D6B"/>
    <w:rsid w:val="00AF24AA"/>
    <w:rsid w:val="00AF3AF9"/>
    <w:rsid w:val="00AF3E5F"/>
    <w:rsid w:val="00AF44C1"/>
    <w:rsid w:val="00AF4F09"/>
    <w:rsid w:val="00AF643E"/>
    <w:rsid w:val="00AF79C8"/>
    <w:rsid w:val="00B00FA8"/>
    <w:rsid w:val="00B011B0"/>
    <w:rsid w:val="00B0391C"/>
    <w:rsid w:val="00B047F6"/>
    <w:rsid w:val="00B06019"/>
    <w:rsid w:val="00B06246"/>
    <w:rsid w:val="00B0700F"/>
    <w:rsid w:val="00B1493B"/>
    <w:rsid w:val="00B15119"/>
    <w:rsid w:val="00B17169"/>
    <w:rsid w:val="00B23996"/>
    <w:rsid w:val="00B23CB2"/>
    <w:rsid w:val="00B249C0"/>
    <w:rsid w:val="00B24A18"/>
    <w:rsid w:val="00B255C5"/>
    <w:rsid w:val="00B25807"/>
    <w:rsid w:val="00B268DD"/>
    <w:rsid w:val="00B32AE1"/>
    <w:rsid w:val="00B35FEC"/>
    <w:rsid w:val="00B37780"/>
    <w:rsid w:val="00B37813"/>
    <w:rsid w:val="00B37EEF"/>
    <w:rsid w:val="00B404F1"/>
    <w:rsid w:val="00B41C1D"/>
    <w:rsid w:val="00B43917"/>
    <w:rsid w:val="00B4515C"/>
    <w:rsid w:val="00B46220"/>
    <w:rsid w:val="00B464EA"/>
    <w:rsid w:val="00B47574"/>
    <w:rsid w:val="00B5430C"/>
    <w:rsid w:val="00B54884"/>
    <w:rsid w:val="00B56A90"/>
    <w:rsid w:val="00B5711C"/>
    <w:rsid w:val="00B57BCF"/>
    <w:rsid w:val="00B57E36"/>
    <w:rsid w:val="00B60209"/>
    <w:rsid w:val="00B606A3"/>
    <w:rsid w:val="00B625CB"/>
    <w:rsid w:val="00B63F2B"/>
    <w:rsid w:val="00B64D3A"/>
    <w:rsid w:val="00B65D6F"/>
    <w:rsid w:val="00B673F3"/>
    <w:rsid w:val="00B67A25"/>
    <w:rsid w:val="00B7354A"/>
    <w:rsid w:val="00B7435B"/>
    <w:rsid w:val="00B74446"/>
    <w:rsid w:val="00B74B59"/>
    <w:rsid w:val="00B75F09"/>
    <w:rsid w:val="00B76BBB"/>
    <w:rsid w:val="00B77142"/>
    <w:rsid w:val="00B8024E"/>
    <w:rsid w:val="00B80C3A"/>
    <w:rsid w:val="00B84643"/>
    <w:rsid w:val="00B90452"/>
    <w:rsid w:val="00B90780"/>
    <w:rsid w:val="00B916D6"/>
    <w:rsid w:val="00B91AD8"/>
    <w:rsid w:val="00B9209B"/>
    <w:rsid w:val="00B9240D"/>
    <w:rsid w:val="00B95753"/>
    <w:rsid w:val="00B97E42"/>
    <w:rsid w:val="00BA0425"/>
    <w:rsid w:val="00BA0C05"/>
    <w:rsid w:val="00BA54D0"/>
    <w:rsid w:val="00BA7E30"/>
    <w:rsid w:val="00BB04BF"/>
    <w:rsid w:val="00BB1013"/>
    <w:rsid w:val="00BB4515"/>
    <w:rsid w:val="00BB7B89"/>
    <w:rsid w:val="00BC1A9B"/>
    <w:rsid w:val="00BC2A22"/>
    <w:rsid w:val="00BC4986"/>
    <w:rsid w:val="00BC5E2E"/>
    <w:rsid w:val="00BC6379"/>
    <w:rsid w:val="00BC6C3E"/>
    <w:rsid w:val="00BC7EEF"/>
    <w:rsid w:val="00BD2308"/>
    <w:rsid w:val="00BD43BB"/>
    <w:rsid w:val="00BD72C1"/>
    <w:rsid w:val="00BD7ADE"/>
    <w:rsid w:val="00BE1A85"/>
    <w:rsid w:val="00BE46ED"/>
    <w:rsid w:val="00BE4FD1"/>
    <w:rsid w:val="00BE642D"/>
    <w:rsid w:val="00BE6D7A"/>
    <w:rsid w:val="00BF07C4"/>
    <w:rsid w:val="00BF2511"/>
    <w:rsid w:val="00BF377F"/>
    <w:rsid w:val="00BF3F88"/>
    <w:rsid w:val="00BF416F"/>
    <w:rsid w:val="00BF57BE"/>
    <w:rsid w:val="00C0042B"/>
    <w:rsid w:val="00C02E58"/>
    <w:rsid w:val="00C030B6"/>
    <w:rsid w:val="00C04B38"/>
    <w:rsid w:val="00C067B7"/>
    <w:rsid w:val="00C10A09"/>
    <w:rsid w:val="00C121BC"/>
    <w:rsid w:val="00C12FA4"/>
    <w:rsid w:val="00C14D92"/>
    <w:rsid w:val="00C16739"/>
    <w:rsid w:val="00C17F3F"/>
    <w:rsid w:val="00C23BA2"/>
    <w:rsid w:val="00C260A2"/>
    <w:rsid w:val="00C30CFF"/>
    <w:rsid w:val="00C30DEC"/>
    <w:rsid w:val="00C31142"/>
    <w:rsid w:val="00C31DEF"/>
    <w:rsid w:val="00C338EB"/>
    <w:rsid w:val="00C35BB7"/>
    <w:rsid w:val="00C36B35"/>
    <w:rsid w:val="00C400CD"/>
    <w:rsid w:val="00C41617"/>
    <w:rsid w:val="00C4309A"/>
    <w:rsid w:val="00C43F23"/>
    <w:rsid w:val="00C43FF1"/>
    <w:rsid w:val="00C45494"/>
    <w:rsid w:val="00C52D18"/>
    <w:rsid w:val="00C559CE"/>
    <w:rsid w:val="00C55E19"/>
    <w:rsid w:val="00C563AD"/>
    <w:rsid w:val="00C563BF"/>
    <w:rsid w:val="00C56EF8"/>
    <w:rsid w:val="00C57512"/>
    <w:rsid w:val="00C57607"/>
    <w:rsid w:val="00C61133"/>
    <w:rsid w:val="00C64009"/>
    <w:rsid w:val="00C7016D"/>
    <w:rsid w:val="00C754C7"/>
    <w:rsid w:val="00C767B3"/>
    <w:rsid w:val="00C76C07"/>
    <w:rsid w:val="00C80F23"/>
    <w:rsid w:val="00C850A3"/>
    <w:rsid w:val="00C87568"/>
    <w:rsid w:val="00C9167A"/>
    <w:rsid w:val="00C92451"/>
    <w:rsid w:val="00C9272C"/>
    <w:rsid w:val="00C97764"/>
    <w:rsid w:val="00C97C9B"/>
    <w:rsid w:val="00CA2211"/>
    <w:rsid w:val="00CA28FE"/>
    <w:rsid w:val="00CA344C"/>
    <w:rsid w:val="00CA7FF7"/>
    <w:rsid w:val="00CB142D"/>
    <w:rsid w:val="00CB29F6"/>
    <w:rsid w:val="00CB2BBF"/>
    <w:rsid w:val="00CB481C"/>
    <w:rsid w:val="00CB4C8C"/>
    <w:rsid w:val="00CB62E1"/>
    <w:rsid w:val="00CB6EFE"/>
    <w:rsid w:val="00CC16F9"/>
    <w:rsid w:val="00CC28A9"/>
    <w:rsid w:val="00CC4183"/>
    <w:rsid w:val="00CC70A4"/>
    <w:rsid w:val="00CC78C7"/>
    <w:rsid w:val="00CD4A0C"/>
    <w:rsid w:val="00CD5CEF"/>
    <w:rsid w:val="00CE06EC"/>
    <w:rsid w:val="00CE592E"/>
    <w:rsid w:val="00CE5BB5"/>
    <w:rsid w:val="00CE5BC5"/>
    <w:rsid w:val="00CF16A4"/>
    <w:rsid w:val="00CF299F"/>
    <w:rsid w:val="00CF3357"/>
    <w:rsid w:val="00CF58DF"/>
    <w:rsid w:val="00D00BC3"/>
    <w:rsid w:val="00D03538"/>
    <w:rsid w:val="00D04410"/>
    <w:rsid w:val="00D05EE7"/>
    <w:rsid w:val="00D06394"/>
    <w:rsid w:val="00D06A9D"/>
    <w:rsid w:val="00D07C15"/>
    <w:rsid w:val="00D11D4F"/>
    <w:rsid w:val="00D13A01"/>
    <w:rsid w:val="00D15733"/>
    <w:rsid w:val="00D20364"/>
    <w:rsid w:val="00D207B2"/>
    <w:rsid w:val="00D2130C"/>
    <w:rsid w:val="00D26746"/>
    <w:rsid w:val="00D26DDD"/>
    <w:rsid w:val="00D27BDC"/>
    <w:rsid w:val="00D3194F"/>
    <w:rsid w:val="00D33751"/>
    <w:rsid w:val="00D36169"/>
    <w:rsid w:val="00D37343"/>
    <w:rsid w:val="00D37495"/>
    <w:rsid w:val="00D41727"/>
    <w:rsid w:val="00D427E4"/>
    <w:rsid w:val="00D45F1B"/>
    <w:rsid w:val="00D477DB"/>
    <w:rsid w:val="00D47A9E"/>
    <w:rsid w:val="00D52289"/>
    <w:rsid w:val="00D55A37"/>
    <w:rsid w:val="00D55B7E"/>
    <w:rsid w:val="00D564C7"/>
    <w:rsid w:val="00D64354"/>
    <w:rsid w:val="00D66685"/>
    <w:rsid w:val="00D70D35"/>
    <w:rsid w:val="00D71351"/>
    <w:rsid w:val="00D71997"/>
    <w:rsid w:val="00D753E9"/>
    <w:rsid w:val="00D777B9"/>
    <w:rsid w:val="00D82273"/>
    <w:rsid w:val="00D82FA5"/>
    <w:rsid w:val="00D84A4B"/>
    <w:rsid w:val="00D84B45"/>
    <w:rsid w:val="00D857AE"/>
    <w:rsid w:val="00D8623D"/>
    <w:rsid w:val="00D867FB"/>
    <w:rsid w:val="00D873C4"/>
    <w:rsid w:val="00D90E11"/>
    <w:rsid w:val="00D9110D"/>
    <w:rsid w:val="00D91124"/>
    <w:rsid w:val="00D91987"/>
    <w:rsid w:val="00D92168"/>
    <w:rsid w:val="00D93426"/>
    <w:rsid w:val="00D94B22"/>
    <w:rsid w:val="00D958D3"/>
    <w:rsid w:val="00D9594F"/>
    <w:rsid w:val="00D97213"/>
    <w:rsid w:val="00DA134E"/>
    <w:rsid w:val="00DA13F3"/>
    <w:rsid w:val="00DA2DE3"/>
    <w:rsid w:val="00DA451D"/>
    <w:rsid w:val="00DA64AF"/>
    <w:rsid w:val="00DB1F4F"/>
    <w:rsid w:val="00DB2AC7"/>
    <w:rsid w:val="00DB704C"/>
    <w:rsid w:val="00DC693B"/>
    <w:rsid w:val="00DC7C77"/>
    <w:rsid w:val="00DD0F5D"/>
    <w:rsid w:val="00DD426D"/>
    <w:rsid w:val="00DD74FC"/>
    <w:rsid w:val="00DE117F"/>
    <w:rsid w:val="00DE1769"/>
    <w:rsid w:val="00DE1A17"/>
    <w:rsid w:val="00DE44C8"/>
    <w:rsid w:val="00DE64CC"/>
    <w:rsid w:val="00DE6AA9"/>
    <w:rsid w:val="00DE7B30"/>
    <w:rsid w:val="00DF0C0B"/>
    <w:rsid w:val="00DF18FE"/>
    <w:rsid w:val="00DF20C7"/>
    <w:rsid w:val="00DF4D0C"/>
    <w:rsid w:val="00DF5C20"/>
    <w:rsid w:val="00DF7D81"/>
    <w:rsid w:val="00E02DEB"/>
    <w:rsid w:val="00E042A1"/>
    <w:rsid w:val="00E0476C"/>
    <w:rsid w:val="00E0576B"/>
    <w:rsid w:val="00E067EA"/>
    <w:rsid w:val="00E06D18"/>
    <w:rsid w:val="00E104FA"/>
    <w:rsid w:val="00E12F1F"/>
    <w:rsid w:val="00E1320D"/>
    <w:rsid w:val="00E139F8"/>
    <w:rsid w:val="00E16022"/>
    <w:rsid w:val="00E1738C"/>
    <w:rsid w:val="00E174FF"/>
    <w:rsid w:val="00E205AA"/>
    <w:rsid w:val="00E22296"/>
    <w:rsid w:val="00E270C6"/>
    <w:rsid w:val="00E27360"/>
    <w:rsid w:val="00E27C04"/>
    <w:rsid w:val="00E27C82"/>
    <w:rsid w:val="00E30713"/>
    <w:rsid w:val="00E30EDF"/>
    <w:rsid w:val="00E312D7"/>
    <w:rsid w:val="00E316AF"/>
    <w:rsid w:val="00E31FBA"/>
    <w:rsid w:val="00E328E2"/>
    <w:rsid w:val="00E336BB"/>
    <w:rsid w:val="00E3384E"/>
    <w:rsid w:val="00E34B63"/>
    <w:rsid w:val="00E374C8"/>
    <w:rsid w:val="00E40156"/>
    <w:rsid w:val="00E4042D"/>
    <w:rsid w:val="00E4135D"/>
    <w:rsid w:val="00E43750"/>
    <w:rsid w:val="00E508EB"/>
    <w:rsid w:val="00E521E3"/>
    <w:rsid w:val="00E53B7A"/>
    <w:rsid w:val="00E550C9"/>
    <w:rsid w:val="00E55405"/>
    <w:rsid w:val="00E5645D"/>
    <w:rsid w:val="00E627A4"/>
    <w:rsid w:val="00E6280E"/>
    <w:rsid w:val="00E62C9C"/>
    <w:rsid w:val="00E630EE"/>
    <w:rsid w:val="00E67A61"/>
    <w:rsid w:val="00E70455"/>
    <w:rsid w:val="00E73221"/>
    <w:rsid w:val="00E7356F"/>
    <w:rsid w:val="00E75116"/>
    <w:rsid w:val="00E763EB"/>
    <w:rsid w:val="00E80A5B"/>
    <w:rsid w:val="00E8153C"/>
    <w:rsid w:val="00E8342F"/>
    <w:rsid w:val="00E84632"/>
    <w:rsid w:val="00E847EE"/>
    <w:rsid w:val="00E85E29"/>
    <w:rsid w:val="00E876F9"/>
    <w:rsid w:val="00E90508"/>
    <w:rsid w:val="00E90B39"/>
    <w:rsid w:val="00E94FFB"/>
    <w:rsid w:val="00E96A72"/>
    <w:rsid w:val="00E96B52"/>
    <w:rsid w:val="00EA01F7"/>
    <w:rsid w:val="00EA083F"/>
    <w:rsid w:val="00EA1D33"/>
    <w:rsid w:val="00EA1F5A"/>
    <w:rsid w:val="00EA375F"/>
    <w:rsid w:val="00EA6415"/>
    <w:rsid w:val="00EA7104"/>
    <w:rsid w:val="00EA7533"/>
    <w:rsid w:val="00EB067F"/>
    <w:rsid w:val="00EB2419"/>
    <w:rsid w:val="00EB45F5"/>
    <w:rsid w:val="00EB58F5"/>
    <w:rsid w:val="00EB6E6B"/>
    <w:rsid w:val="00EC010F"/>
    <w:rsid w:val="00EC224D"/>
    <w:rsid w:val="00EC2E3A"/>
    <w:rsid w:val="00EC3CCB"/>
    <w:rsid w:val="00EC54CD"/>
    <w:rsid w:val="00EC5A74"/>
    <w:rsid w:val="00EC737D"/>
    <w:rsid w:val="00ED2154"/>
    <w:rsid w:val="00ED4277"/>
    <w:rsid w:val="00ED576D"/>
    <w:rsid w:val="00ED7C8C"/>
    <w:rsid w:val="00ED7DDB"/>
    <w:rsid w:val="00ED7FDD"/>
    <w:rsid w:val="00EE0DEA"/>
    <w:rsid w:val="00EE431B"/>
    <w:rsid w:val="00EE4874"/>
    <w:rsid w:val="00EE53E5"/>
    <w:rsid w:val="00EE6654"/>
    <w:rsid w:val="00EE73FB"/>
    <w:rsid w:val="00EE7BF0"/>
    <w:rsid w:val="00EF2674"/>
    <w:rsid w:val="00EF556F"/>
    <w:rsid w:val="00EF7BE0"/>
    <w:rsid w:val="00EF7D07"/>
    <w:rsid w:val="00F016DD"/>
    <w:rsid w:val="00F0181C"/>
    <w:rsid w:val="00F03512"/>
    <w:rsid w:val="00F0433A"/>
    <w:rsid w:val="00F0519B"/>
    <w:rsid w:val="00F059D4"/>
    <w:rsid w:val="00F11783"/>
    <w:rsid w:val="00F119AF"/>
    <w:rsid w:val="00F1480B"/>
    <w:rsid w:val="00F1498D"/>
    <w:rsid w:val="00F20065"/>
    <w:rsid w:val="00F22211"/>
    <w:rsid w:val="00F22341"/>
    <w:rsid w:val="00F22F1D"/>
    <w:rsid w:val="00F22F9F"/>
    <w:rsid w:val="00F24039"/>
    <w:rsid w:val="00F24E0E"/>
    <w:rsid w:val="00F26693"/>
    <w:rsid w:val="00F33991"/>
    <w:rsid w:val="00F3477D"/>
    <w:rsid w:val="00F347FE"/>
    <w:rsid w:val="00F34859"/>
    <w:rsid w:val="00F356F7"/>
    <w:rsid w:val="00F40055"/>
    <w:rsid w:val="00F40868"/>
    <w:rsid w:val="00F44FDE"/>
    <w:rsid w:val="00F4518C"/>
    <w:rsid w:val="00F46467"/>
    <w:rsid w:val="00F4715C"/>
    <w:rsid w:val="00F47FF8"/>
    <w:rsid w:val="00F50707"/>
    <w:rsid w:val="00F529B5"/>
    <w:rsid w:val="00F52AA4"/>
    <w:rsid w:val="00F56162"/>
    <w:rsid w:val="00F56B7E"/>
    <w:rsid w:val="00F6052F"/>
    <w:rsid w:val="00F60F44"/>
    <w:rsid w:val="00F62FDE"/>
    <w:rsid w:val="00F645D2"/>
    <w:rsid w:val="00F654E6"/>
    <w:rsid w:val="00F662CD"/>
    <w:rsid w:val="00F67E39"/>
    <w:rsid w:val="00F703A8"/>
    <w:rsid w:val="00F707F1"/>
    <w:rsid w:val="00F7094A"/>
    <w:rsid w:val="00F710BE"/>
    <w:rsid w:val="00F72579"/>
    <w:rsid w:val="00F804B9"/>
    <w:rsid w:val="00F80AE2"/>
    <w:rsid w:val="00F8265F"/>
    <w:rsid w:val="00F83FF9"/>
    <w:rsid w:val="00F85FCB"/>
    <w:rsid w:val="00F870C3"/>
    <w:rsid w:val="00F91B52"/>
    <w:rsid w:val="00F97478"/>
    <w:rsid w:val="00F97B71"/>
    <w:rsid w:val="00F97B9E"/>
    <w:rsid w:val="00FA0527"/>
    <w:rsid w:val="00FA085E"/>
    <w:rsid w:val="00FA0947"/>
    <w:rsid w:val="00FA2D49"/>
    <w:rsid w:val="00FA472B"/>
    <w:rsid w:val="00FA4B52"/>
    <w:rsid w:val="00FA4D4F"/>
    <w:rsid w:val="00FA4D5B"/>
    <w:rsid w:val="00FA54E8"/>
    <w:rsid w:val="00FA6245"/>
    <w:rsid w:val="00FA786F"/>
    <w:rsid w:val="00FA7D19"/>
    <w:rsid w:val="00FA7EB3"/>
    <w:rsid w:val="00FB058F"/>
    <w:rsid w:val="00FB387C"/>
    <w:rsid w:val="00FB3C94"/>
    <w:rsid w:val="00FB48C1"/>
    <w:rsid w:val="00FB6808"/>
    <w:rsid w:val="00FB6CD0"/>
    <w:rsid w:val="00FB723C"/>
    <w:rsid w:val="00FB72B4"/>
    <w:rsid w:val="00FC0A2D"/>
    <w:rsid w:val="00FC13C8"/>
    <w:rsid w:val="00FC39F9"/>
    <w:rsid w:val="00FC59F8"/>
    <w:rsid w:val="00FC60F6"/>
    <w:rsid w:val="00FC7F43"/>
    <w:rsid w:val="00FD7D41"/>
    <w:rsid w:val="00FE0072"/>
    <w:rsid w:val="00FE0C71"/>
    <w:rsid w:val="00FE1E47"/>
    <w:rsid w:val="00FE275D"/>
    <w:rsid w:val="00FE4F1A"/>
    <w:rsid w:val="00FE65AC"/>
    <w:rsid w:val="00FE7FBD"/>
    <w:rsid w:val="00FF10BC"/>
    <w:rsid w:val="00FF5DCF"/>
    <w:rsid w:val="00FF6ADB"/>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cs="Times New Roman" w:eastAsia="宋体" w:hAnsi="Times New Roman"/>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Normal Indent" w:semiHidden="0" w:uiPriority="0" w:unhideWhenUsed="0"/>
    <w:lsdException w:name="annotation text" w:uiPriority="0"/>
    <w:lsdException w:locked="1" w:name="header" w:semiHidden="0" w:uiPriority="0" w:unhideWhenUsed="0"/>
    <w:lsdException w:locked="1" w:name="caption" w:qFormat="1" w:uiPriority="0"/>
    <w:lsdException w:name="annotation reference"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22" w:unhideWhenUsed="0"/>
    <w:lsdException w:locked="1" w:name="Emphasis" w:qFormat="1" w:semiHidden="0" w:uiPriority="0" w:unhideWhenUsed="0"/>
    <w:lsdException w:locked="1" w:name="Plain Text" w:semiHidden="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6A4828"/>
    <w:pPr>
      <w:widowControl w:val="0"/>
      <w:jc w:val="both"/>
    </w:pPr>
    <w:rPr>
      <w:kern w:val="2"/>
      <w:sz w:val="21"/>
      <w:szCs w:val="24"/>
    </w:rPr>
  </w:style>
  <w:style w:styleId="1" w:type="paragraph">
    <w:name w:val="heading 1"/>
    <w:basedOn w:val="a"/>
    <w:next w:val="a"/>
    <w:link w:val="1Char"/>
    <w:uiPriority w:val="99"/>
    <w:qFormat/>
    <w:rsid w:val="00180952"/>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6A4828"/>
    <w:pPr>
      <w:keepNext/>
      <w:keepLines/>
      <w:spacing w:after="260" w:before="260" w:line="360" w:lineRule="auto"/>
      <w:outlineLvl w:val="1"/>
    </w:pPr>
    <w:rPr>
      <w:rFonts w:ascii="Cambria" w:hAnsi="Cambria"/>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180952"/>
    <w:rPr>
      <w:b/>
      <w:kern w:val="44"/>
      <w:sz w:val="44"/>
    </w:rPr>
  </w:style>
  <w:style w:customStyle="1" w:styleId="2Char" w:type="character">
    <w:name w:val="标题 2 Char"/>
    <w:link w:val="2"/>
    <w:uiPriority w:val="99"/>
    <w:semiHidden/>
    <w:locked/>
    <w:rsid w:val="00AB1112"/>
    <w:rPr>
      <w:rFonts w:ascii="Cambria" w:eastAsia="宋体" w:hAnsi="Cambria"/>
      <w:b/>
      <w:sz w:val="32"/>
    </w:rPr>
  </w:style>
  <w:style w:styleId="a0" w:type="paragraph">
    <w:name w:val="Normal Indent"/>
    <w:basedOn w:val="a"/>
    <w:uiPriority w:val="99"/>
    <w:rsid w:val="006A4828"/>
    <w:pPr>
      <w:ind w:firstLine="420" w:firstLineChars="200"/>
    </w:pPr>
  </w:style>
  <w:style w:styleId="a4" w:type="paragraph">
    <w:name w:val="Body Text Indent"/>
    <w:basedOn w:val="a"/>
    <w:link w:val="Char"/>
    <w:uiPriority w:val="99"/>
    <w:rsid w:val="006A4828"/>
    <w:pPr>
      <w:widowControl/>
      <w:spacing w:after="100" w:afterAutospacing="1" w:before="100" w:beforeAutospacing="1"/>
      <w:jc w:val="left"/>
    </w:pPr>
    <w:rPr>
      <w:kern w:val="0"/>
      <w:sz w:val="24"/>
    </w:rPr>
  </w:style>
  <w:style w:customStyle="1" w:styleId="Char" w:type="character">
    <w:name w:val="正文文本缩进 Char"/>
    <w:link w:val="a4"/>
    <w:uiPriority w:val="99"/>
    <w:semiHidden/>
    <w:locked/>
    <w:rsid w:val="00AB1112"/>
    <w:rPr>
      <w:sz w:val="24"/>
    </w:rPr>
  </w:style>
  <w:style w:styleId="a5" w:type="paragraph">
    <w:name w:val="Plain Text"/>
    <w:basedOn w:val="a"/>
    <w:link w:val="Char0"/>
    <w:uiPriority w:val="99"/>
    <w:rsid w:val="006A4828"/>
    <w:rPr>
      <w:rFonts w:ascii="宋体" w:hAnsi="Courier New"/>
      <w:szCs w:val="21"/>
    </w:rPr>
  </w:style>
  <w:style w:customStyle="1" w:styleId="Char0" w:type="character">
    <w:name w:val="纯文本 Char"/>
    <w:link w:val="a5"/>
    <w:uiPriority w:val="99"/>
    <w:locked/>
    <w:rsid w:val="009A045B"/>
    <w:rPr>
      <w:rFonts w:ascii="宋体" w:hAnsi="Courier New"/>
      <w:kern w:val="2"/>
      <w:sz w:val="21"/>
    </w:rPr>
  </w:style>
  <w:style w:styleId="20" w:type="paragraph">
    <w:name w:val="Body Text Indent 2"/>
    <w:basedOn w:val="a"/>
    <w:link w:val="2Char0"/>
    <w:uiPriority w:val="99"/>
    <w:rsid w:val="006A4828"/>
    <w:pPr>
      <w:spacing w:line="560" w:lineRule="exact"/>
      <w:ind w:firstLine="480" w:firstLineChars="200"/>
    </w:pPr>
    <w:rPr>
      <w:kern w:val="0"/>
      <w:sz w:val="24"/>
    </w:rPr>
  </w:style>
  <w:style w:customStyle="1" w:styleId="2Char0" w:type="character">
    <w:name w:val="正文文本缩进 2 Char"/>
    <w:link w:val="20"/>
    <w:uiPriority w:val="99"/>
    <w:semiHidden/>
    <w:locked/>
    <w:rsid w:val="00AB1112"/>
    <w:rPr>
      <w:sz w:val="24"/>
    </w:rPr>
  </w:style>
  <w:style w:styleId="a6" w:type="paragraph">
    <w:name w:val="footer"/>
    <w:basedOn w:val="a"/>
    <w:link w:val="Char1"/>
    <w:uiPriority w:val="99"/>
    <w:rsid w:val="006A4828"/>
    <w:pPr>
      <w:tabs>
        <w:tab w:pos="4153" w:val="center"/>
        <w:tab w:pos="8306" w:val="right"/>
      </w:tabs>
      <w:snapToGrid w:val="0"/>
      <w:jc w:val="left"/>
    </w:pPr>
    <w:rPr>
      <w:kern w:val="0"/>
      <w:sz w:val="18"/>
      <w:szCs w:val="18"/>
    </w:rPr>
  </w:style>
  <w:style w:customStyle="1" w:styleId="Char1" w:type="character">
    <w:name w:val="页脚 Char"/>
    <w:link w:val="a6"/>
    <w:uiPriority w:val="99"/>
    <w:semiHidden/>
    <w:locked/>
    <w:rsid w:val="00AB1112"/>
    <w:rPr>
      <w:sz w:val="18"/>
    </w:rPr>
  </w:style>
  <w:style w:styleId="a7" w:type="character">
    <w:name w:val="page number"/>
    <w:uiPriority w:val="99"/>
    <w:rsid w:val="006A4828"/>
    <w:rPr>
      <w:rFonts w:cs="Times New Roman"/>
    </w:rPr>
  </w:style>
  <w:style w:styleId="a8" w:type="character">
    <w:name w:val="Hyperlink"/>
    <w:uiPriority w:val="99"/>
    <w:rsid w:val="006A4828"/>
    <w:rPr>
      <w:rFonts w:cs="Times New Roman"/>
      <w:color w:val="0000FF"/>
      <w:u w:val="single"/>
    </w:rPr>
  </w:style>
  <w:style w:styleId="3" w:type="paragraph">
    <w:name w:val="Body Text Indent 3"/>
    <w:basedOn w:val="a"/>
    <w:link w:val="3Char"/>
    <w:uiPriority w:val="99"/>
    <w:rsid w:val="006A4828"/>
    <w:pPr>
      <w:spacing w:line="560" w:lineRule="exact"/>
      <w:ind w:firstLine="420" w:firstLineChars="200"/>
    </w:pPr>
    <w:rPr>
      <w:kern w:val="0"/>
      <w:sz w:val="16"/>
      <w:szCs w:val="16"/>
    </w:rPr>
  </w:style>
  <w:style w:customStyle="1" w:styleId="3Char" w:type="character">
    <w:name w:val="正文文本缩进 3 Char"/>
    <w:link w:val="3"/>
    <w:uiPriority w:val="99"/>
    <w:semiHidden/>
    <w:locked/>
    <w:rsid w:val="00AB1112"/>
    <w:rPr>
      <w:sz w:val="16"/>
    </w:rPr>
  </w:style>
  <w:style w:styleId="a9" w:type="paragraph">
    <w:name w:val="header"/>
    <w:basedOn w:val="a"/>
    <w:link w:val="Char2"/>
    <w:uiPriority w:val="99"/>
    <w:rsid w:val="006A4828"/>
    <w:pPr>
      <w:pBdr>
        <w:bottom w:color="auto" w:space="1" w:sz="6" w:val="single"/>
      </w:pBdr>
      <w:tabs>
        <w:tab w:pos="4153" w:val="center"/>
        <w:tab w:pos="8306" w:val="right"/>
      </w:tabs>
      <w:snapToGrid w:val="0"/>
      <w:jc w:val="center"/>
    </w:pPr>
    <w:rPr>
      <w:sz w:val="18"/>
      <w:szCs w:val="18"/>
    </w:rPr>
  </w:style>
  <w:style w:customStyle="1" w:styleId="Char2" w:type="character">
    <w:name w:val="页眉 Char"/>
    <w:link w:val="a9"/>
    <w:uiPriority w:val="99"/>
    <w:locked/>
    <w:rsid w:val="001207F2"/>
    <w:rPr>
      <w:kern w:val="2"/>
      <w:sz w:val="18"/>
    </w:rPr>
  </w:style>
  <w:style w:customStyle="1" w:styleId="10" w:type="character">
    <w:name w:val="已访问的超链接1"/>
    <w:uiPriority w:val="99"/>
    <w:rsid w:val="006A4828"/>
    <w:rPr>
      <w:color w:val="800080"/>
      <w:u w:val="single"/>
    </w:rPr>
  </w:style>
  <w:style w:styleId="aa" w:type="paragraph">
    <w:name w:val="List"/>
    <w:basedOn w:val="ab"/>
    <w:uiPriority w:val="99"/>
    <w:rsid w:val="006A4828"/>
    <w:pPr>
      <w:spacing w:after="220" w:line="220" w:lineRule="atLeast"/>
      <w:ind w:hanging="360" w:left="1440"/>
    </w:pPr>
    <w:rPr>
      <w:szCs w:val="20"/>
    </w:rPr>
  </w:style>
  <w:style w:styleId="ab" w:type="paragraph">
    <w:name w:val="Body Text"/>
    <w:basedOn w:val="a"/>
    <w:link w:val="Char3"/>
    <w:uiPriority w:val="99"/>
    <w:rsid w:val="006A4828"/>
    <w:pPr>
      <w:spacing w:after="120"/>
    </w:pPr>
    <w:rPr>
      <w:kern w:val="0"/>
      <w:sz w:val="24"/>
    </w:rPr>
  </w:style>
  <w:style w:customStyle="1" w:styleId="Char3" w:type="character">
    <w:name w:val="正文文本 Char"/>
    <w:link w:val="ab"/>
    <w:uiPriority w:val="99"/>
    <w:semiHidden/>
    <w:locked/>
    <w:rsid w:val="00AB1112"/>
    <w:rPr>
      <w:sz w:val="24"/>
    </w:rPr>
  </w:style>
  <w:style w:styleId="ac" w:type="paragraph">
    <w:name w:val="Date"/>
    <w:basedOn w:val="a"/>
    <w:next w:val="a"/>
    <w:link w:val="Char4"/>
    <w:uiPriority w:val="99"/>
    <w:rsid w:val="006A4828"/>
    <w:rPr>
      <w:sz w:val="24"/>
      <w:szCs w:val="20"/>
    </w:rPr>
  </w:style>
  <w:style w:customStyle="1" w:styleId="Char4" w:type="character">
    <w:name w:val="日期 Char"/>
    <w:link w:val="ac"/>
    <w:uiPriority w:val="99"/>
    <w:locked/>
    <w:rsid w:val="00D66685"/>
    <w:rPr>
      <w:kern w:val="2"/>
      <w:sz w:val="24"/>
    </w:rPr>
  </w:style>
  <w:style w:customStyle="1" w:styleId="c1" w:type="character">
    <w:name w:val="c1"/>
    <w:uiPriority w:val="99"/>
    <w:rsid w:val="006A4828"/>
    <w:rPr>
      <w:color w:val="000000"/>
      <w:sz w:val="18"/>
    </w:rPr>
  </w:style>
  <w:style w:styleId="11" w:type="paragraph">
    <w:name w:val="index 1"/>
    <w:basedOn w:val="a"/>
    <w:next w:val="a"/>
    <w:autoRedefine/>
    <w:uiPriority w:val="99"/>
    <w:semiHidden/>
    <w:rsid w:val="006A4828"/>
    <w:pPr>
      <w:jc w:val="right"/>
    </w:pPr>
    <w:rPr>
      <w:color w:val="008000"/>
    </w:rPr>
  </w:style>
  <w:style w:customStyle="1" w:styleId="font5" w:type="paragraph">
    <w:name w:val="font5"/>
    <w:basedOn w:val="a"/>
    <w:uiPriority w:val="99"/>
    <w:rsid w:val="006A4828"/>
    <w:pPr>
      <w:widowControl/>
      <w:spacing w:after="100" w:afterAutospacing="1" w:before="100" w:beforeAutospacing="1"/>
      <w:jc w:val="left"/>
    </w:pPr>
    <w:rPr>
      <w:rFonts w:ascii="宋体" w:cs="Arial Unicode MS" w:hAnsi="宋体"/>
      <w:kern w:val="0"/>
      <w:sz w:val="18"/>
      <w:szCs w:val="18"/>
    </w:rPr>
  </w:style>
  <w:style w:customStyle="1" w:styleId="xl24" w:type="paragraph">
    <w:name w:val="xl24"/>
    <w:basedOn w:val="a"/>
    <w:uiPriority w:val="99"/>
    <w:rsid w:val="006A4828"/>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rPr>
  </w:style>
  <w:style w:customStyle="1" w:styleId="xl26" w:type="paragraph">
    <w:name w:val="xl26"/>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7" w:type="paragraph">
    <w:name w:val="xl27"/>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9" w:type="paragraph">
    <w:name w:val="xl29"/>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0" w:type="paragraph">
    <w:name w:val="xl30"/>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1" w:type="paragraph">
    <w:name w:val="xl31"/>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d" w:type="paragraph">
    <w:name w:val="Balloon Text"/>
    <w:basedOn w:val="a"/>
    <w:link w:val="Char5"/>
    <w:uiPriority w:val="99"/>
    <w:semiHidden/>
    <w:rsid w:val="006A4828"/>
    <w:rPr>
      <w:kern w:val="0"/>
      <w:sz w:val="2"/>
      <w:szCs w:val="20"/>
    </w:rPr>
  </w:style>
  <w:style w:customStyle="1" w:styleId="Char5" w:type="character">
    <w:name w:val="批注框文本 Char"/>
    <w:link w:val="ad"/>
    <w:uiPriority w:val="99"/>
    <w:semiHidden/>
    <w:locked/>
    <w:rsid w:val="00AB1112"/>
    <w:rPr>
      <w:sz w:val="2"/>
    </w:rPr>
  </w:style>
  <w:style w:styleId="ae" w:type="character">
    <w:name w:val="annotation reference"/>
    <w:semiHidden/>
    <w:rsid w:val="006A4828"/>
    <w:rPr>
      <w:rFonts w:cs="Times New Roman"/>
      <w:sz w:val="21"/>
    </w:rPr>
  </w:style>
  <w:style w:styleId="af" w:type="paragraph">
    <w:name w:val="annotation text"/>
    <w:basedOn w:val="a"/>
    <w:link w:val="Char6"/>
    <w:semiHidden/>
    <w:rsid w:val="006A4828"/>
    <w:pPr>
      <w:jc w:val="left"/>
    </w:pPr>
    <w:rPr>
      <w:kern w:val="0"/>
      <w:sz w:val="24"/>
    </w:rPr>
  </w:style>
  <w:style w:customStyle="1" w:styleId="Char6" w:type="character">
    <w:name w:val="批注文字 Char"/>
    <w:link w:val="af"/>
    <w:uiPriority w:val="99"/>
    <w:semiHidden/>
    <w:locked/>
    <w:rsid w:val="00AB1112"/>
    <w:rPr>
      <w:sz w:val="24"/>
    </w:rPr>
  </w:style>
  <w:style w:styleId="af0" w:type="paragraph">
    <w:name w:val="annotation subject"/>
    <w:basedOn w:val="af"/>
    <w:next w:val="af"/>
    <w:link w:val="Char7"/>
    <w:uiPriority w:val="99"/>
    <w:semiHidden/>
    <w:rsid w:val="006A4828"/>
    <w:rPr>
      <w:b/>
      <w:bCs/>
    </w:rPr>
  </w:style>
  <w:style w:customStyle="1" w:styleId="Char7" w:type="character">
    <w:name w:val="批注主题 Char"/>
    <w:link w:val="af0"/>
    <w:uiPriority w:val="99"/>
    <w:semiHidden/>
    <w:locked/>
    <w:rsid w:val="00AB1112"/>
    <w:rPr>
      <w:b/>
      <w:sz w:val="24"/>
    </w:rPr>
  </w:style>
  <w:style w:customStyle="1" w:styleId="Char8" w:type="paragraph">
    <w:name w:val="Char"/>
    <w:basedOn w:val="a"/>
    <w:uiPriority w:val="99"/>
    <w:rsid w:val="006A4828"/>
  </w:style>
  <w:style w:styleId="af1" w:type="paragraph">
    <w:name w:val="Document Map"/>
    <w:basedOn w:val="a"/>
    <w:link w:val="Char9"/>
    <w:uiPriority w:val="99"/>
    <w:semiHidden/>
    <w:rsid w:val="000A549A"/>
    <w:pPr>
      <w:shd w:color="auto" w:fill="000080" w:val="clear"/>
    </w:pPr>
    <w:rPr>
      <w:kern w:val="0"/>
      <w:sz w:val="2"/>
      <w:szCs w:val="20"/>
    </w:rPr>
  </w:style>
  <w:style w:customStyle="1" w:styleId="Char9" w:type="character">
    <w:name w:val="文档结构图 Char"/>
    <w:link w:val="af1"/>
    <w:uiPriority w:val="99"/>
    <w:semiHidden/>
    <w:locked/>
    <w:rsid w:val="00AB1112"/>
    <w:rPr>
      <w:sz w:val="2"/>
    </w:rPr>
  </w:style>
  <w:style w:styleId="af2" w:type="table">
    <w:name w:val="Table Grid"/>
    <w:basedOn w:val="a2"/>
    <w:qFormat/>
    <w:rsid w:val="009A31AF"/>
    <w:pPr>
      <w:widowControl w:val="0"/>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af3" w:type="paragraph">
    <w:name w:val="footnote text"/>
    <w:basedOn w:val="a"/>
    <w:link w:val="Chara"/>
    <w:uiPriority w:val="99"/>
    <w:rsid w:val="000B251E"/>
    <w:pPr>
      <w:snapToGrid w:val="0"/>
      <w:jc w:val="left"/>
    </w:pPr>
    <w:rPr>
      <w:sz w:val="18"/>
      <w:szCs w:val="18"/>
    </w:rPr>
  </w:style>
  <w:style w:customStyle="1" w:styleId="Chara" w:type="character">
    <w:name w:val="脚注文本 Char"/>
    <w:link w:val="af3"/>
    <w:uiPriority w:val="99"/>
    <w:locked/>
    <w:rsid w:val="00CB481C"/>
    <w:rPr>
      <w:kern w:val="2"/>
      <w:sz w:val="18"/>
    </w:rPr>
  </w:style>
  <w:style w:styleId="af4" w:type="character">
    <w:name w:val="footnote reference"/>
    <w:uiPriority w:val="99"/>
    <w:rsid w:val="000B251E"/>
    <w:rPr>
      <w:rFonts w:cs="Times New Roman"/>
      <w:vertAlign w:val="superscript"/>
    </w:rPr>
  </w:style>
  <w:style w:styleId="af5" w:type="paragraph">
    <w:name w:val="Normal (Web)"/>
    <w:basedOn w:val="a"/>
    <w:uiPriority w:val="99"/>
    <w:rsid w:val="00B25807"/>
    <w:pPr>
      <w:widowControl/>
      <w:spacing w:after="100" w:afterAutospacing="1" w:before="100" w:beforeAutospacing="1"/>
      <w:jc w:val="left"/>
    </w:pPr>
    <w:rPr>
      <w:rFonts w:ascii="宋体" w:hAnsi="宋体"/>
      <w:kern w:val="0"/>
      <w:sz w:val="24"/>
    </w:rPr>
  </w:style>
  <w:style w:customStyle="1" w:styleId="Char10" w:type="paragraph">
    <w:name w:val="Char1"/>
    <w:basedOn w:val="a"/>
    <w:uiPriority w:val="99"/>
    <w:rsid w:val="00D97213"/>
  </w:style>
  <w:style w:customStyle="1" w:styleId="t1" w:type="character">
    <w:name w:val="t1"/>
    <w:uiPriority w:val="99"/>
    <w:rsid w:val="002D2A00"/>
    <w:rPr>
      <w:color w:val="990000"/>
    </w:rPr>
  </w:style>
  <w:style w:customStyle="1" w:styleId="Default" w:type="paragraph">
    <w:name w:val="Default"/>
    <w:uiPriority w:val="99"/>
    <w:rsid w:val="00CB481C"/>
    <w:pPr>
      <w:widowControl w:val="0"/>
      <w:autoSpaceDE w:val="0"/>
      <w:autoSpaceDN w:val="0"/>
      <w:adjustRightInd w:val="0"/>
    </w:pPr>
    <w:rPr>
      <w:rFonts w:ascii="FangSong" w:cs="FangSong" w:hAnsi="FangSong"/>
      <w:color w:val="000000"/>
      <w:sz w:val="24"/>
      <w:szCs w:val="24"/>
    </w:rPr>
  </w:style>
  <w:style w:customStyle="1" w:styleId="5" w:type="numbering">
    <w:name w:val="样式5"/>
    <w:rsid w:val="00C00FED"/>
    <w:pPr>
      <w:numPr>
        <w:numId w:val="8"/>
      </w:numPr>
    </w:pPr>
  </w:style>
  <w:style w:styleId="af6" w:type="character">
    <w:name w:val="Strong"/>
    <w:uiPriority w:val="22"/>
    <w:qFormat/>
    <w:locked/>
    <w:rsid w:val="00AE248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Char">
    <w:name w:val="5"/>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021212">
      <w:bodyDiv w:val="1"/>
      <w:marLeft w:val="0"/>
      <w:marRight w:val="0"/>
      <w:marTop w:val="0"/>
      <w:marBottom w:val="0"/>
      <w:divBdr>
        <w:top w:val="none" w:sz="0" w:space="0" w:color="auto"/>
        <w:left w:val="none" w:sz="0" w:space="0" w:color="auto"/>
        <w:bottom w:val="none" w:sz="0" w:space="0" w:color="auto"/>
        <w:right w:val="none" w:sz="0" w:space="0" w:color="auto"/>
      </w:divBdr>
    </w:div>
    <w:div w:id="888423083">
      <w:marLeft w:val="0"/>
      <w:marRight w:val="0"/>
      <w:marTop w:val="0"/>
      <w:marBottom w:val="0"/>
      <w:divBdr>
        <w:top w:val="none" w:sz="0" w:space="0" w:color="auto"/>
        <w:left w:val="none" w:sz="0" w:space="0" w:color="auto"/>
        <w:bottom w:val="none" w:sz="0" w:space="0" w:color="auto"/>
        <w:right w:val="none" w:sz="0" w:space="0" w:color="auto"/>
      </w:divBdr>
    </w:div>
    <w:div w:id="888423084">
      <w:marLeft w:val="0"/>
      <w:marRight w:val="0"/>
      <w:marTop w:val="0"/>
      <w:marBottom w:val="0"/>
      <w:divBdr>
        <w:top w:val="none" w:sz="0" w:space="0" w:color="auto"/>
        <w:left w:val="none" w:sz="0" w:space="0" w:color="auto"/>
        <w:bottom w:val="none" w:sz="0" w:space="0" w:color="auto"/>
        <w:right w:val="none" w:sz="0" w:space="0" w:color="auto"/>
      </w:divBdr>
    </w:div>
    <w:div w:id="888423085">
      <w:marLeft w:val="0"/>
      <w:marRight w:val="0"/>
      <w:marTop w:val="0"/>
      <w:marBottom w:val="0"/>
      <w:divBdr>
        <w:top w:val="none" w:sz="0" w:space="0" w:color="auto"/>
        <w:left w:val="none" w:sz="0" w:space="0" w:color="auto"/>
        <w:bottom w:val="none" w:sz="0" w:space="0" w:color="auto"/>
        <w:right w:val="none" w:sz="0" w:space="0" w:color="auto"/>
      </w:divBdr>
    </w:div>
    <w:div w:id="888423086">
      <w:marLeft w:val="0"/>
      <w:marRight w:val="0"/>
      <w:marTop w:val="0"/>
      <w:marBottom w:val="0"/>
      <w:divBdr>
        <w:top w:val="none" w:sz="0" w:space="0" w:color="auto"/>
        <w:left w:val="none" w:sz="0" w:space="0" w:color="auto"/>
        <w:bottom w:val="none" w:sz="0" w:space="0" w:color="auto"/>
        <w:right w:val="none" w:sz="0" w:space="0" w:color="auto"/>
      </w:divBdr>
    </w:div>
    <w:div w:id="888423087">
      <w:marLeft w:val="0"/>
      <w:marRight w:val="0"/>
      <w:marTop w:val="0"/>
      <w:marBottom w:val="0"/>
      <w:divBdr>
        <w:top w:val="none" w:sz="0" w:space="0" w:color="auto"/>
        <w:left w:val="none" w:sz="0" w:space="0" w:color="auto"/>
        <w:bottom w:val="none" w:sz="0" w:space="0" w:color="auto"/>
        <w:right w:val="none" w:sz="0" w:space="0" w:color="auto"/>
      </w:divBdr>
    </w:div>
    <w:div w:id="888423088">
      <w:marLeft w:val="0"/>
      <w:marRight w:val="0"/>
      <w:marTop w:val="0"/>
      <w:marBottom w:val="0"/>
      <w:divBdr>
        <w:top w:val="none" w:sz="0" w:space="0" w:color="auto"/>
        <w:left w:val="none" w:sz="0" w:space="0" w:color="auto"/>
        <w:bottom w:val="none" w:sz="0" w:space="0" w:color="auto"/>
        <w:right w:val="none" w:sz="0" w:space="0" w:color="auto"/>
      </w:divBdr>
    </w:div>
    <w:div w:id="888423089">
      <w:marLeft w:val="0"/>
      <w:marRight w:val="0"/>
      <w:marTop w:val="0"/>
      <w:marBottom w:val="0"/>
      <w:divBdr>
        <w:top w:val="none" w:sz="0" w:space="0" w:color="auto"/>
        <w:left w:val="none" w:sz="0" w:space="0" w:color="auto"/>
        <w:bottom w:val="none" w:sz="0" w:space="0" w:color="auto"/>
        <w:right w:val="none" w:sz="0" w:space="0" w:color="auto"/>
      </w:divBdr>
    </w:div>
    <w:div w:id="888423090">
      <w:marLeft w:val="0"/>
      <w:marRight w:val="0"/>
      <w:marTop w:val="0"/>
      <w:marBottom w:val="0"/>
      <w:divBdr>
        <w:top w:val="none" w:sz="0" w:space="0" w:color="auto"/>
        <w:left w:val="none" w:sz="0" w:space="0" w:color="auto"/>
        <w:bottom w:val="none" w:sz="0" w:space="0" w:color="auto"/>
        <w:right w:val="none" w:sz="0" w:space="0" w:color="auto"/>
      </w:divBdr>
    </w:div>
    <w:div w:id="888423091">
      <w:marLeft w:val="0"/>
      <w:marRight w:val="0"/>
      <w:marTop w:val="0"/>
      <w:marBottom w:val="0"/>
      <w:divBdr>
        <w:top w:val="none" w:sz="0" w:space="0" w:color="auto"/>
        <w:left w:val="none" w:sz="0" w:space="0" w:color="auto"/>
        <w:bottom w:val="none" w:sz="0" w:space="0" w:color="auto"/>
        <w:right w:val="none" w:sz="0" w:space="0" w:color="auto"/>
      </w:divBdr>
    </w:div>
    <w:div w:id="888423092">
      <w:marLeft w:val="0"/>
      <w:marRight w:val="0"/>
      <w:marTop w:val="0"/>
      <w:marBottom w:val="0"/>
      <w:divBdr>
        <w:top w:val="none" w:sz="0" w:space="0" w:color="auto"/>
        <w:left w:val="none" w:sz="0" w:space="0" w:color="auto"/>
        <w:bottom w:val="none" w:sz="0" w:space="0" w:color="auto"/>
        <w:right w:val="none" w:sz="0" w:space="0" w:color="auto"/>
      </w:divBdr>
    </w:div>
    <w:div w:id="888423093">
      <w:marLeft w:val="0"/>
      <w:marRight w:val="0"/>
      <w:marTop w:val="0"/>
      <w:marBottom w:val="0"/>
      <w:divBdr>
        <w:top w:val="none" w:sz="0" w:space="0" w:color="auto"/>
        <w:left w:val="none" w:sz="0" w:space="0" w:color="auto"/>
        <w:bottom w:val="none" w:sz="0" w:space="0" w:color="auto"/>
        <w:right w:val="none" w:sz="0" w:space="0" w:color="auto"/>
      </w:divBdr>
    </w:div>
    <w:div w:id="888423095">
      <w:marLeft w:val="0"/>
      <w:marRight w:val="0"/>
      <w:marTop w:val="0"/>
      <w:marBottom w:val="0"/>
      <w:divBdr>
        <w:top w:val="none" w:sz="0" w:space="0" w:color="auto"/>
        <w:left w:val="none" w:sz="0" w:space="0" w:color="auto"/>
        <w:bottom w:val="none" w:sz="0" w:space="0" w:color="auto"/>
        <w:right w:val="none" w:sz="0" w:space="0" w:color="auto"/>
      </w:divBdr>
    </w:div>
    <w:div w:id="888423096">
      <w:marLeft w:val="0"/>
      <w:marRight w:val="0"/>
      <w:marTop w:val="0"/>
      <w:marBottom w:val="0"/>
      <w:divBdr>
        <w:top w:val="none" w:sz="0" w:space="0" w:color="auto"/>
        <w:left w:val="none" w:sz="0" w:space="0" w:color="auto"/>
        <w:bottom w:val="none" w:sz="0" w:space="0" w:color="auto"/>
        <w:right w:val="none" w:sz="0" w:space="0" w:color="auto"/>
      </w:divBdr>
    </w:div>
    <w:div w:id="888423097">
      <w:marLeft w:val="0"/>
      <w:marRight w:val="0"/>
      <w:marTop w:val="0"/>
      <w:marBottom w:val="0"/>
      <w:divBdr>
        <w:top w:val="none" w:sz="0" w:space="0" w:color="auto"/>
        <w:left w:val="none" w:sz="0" w:space="0" w:color="auto"/>
        <w:bottom w:val="none" w:sz="0" w:space="0" w:color="auto"/>
        <w:right w:val="none" w:sz="0" w:space="0" w:color="auto"/>
      </w:divBdr>
    </w:div>
    <w:div w:id="888423098">
      <w:marLeft w:val="0"/>
      <w:marRight w:val="0"/>
      <w:marTop w:val="0"/>
      <w:marBottom w:val="0"/>
      <w:divBdr>
        <w:top w:val="none" w:sz="0" w:space="0" w:color="auto"/>
        <w:left w:val="none" w:sz="0" w:space="0" w:color="auto"/>
        <w:bottom w:val="none" w:sz="0" w:space="0" w:color="auto"/>
        <w:right w:val="none" w:sz="0" w:space="0" w:color="auto"/>
      </w:divBdr>
    </w:div>
    <w:div w:id="888423099">
      <w:marLeft w:val="0"/>
      <w:marRight w:val="0"/>
      <w:marTop w:val="0"/>
      <w:marBottom w:val="0"/>
      <w:divBdr>
        <w:top w:val="none" w:sz="0" w:space="0" w:color="auto"/>
        <w:left w:val="none" w:sz="0" w:space="0" w:color="auto"/>
        <w:bottom w:val="none" w:sz="0" w:space="0" w:color="auto"/>
        <w:right w:val="none" w:sz="0" w:space="0" w:color="auto"/>
      </w:divBdr>
    </w:div>
    <w:div w:id="888423100">
      <w:marLeft w:val="150"/>
      <w:marRight w:val="150"/>
      <w:marTop w:val="150"/>
      <w:marBottom w:val="150"/>
      <w:divBdr>
        <w:top w:val="none" w:sz="0" w:space="0" w:color="auto"/>
        <w:left w:val="none" w:sz="0" w:space="0" w:color="auto"/>
        <w:bottom w:val="none" w:sz="0" w:space="0" w:color="auto"/>
        <w:right w:val="none" w:sz="0" w:space="0" w:color="auto"/>
      </w:divBdr>
      <w:divsChild>
        <w:div w:id="888423094">
          <w:marLeft w:val="0"/>
          <w:marRight w:val="0"/>
          <w:marTop w:val="0"/>
          <w:marBottom w:val="0"/>
          <w:divBdr>
            <w:top w:val="none" w:sz="0" w:space="0" w:color="auto"/>
            <w:left w:val="none" w:sz="0" w:space="0" w:color="auto"/>
            <w:bottom w:val="none" w:sz="0" w:space="0" w:color="auto"/>
            <w:right w:val="none" w:sz="0" w:space="0" w:color="auto"/>
          </w:divBdr>
        </w:div>
      </w:divsChild>
    </w:div>
    <w:div w:id="1691950885">
      <w:bodyDiv w:val="1"/>
      <w:marLeft w:val="0"/>
      <w:marRight w:val="0"/>
      <w:marTop w:val="0"/>
      <w:marBottom w:val="0"/>
      <w:divBdr>
        <w:top w:val="none" w:sz="0" w:space="0" w:color="auto"/>
        <w:left w:val="none" w:sz="0" w:space="0" w:color="auto"/>
        <w:bottom w:val="none" w:sz="0" w:space="0" w:color="auto"/>
        <w:right w:val="none" w:sz="0" w:space="0" w:color="auto"/>
      </w:divBdr>
    </w:div>
    <w:div w:id="1704014345">
      <w:bodyDiv w:val="1"/>
      <w:marLeft w:val="0"/>
      <w:marRight w:val="0"/>
      <w:marTop w:val="0"/>
      <w:marBottom w:val="0"/>
      <w:divBdr>
        <w:top w:val="none" w:sz="0" w:space="0" w:color="auto"/>
        <w:left w:val="none" w:sz="0" w:space="0" w:color="auto"/>
        <w:bottom w:val="none" w:sz="0" w:space="0" w:color="auto"/>
        <w:right w:val="none" w:sz="0" w:space="0" w:color="auto"/>
      </w:divBdr>
    </w:div>
    <w:div w:id="1712071077">
      <w:bodyDiv w:val="1"/>
      <w:marLeft w:val="0"/>
      <w:marRight w:val="0"/>
      <w:marTop w:val="0"/>
      <w:marBottom w:val="0"/>
      <w:divBdr>
        <w:top w:val="none" w:sz="0" w:space="0" w:color="auto"/>
        <w:left w:val="none" w:sz="0" w:space="0" w:color="auto"/>
        <w:bottom w:val="none" w:sz="0" w:space="0" w:color="auto"/>
        <w:right w:val="none" w:sz="0" w:space="0" w:color="auto"/>
      </w:divBdr>
    </w:div>
    <w:div w:id="179405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10" Target="media/image1.jpeg" Type="http://schemas.openxmlformats.org/officeDocument/2006/relationships/image"/>
<Relationship Id="rId11" Target="media/image2.jpeg" Type="http://schemas.openxmlformats.org/officeDocument/2006/relationships/image"/>
<Relationship Id="rId12" Target="footer2.xml" Type="http://schemas.openxmlformats.org/officeDocument/2006/relationships/footer"/>
<Relationship Id="rId13" Target="footer3.xml" Type="http://schemas.openxmlformats.org/officeDocument/2006/relationships/footer"/>
<Relationship Id="rId14" Target="fontTable.xml" Type="http://schemas.openxmlformats.org/officeDocument/2006/relationships/fontTable"/>
<Relationship Id="rId15" Target="theme/theme1.xml" Type="http://schemas.openxmlformats.org/officeDocument/2006/relationships/theme"/>
<Relationship Id="rId2" Target="styles.xml" Type="http://schemas.openxmlformats.org/officeDocument/2006/relationships/styles"/>
<Relationship Id="rId3" Target="stylesWithEffects.xml" Type="http://schemas.microsoft.com/office/2007/relationships/stylesWithEffect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eader1.xml" Type="http://schemas.openxmlformats.org/officeDocument/2006/relationships/header"/>
<Relationship Id="rId9" Target="footer1.xml" Type="http://schemas.openxmlformats.org/officeDocument/2006/relationships/footer"/>
</Relationships>

</file>

<file path=word/_rels/settings.xml.rels><?xml version="1.0" encoding="UTF-8" standalone="no"?>
<Relationships xmlns="http://schemas.openxmlformats.org/package/2006/relationships">
<Relationship Id="rId1" Target="file:///C:/Users/Administrator/Desktop/abc&#23395;&#25253;.dot" TargetMode="External" Type="http://schemas.openxmlformats.org/officeDocument/2006/relationships/attachedTemplat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abc季报.dot</Template>
  <TotalTime>407</TotalTime>
  <Pages>29</Pages>
  <Words>4352</Words>
  <Characters>24809</Characters>
  <Application>Microsoft Office Word</Application>
  <DocSecurity>0</DocSecurity>
  <Lines>206</Lines>
  <Paragraphs>58</Paragraphs>
  <ScaleCrop>false</ScaleCrop>
  <Company>TRT. Ltd. Co.</Company>
  <LinksUpToDate>false</LinksUpToDate>
  <CharactersWithSpaces>29103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2013-06-21T06:56:00Z</dcterms:created>
  <dc:creator>bonnieliu</dc:creator>
  <cp:lastModifiedBy>swinghan</cp:lastModifiedBy>
  <cp:lastPrinted>2007-07-19T00:46:00Z</cp:lastPrinted>
  <dcterms:modified xsi:type="dcterms:W3CDTF">2020-06-21T03:01:00Z</dcterms:modified>
  <cp:revision>173</cp:revision>
</cp:coreProperties>
</file>