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易方达国企改革混合型证券投资基金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易方达国企改革混合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001382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001382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2017年8月23日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55,897,486.45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政策分析，综合考虑宏观经济环境、政策形势、市场估值与流动性等因素，关注国家宏观经济与产业经济层面相关改革政策的政策导向及其变化对市场和相关产业的影响。股票投资方面，本基金将采取自上而下的政策跟踪和分析，结合自下而上的国企改革事件分析、基本面评价及估值分析，优选受益于国有企业改革或在全面深化国企改革推动下预期盈利水平将显著提升的上市公司。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中证国有企业改革指数收益率×80%+一年期人民币定期存款利率（税后）×20%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4,136,589.48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20,965,448.36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0.3343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89,234,024.68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1.596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26.07%</w:t>
            </w:r>
          </w:p>
        </w:tc>
        <w:tc>
          <w:tcPr>
            <w:vAlign w:val="center"/>
          </w:tcPr>
          <w:p>
            <w:pPr>
              <w:jc w:val="center"/>
            </w:pPr>
            <w:r>
              <w:rPr>
                <w:color w:val="000000"/>
                <w:kern w:val="0"/>
                <w:sz w:val="24"/>
                <w:szCs w:val="24"/>
              </w:rPr>
              <w:t>1.15%</w:t>
            </w:r>
          </w:p>
        </w:tc>
        <w:tc>
          <w:tcPr>
            <w:vAlign w:val="center"/>
          </w:tcPr>
          <w:p>
            <w:pPr>
              <w:jc w:val="center"/>
            </w:pPr>
            <w:r>
              <w:rPr>
                <w:color w:val="000000"/>
                <w:kern w:val="0"/>
                <w:sz w:val="24"/>
                <w:szCs w:val="24"/>
              </w:rPr>
              <w:t>10.19%</w:t>
            </w:r>
          </w:p>
        </w:tc>
        <w:tc>
          <w:tcPr>
            <w:vAlign w:val="center"/>
          </w:tcPr>
          <w:p>
            <w:pPr>
              <w:jc w:val="center"/>
            </w:pPr>
            <w:r>
              <w:rPr>
                <w:color w:val="000000"/>
                <w:kern w:val="0"/>
                <w:sz w:val="24"/>
                <w:szCs w:val="24"/>
              </w:rPr>
              <w:t>0.77%</w:t>
            </w:r>
          </w:p>
        </w:tc>
        <w:tc>
          <w:tcPr>
            <w:vAlign w:val="center"/>
          </w:tcPr>
          <w:p>
            <w:pPr>
              <w:jc w:val="center"/>
            </w:pPr>
            <w:r>
              <w:rPr>
                <w:color w:val="000000"/>
                <w:kern w:val="0"/>
                <w:sz w:val="24"/>
                <w:szCs w:val="24"/>
              </w:rPr>
              <w:t>15.88%</w:t>
            </w:r>
          </w:p>
        </w:tc>
        <w:tc>
          <w:tcPr>
            <w:vAlign w:val="center"/>
          </w:tcPr>
          <w:p>
            <w:pPr>
              <w:jc w:val="center"/>
            </w:pPr>
            <w:r>
              <w:rPr>
                <w:color w:val="000000"/>
                <w:kern w:val="0"/>
                <w:sz w:val="24"/>
                <w:szCs w:val="24"/>
              </w:rPr>
              <w:t>0.38%</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13.92%</w:t>
            </w:r>
          </w:p>
        </w:tc>
        <w:tc>
          <w:tcPr>
            <w:vAlign w:val="center"/>
          </w:tcPr>
          <w:p>
            <w:pPr>
              <w:jc w:val="center"/>
            </w:pPr>
            <w:r>
              <w:rPr>
                <w:color w:val="000000"/>
                <w:kern w:val="0"/>
                <w:sz w:val="24"/>
                <w:szCs w:val="24"/>
              </w:rPr>
              <w:t>1.72%</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1.27%</w:t>
            </w:r>
          </w:p>
        </w:tc>
        <w:tc>
          <w:tcPr>
            <w:vAlign w:val="center"/>
          </w:tcPr>
          <w:p>
            <w:pPr>
              <w:jc w:val="center"/>
            </w:pPr>
            <w:r>
              <w:rPr>
                <w:color w:val="000000"/>
                <w:kern w:val="0"/>
                <w:sz w:val="24"/>
                <w:szCs w:val="24"/>
              </w:rPr>
              <w:t>12.36%</w:t>
            </w:r>
          </w:p>
        </w:tc>
        <w:tc>
          <w:tcPr>
            <w:vAlign w:val="center"/>
          </w:tcPr>
          <w:p>
            <w:pPr>
              <w:jc w:val="center"/>
            </w:pPr>
            <w:r>
              <w:rPr>
                <w:color w:val="000000"/>
                <w:kern w:val="0"/>
                <w:sz w:val="24"/>
                <w:szCs w:val="24"/>
              </w:rPr>
              <w:t>0.45%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26.77%</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7.49%</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19.28%</w:t>
            </w:r>
          </w:p>
        </w:tc>
        <w:tc>
          <w:tcPr>
            <w:vAlign w:val="center"/>
          </w:tcPr>
          <w:p>
            <w:pPr>
              <w:jc w:val="center"/>
            </w:pPr>
            <w:r>
              <w:rPr>
                <w:color w:val="000000"/>
                <w:kern w:val="0"/>
                <w:sz w:val="24"/>
                <w:szCs w:val="24"/>
              </w:rPr>
              <w:t>0.36%</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59.60%</w:t>
            </w:r>
          </w:p>
        </w:tc>
        <w:tc>
          <w:tcPr>
            <w:vAlign w:val="center"/>
          </w:tcPr>
          <w:p>
            <w:pPr>
              <w:jc w:val="center"/>
            </w:pPr>
            <w:r>
              <w:rPr>
                <w:color w:val="000000"/>
                <w:kern w:val="0"/>
                <w:sz w:val="24"/>
                <w:szCs w:val="24"/>
              </w:rPr>
              <w:t>1.55%</w:t>
            </w:r>
          </w:p>
        </w:tc>
        <w:tc>
          <w:tcPr>
            <w:vAlign w:val="center"/>
          </w:tcPr>
          <w:p>
            <w:pPr>
              <w:jc w:val="center"/>
            </w:pPr>
            <w:r>
              <w:rPr>
                <w:color w:val="000000"/>
                <w:kern w:val="0"/>
                <w:sz w:val="24"/>
                <w:szCs w:val="24"/>
              </w:rPr>
              <w:t>3.22%</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56.38%</w:t>
            </w:r>
          </w:p>
        </w:tc>
        <w:tc>
          <w:tcPr>
            <w:vAlign w:val="center"/>
          </w:tcPr>
          <w:p>
            <w:pPr>
              <w:jc w:val="center"/>
            </w:pPr>
            <w:r>
              <w:rPr>
                <w:color w:val="000000"/>
                <w:kern w:val="0"/>
                <w:sz w:val="24"/>
                <w:szCs w:val="24"/>
              </w:rPr>
              <w:t>0.51%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易方达国企改革混合型证券投资基金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2017年8月23日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注：自基金合同生效至报告期末，基金份额净值增长率为59.60%，同期业绩比较基准收益率为3.22%。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郭杰</w:t>
            </w:r>
          </w:p>
        </w:tc>
        <w:tc>
          <w:tcPr>
            <w:vAlign w:val="center"/>
          </w:tcPr>
          <w:p>
            <w:pPr>
              <w:jc w:val="left"/>
            </w:pPr>
            <w:r>
              <w:rPr>
                <w:color w:val="000000"/>
                <w:sz w:val="24"/>
              </w:rPr>
              <w:t>本基金的基金经理、易方达改革红利混合型证券投资基金的基金经理、易方达ESG责任投资股票型发起式证券投资基金的基金经理、研究部副总经理</w:t>
            </w:r>
          </w:p>
        </w:tc>
        <w:tc>
          <w:tcPr>
            <w:vAlign w:val="center"/>
          </w:tcPr>
          <w:p>
            <w:pPr>
              <w:jc w:val="center"/>
            </w:pPr>
            <w:r>
              <w:rPr>
                <w:color w:val="000000"/>
                <w:sz w:val="24"/>
              </w:rPr>
              <w:t>2017-08-23</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易方达基金管理有限公司行业研究员、基金经理助理、易方达资源行业股票型证券投资基金基金经理、易方达科汇灵活配置混合型证券投资基金基金经理、易方达新丝路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 xml:space="preserve">二季度海外的新冠病毒疫情仍然较为严峻，而国内疫情基本得到了控制。虽然市场预期经济会受到疫情的冲击，但是全球宽松的流动性有效化解了金融风险，预期经济也会随着疫情的趋缓而逐步复苏。股票市场的情绪从疫情的悲观中逐步恢复，在经济逐步复苏和市场流动性的助推下震荡上行。到二季末，沪深300指数收于4164点，上涨12.96%。稳定类的消费、医药、TMT行业内的个股表现明显好于与经济相关度高的行业个股。 </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一贯坚持选择好的生意并长期持有的投资策略。对于“好的生意”的理解仁者见仁，我们的核心标准是商业模型有明显的规模效应、企业有突出的竞争壁垒。本基金特别关注那些具有类垄断属性的国有企业，我们通过分享这些优质国有企业的增长和盈利，实现资本的回报。</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截至报告期末，本基金份额净值为1.596元，本报告期份额净值增长率为26.07%，同期业绩比较基准收益率为10.19%。</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82,883,749.77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91.37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82,883,749.77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91.37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7,435,326.19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8.20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397,241.19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90,716,317.15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77,265,558.76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86.59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6.27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12,097.57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82,883,749.77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92.88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54,550</w:t>
            </w:r>
          </w:p>
        </w:tc>
        <w:tc>
          <w:tcPr>
            <w:vAlign w:val="center"/>
          </w:tcPr>
          <w:p>
            <w:pPr>
              <w:jc w:val="right"/>
            </w:pPr>
            <w:r>
              <w:rPr>
                <w:color w:val="000000"/>
                <w:kern w:val="0"/>
                <w:sz w:val="24"/>
                <w:szCs w:val="24"/>
              </w:rPr>
              <w:t>9,334,596.00</w:t>
            </w:r>
          </w:p>
        </w:tc>
        <w:tc>
          <w:tcPr>
            <w:vAlign w:val="center"/>
          </w:tcPr>
          <w:p>
            <w:pPr>
              <w:jc w:val="right"/>
            </w:pPr>
            <w:r>
              <w:rPr>
                <w:color w:val="000000"/>
                <w:kern w:val="0"/>
                <w:sz w:val="24"/>
                <w:szCs w:val="24"/>
              </w:rPr>
              <w:t>10.46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6,282</w:t>
            </w:r>
          </w:p>
        </w:tc>
        <w:tc>
          <w:tcPr>
            <w:vAlign w:val="center"/>
          </w:tcPr>
          <w:p>
            <w:pPr>
              <w:jc w:val="right"/>
            </w:pPr>
            <w:r>
              <w:rPr>
                <w:color w:val="000000"/>
                <w:kern w:val="0"/>
                <w:sz w:val="24"/>
                <w:szCs w:val="24"/>
              </w:rPr>
              <w:t>9,189,812.16</w:t>
            </w:r>
          </w:p>
        </w:tc>
        <w:tc>
          <w:tcPr>
            <w:vAlign w:val="center"/>
          </w:tcPr>
          <w:p>
            <w:pPr>
              <w:jc w:val="right"/>
            </w:pPr>
            <w:r>
              <w:rPr>
                <w:color w:val="000000"/>
                <w:kern w:val="0"/>
                <w:sz w:val="24"/>
                <w:szCs w:val="24"/>
              </w:rPr>
              <w:t>10.30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98,014</w:t>
            </w:r>
          </w:p>
        </w:tc>
        <w:tc>
          <w:tcPr>
            <w:vAlign w:val="center"/>
          </w:tcPr>
          <w:p>
            <w:pPr>
              <w:jc w:val="right"/>
            </w:pPr>
            <w:r>
              <w:rPr>
                <w:color w:val="000000"/>
                <w:kern w:val="0"/>
                <w:sz w:val="24"/>
                <w:szCs w:val="24"/>
              </w:rPr>
              <w:t>8,931,035.68</w:t>
            </w:r>
          </w:p>
        </w:tc>
        <w:tc>
          <w:tcPr>
            <w:vAlign w:val="center"/>
          </w:tcPr>
          <w:p>
            <w:pPr>
              <w:jc w:val="right"/>
            </w:pPr>
            <w:r>
              <w:rPr>
                <w:color w:val="000000"/>
                <w:kern w:val="0"/>
                <w:sz w:val="24"/>
                <w:szCs w:val="24"/>
              </w:rPr>
              <w:t>10.01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154,224</w:t>
            </w:r>
          </w:p>
        </w:tc>
        <w:tc>
          <w:tcPr>
            <w:vAlign w:val="center"/>
          </w:tcPr>
          <w:p>
            <w:pPr>
              <w:jc w:val="right"/>
            </w:pPr>
            <w:r>
              <w:rPr>
                <w:color w:val="000000"/>
                <w:kern w:val="0"/>
                <w:sz w:val="24"/>
                <w:szCs w:val="24"/>
              </w:rPr>
              <w:t>8,724,451.68</w:t>
            </w:r>
          </w:p>
        </w:tc>
        <w:tc>
          <w:tcPr>
            <w:vAlign w:val="center"/>
          </w:tcPr>
          <w:p>
            <w:pPr>
              <w:jc w:val="right"/>
            </w:pPr>
            <w:r>
              <w:rPr>
                <w:color w:val="000000"/>
                <w:kern w:val="0"/>
                <w:sz w:val="24"/>
                <w:szCs w:val="24"/>
              </w:rPr>
              <w:t>9.78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600809</w:t>
            </w:r>
          </w:p>
        </w:tc>
        <w:tc>
          <w:tcPr>
            <w:vAlign w:val="center"/>
          </w:tcPr>
          <w:p>
            <w:pPr>
              <w:jc w:val="center"/>
            </w:pPr>
            <w:r>
              <w:rPr>
                <w:color w:val="000000"/>
                <w:kern w:val="0"/>
                <w:sz w:val="24"/>
                <w:szCs w:val="24"/>
              </w:rPr>
              <w:t>山西汾酒</w:t>
            </w:r>
          </w:p>
        </w:tc>
        <w:tc>
          <w:tcPr>
            <w:vAlign w:val="center"/>
          </w:tcPr>
          <w:p>
            <w:pPr>
              <w:jc w:val="right"/>
            </w:pPr>
            <w:r>
              <w:rPr>
                <w:color w:val="000000"/>
                <w:kern w:val="0"/>
                <w:sz w:val="24"/>
                <w:szCs w:val="24"/>
              </w:rPr>
              <w:t>53,982</w:t>
            </w:r>
          </w:p>
        </w:tc>
        <w:tc>
          <w:tcPr>
            <w:vAlign w:val="center"/>
          </w:tcPr>
          <w:p>
            <w:pPr>
              <w:jc w:val="right"/>
            </w:pPr>
            <w:r>
              <w:rPr>
                <w:color w:val="000000"/>
                <w:kern w:val="0"/>
                <w:sz w:val="24"/>
                <w:szCs w:val="24"/>
              </w:rPr>
              <w:t>7,827,390.00</w:t>
            </w:r>
          </w:p>
        </w:tc>
        <w:tc>
          <w:tcPr>
            <w:vAlign w:val="center"/>
          </w:tcPr>
          <w:p>
            <w:pPr>
              <w:jc w:val="right"/>
            </w:pPr>
            <w:r>
              <w:rPr>
                <w:color w:val="000000"/>
                <w:kern w:val="0"/>
                <w:sz w:val="24"/>
                <w:szCs w:val="24"/>
              </w:rPr>
              <w:t>8.77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002304</w:t>
            </w:r>
          </w:p>
        </w:tc>
        <w:tc>
          <w:tcPr>
            <w:vAlign w:val="center"/>
          </w:tcPr>
          <w:p>
            <w:pPr>
              <w:jc w:val="center"/>
            </w:pPr>
            <w:r>
              <w:rPr>
                <w:color w:val="000000"/>
                <w:kern w:val="0"/>
                <w:sz w:val="24"/>
                <w:szCs w:val="24"/>
              </w:rPr>
              <w:t>洋河股份</w:t>
            </w:r>
          </w:p>
        </w:tc>
        <w:tc>
          <w:tcPr>
            <w:vAlign w:val="center"/>
          </w:tcPr>
          <w:p>
            <w:pPr>
              <w:jc w:val="right"/>
            </w:pPr>
            <w:r>
              <w:rPr>
                <w:color w:val="000000"/>
                <w:kern w:val="0"/>
                <w:sz w:val="24"/>
                <w:szCs w:val="24"/>
              </w:rPr>
              <w:t>68,867</w:t>
            </w:r>
          </w:p>
        </w:tc>
        <w:tc>
          <w:tcPr>
            <w:vAlign w:val="center"/>
          </w:tcPr>
          <w:p>
            <w:pPr>
              <w:jc w:val="right"/>
            </w:pPr>
            <w:r>
              <w:rPr>
                <w:color w:val="000000"/>
                <w:kern w:val="0"/>
                <w:sz w:val="24"/>
                <w:szCs w:val="24"/>
              </w:rPr>
              <w:t>7,240,676.38</w:t>
            </w:r>
          </w:p>
        </w:tc>
        <w:tc>
          <w:tcPr>
            <w:vAlign w:val="center"/>
          </w:tcPr>
          <w:p>
            <w:pPr>
              <w:jc w:val="right"/>
            </w:pPr>
            <w:r>
              <w:rPr>
                <w:color w:val="000000"/>
                <w:kern w:val="0"/>
                <w:sz w:val="24"/>
                <w:szCs w:val="24"/>
              </w:rPr>
              <w:t>8.11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47,400</w:t>
            </w:r>
          </w:p>
        </w:tc>
        <w:tc>
          <w:tcPr>
            <w:vAlign w:val="center"/>
          </w:tcPr>
          <w:p>
            <w:pPr>
              <w:jc w:val="right"/>
            </w:pPr>
            <w:r>
              <w:rPr>
                <w:color w:val="000000"/>
                <w:kern w:val="0"/>
                <w:sz w:val="24"/>
                <w:szCs w:val="24"/>
              </w:rPr>
              <w:t>7,121,376.00</w:t>
            </w:r>
          </w:p>
        </w:tc>
        <w:tc>
          <w:tcPr>
            <w:vAlign w:val="center"/>
          </w:tcPr>
          <w:p>
            <w:pPr>
              <w:jc w:val="right"/>
            </w:pPr>
            <w:r>
              <w:rPr>
                <w:color w:val="000000"/>
                <w:kern w:val="0"/>
                <w:sz w:val="24"/>
                <w:szCs w:val="24"/>
              </w:rPr>
              <w:t>7.98</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906,536</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6.27</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600161</w:t>
            </w:r>
          </w:p>
        </w:tc>
        <w:tc>
          <w:tcPr>
            <w:vAlign w:val="center"/>
          </w:tcPr>
          <w:p>
            <w:pPr>
              <w:jc w:val="center"/>
            </w:pPr>
            <w:r>
              <w:rPr>
                <w:color w:val="000000"/>
                <w:kern w:val="0"/>
                <w:sz w:val="24"/>
                <w:szCs w:val="24"/>
              </w:rPr>
              <w:t>天坛生物</w:t>
            </w:r>
          </w:p>
        </w:tc>
        <w:tc>
          <w:tcPr>
            <w:vAlign w:val="center"/>
          </w:tcPr>
          <w:p>
            <w:pPr>
              <w:jc w:val="right"/>
            </w:pPr>
            <w:r>
              <w:rPr>
                <w:color w:val="000000"/>
                <w:kern w:val="0"/>
                <w:sz w:val="24"/>
                <w:szCs w:val="24"/>
              </w:rPr>
              <w:t>97,600</w:t>
            </w:r>
          </w:p>
        </w:tc>
        <w:tc>
          <w:tcPr>
            <w:vAlign w:val="center"/>
          </w:tcPr>
          <w:p>
            <w:pPr>
              <w:jc w:val="right"/>
            </w:pPr>
            <w:r>
              <w:rPr>
                <w:color w:val="000000"/>
                <w:kern w:val="0"/>
                <w:sz w:val="24"/>
                <w:szCs w:val="24"/>
              </w:rPr>
              <w:t>4,424,208.00</w:t>
            </w:r>
          </w:p>
        </w:tc>
        <w:tc>
          <w:tcPr>
            <w:vAlign w:val="center"/>
          </w:tcPr>
          <w:p>
            <w:pPr>
              <w:jc w:val="right"/>
            </w:pPr>
            <w:r>
              <w:rPr>
                <w:color w:val="000000"/>
                <w:kern w:val="0"/>
                <w:sz w:val="24"/>
                <w:szCs w:val="24"/>
              </w:rPr>
              <w:t>4.96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45,100</w:t>
            </w:r>
          </w:p>
        </w:tc>
        <w:tc>
          <w:tcPr>
            <w:vAlign w:val="center"/>
          </w:tcPr>
          <w:p>
            <w:pPr>
              <w:jc w:val="right"/>
            </w:pPr>
            <w:r>
              <w:rPr>
                <w:color w:val="000000"/>
                <w:kern w:val="0"/>
                <w:sz w:val="24"/>
                <w:szCs w:val="24"/>
              </w:rPr>
              <w:t>4,162,730.00</w:t>
            </w:r>
          </w:p>
        </w:tc>
        <w:tc>
          <w:tcPr>
            <w:vAlign w:val="center"/>
          </w:tcPr>
          <w:p>
            <w:pPr>
              <w:jc w:val="right"/>
            </w:pPr>
            <w:r>
              <w:rPr>
                <w:color w:val="000000"/>
                <w:kern w:val="0"/>
                <w:sz w:val="24"/>
                <w:szCs w:val="24"/>
              </w:rPr>
              <w:t>4.66</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注：本报告期末本基金投资五粮液、贵州茅台、泸州老窖占基金资产净值比例超过10%,属于被动超标。 </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18,524.70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717.64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377,998.85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397,241.19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6.27</w:t>
            </w:r>
          </w:p>
        </w:tc>
        <w:tc>
          <w:tcPr>
            <w:vAlign w:val="center"/>
          </w:tcPr>
          <w:p>
            <w:pPr>
              <w:jc w:val="right"/>
            </w:pPr>
            <w:r>
              <w:rPr>
                <w:color w:val="000000"/>
                <w:kern w:val="0"/>
                <w:sz w:val="24"/>
                <w:szCs w:val="24"/>
              </w:rPr>
              <w:t>新股流通受限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68,739,652.59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12,153,548.73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24,995,714.87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55,897,486.45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1.中国证监会准予易方达国企改革混合型证券投资基金注册的文件；</w:t>
      </w:r>
    </w:p>
    <w:p>
      <w:pPr>
        <w:spacing w:line="360" w:lineRule="auto"/>
        <w:ind w:firstLine="480" w:firstLineChars="200"/>
        <w:rPr>
          <w:color w:val="000000"/>
          <w:sz w:val="24"/>
          <w:szCs w:val="24"/>
        </w:rPr>
      </w:pPr>
      <w:r>
        <w:rPr>
          <w:color w:val="000000"/>
          <w:sz w:val="24"/>
          <w:szCs w:val="24"/>
        </w:rPr>
        <w:t>2.《易方达国企改革混合型证券投资基金基金合同》；</w:t>
      </w:r>
    </w:p>
    <w:p>
      <w:pPr>
        <w:spacing w:line="360" w:lineRule="auto"/>
        <w:ind w:firstLine="480" w:firstLineChars="200"/>
        <w:rPr>
          <w:color w:val="000000"/>
          <w:sz w:val="24"/>
          <w:szCs w:val="24"/>
        </w:rPr>
      </w:pPr>
      <w:r>
        <w:rPr>
          <w:color w:val="000000"/>
          <w:sz w:val="24"/>
          <w:szCs w:val="24"/>
        </w:rPr>
        <w:t>3.《易方达国企改革混合型证券投资基金托管协议》；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易方达国企改革混合型证券投资基金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