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542546" w:rsidR="00750D48" w:rsidRDefault="00750D48" w:rsidRPr="00264E55">
      <w:pPr>
        <w:spacing w:line="360" w:lineRule="auto"/>
        <w:jc w:val="center"/>
        <w:rPr>
          <w:rFonts w:ascii="宋体" w:hAnsi="宋体"/>
          <w:b/>
          <w:sz w:val="36"/>
          <w:szCs w:val="36"/>
        </w:rPr>
      </w:pPr>
      <w:r w:rsidRPr="00264E55">
        <w:rPr>
          <w:rFonts w:ascii="宋体"/>
          <w:b/>
          <w:sz w:val="36"/>
          <w:szCs w:val="36"/>
        </w:rPr>
        <w:t/>
      </w:r>
      <w:proofErr w:type="spellStart"/>
      <w:proofErr w:type="gramStart"/>
      <w:r w:rsidRPr="00264E55">
        <w:rPr>
          <w:rFonts w:ascii="宋体" w:hAnsi="宋体"/>
          <w:b/>
          <w:sz w:val="36"/>
          <w:szCs w:val="36"/>
        </w:rPr>
        <w:t/>
      </w:r>
      <w:proofErr w:type="spellEnd"/>
      <w:proofErr w:type="gramEnd"/>
      <w:r w:rsidRPr="00264E55">
        <w:rPr>
          <w:rFonts w:ascii="宋体" w:hAnsi="宋体"/>
          <w:b/>
          <w:sz w:val="36"/>
          <w:szCs w:val="36"/>
        </w:rPr>
        <w:t>易方达新丝路灵活配置混合型证券投资基金</w:t>
      </w:r>
    </w:p>
    <w:p w:rsidP="00542546" w:rsidR="00750D48" w:rsidRDefault="00750D48" w:rsidRPr="00264E55">
      <w:pPr>
        <w:spacing w:line="360" w:lineRule="auto"/>
        <w:jc w:val="center"/>
        <w:rPr>
          <w:rFonts w:ascii="宋体" w:hAnsi="宋体"/>
          <w:b/>
          <w:sz w:val="36"/>
          <w:szCs w:val="36"/>
        </w:rPr>
      </w:pPr>
      <w:r w:rsidRPr="00264E55">
        <w:rPr>
          <w:rFonts w:ascii="宋体" w:hAnsi="宋体"/>
          <w:b/>
          <w:sz w:val="36"/>
          <w:szCs w:val="36"/>
        </w:rPr>
        <w:t/>
      </w:r>
      <w:proofErr w:type="spellStart"/>
      <w:r w:rsidRPr="00264E55">
        <w:rPr>
          <w:rFonts w:ascii="宋体" w:hAnsi="宋体"/>
          <w:b/>
          <w:sz w:val="36"/>
          <w:szCs w:val="36"/>
        </w:rPr>
        <w:t/>
      </w:r>
      <w:proofErr w:type="spellEnd"/>
      <w:r w:rsidRPr="00264E55">
        <w:rPr>
          <w:rFonts w:ascii="宋体" w:hAnsi="宋体"/>
          <w:b/>
          <w:sz w:val="36"/>
          <w:szCs w:val="36"/>
        </w:rPr>
        <w:t>2020年第2季度报告</w:t>
      </w:r>
    </w:p>
    <w:p w:rsidP="00542546" w:rsidR="00750D48" w:rsidRDefault="00750D48" w:rsidRPr="00093704">
      <w:pPr>
        <w:spacing w:line="360" w:lineRule="auto"/>
        <w:jc w:val="center"/>
        <w:rPr>
          <w:rFonts w:ascii="宋体" w:hAnsi="宋体"/>
          <w:b/>
          <w:sz w:val="24"/>
          <w:szCs w:val="24"/>
        </w:rPr>
      </w:pPr>
      <w:r w:rsidRPr="00093704">
        <w:rPr>
          <w:rFonts w:ascii="宋体"/>
          <w:b/>
          <w:sz w:val="24"/>
          <w:szCs w:val="24"/>
        </w:rPr>
        <w:t/>
      </w:r>
      <w:proofErr w:type="spellStart"/>
      <w:proofErr w:type="gramStart"/>
      <w:r w:rsidRPr="00093704">
        <w:rPr>
          <w:rFonts w:ascii="宋体" w:hAnsi="宋体"/>
          <w:b/>
          <w:sz w:val="24"/>
          <w:szCs w:val="24"/>
        </w:rPr>
        <w:t/>
      </w:r>
      <w:proofErr w:type="spellEnd"/>
      <w:proofErr w:type="gramEnd"/>
      <w:r w:rsidRPr="00093704">
        <w:rPr>
          <w:rFonts w:ascii="宋体" w:hAnsi="宋体"/>
          <w:b/>
          <w:sz w:val="24"/>
          <w:szCs w:val="24"/>
        </w:rPr>
        <w:t>2020年6月30日</w:t>
      </w: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rPr>
          <w:rFonts w:ascii="宋体"/>
          <w:b/>
          <w:bCs/>
          <w:color w:val="000000"/>
          <w:sz w:val="24"/>
          <w:szCs w:val="24"/>
        </w:rPr>
      </w:pPr>
    </w:p>
    <w:p w:rsidP="00EB572F" w:rsidR="00750D48" w:rsidRDefault="00750D48" w:rsidRPr="00264E55">
      <w:pPr>
        <w:spacing w:line="360" w:lineRule="auto"/>
        <w:ind w:firstLine="2168" w:firstLineChars="900"/>
        <w:rPr>
          <w:rFonts w:ascii="宋体" w:hAnsi="宋体"/>
          <w:b/>
          <w:color w:val="000000"/>
          <w:sz w:val="24"/>
          <w:szCs w:val="24"/>
        </w:rPr>
      </w:pPr>
      <w:r w:rsidRPr="00264E55">
        <w:rPr>
          <w:rFonts w:ascii="宋体" w:hAnsi="宋体" w:hint="eastAsia"/>
          <w:b/>
          <w:color w:val="000000"/>
          <w:sz w:val="24"/>
          <w:szCs w:val="24"/>
        </w:rPr>
        <w:t>基金管理人：</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易方达基金管理有限公司</w:t>
      </w:r>
    </w:p>
    <w:p w:rsidP="00EB572F" w:rsidR="00750D48" w:rsidRDefault="00750D48" w:rsidRPr="00264E55">
      <w:pPr>
        <w:spacing w:line="360" w:lineRule="auto"/>
        <w:ind w:firstLine="2168" w:firstLineChars="900"/>
        <w:rPr>
          <w:rFonts w:ascii="宋体" w:hAnsi="宋体"/>
          <w:b/>
          <w:color w:val="000000"/>
          <w:sz w:val="24"/>
          <w:szCs w:val="24"/>
        </w:rPr>
      </w:pPr>
      <w:r w:rsidRPr="00264E55">
        <w:rPr>
          <w:rFonts w:ascii="宋体" w:hAnsi="宋体" w:hint="eastAsia"/>
          <w:b/>
          <w:color w:val="000000"/>
          <w:sz w:val="24"/>
          <w:szCs w:val="24"/>
        </w:rPr>
        <w:t>基金托管人：</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中国建设银行股份有限公司</w:t>
      </w:r>
    </w:p>
    <w:p w:rsidP="00EB572F" w:rsidR="00750D48" w:rsidRDefault="00750D48" w:rsidRPr="00264E55">
      <w:pPr>
        <w:spacing w:line="360" w:lineRule="auto"/>
        <w:ind w:firstLine="2168" w:firstLineChars="900"/>
        <w:rPr>
          <w:rFonts w:ascii="宋体" w:hAnsi="宋体"/>
          <w:b/>
          <w:color w:val="000000"/>
          <w:sz w:val="24"/>
          <w:szCs w:val="24"/>
        </w:rPr>
        <w:sectPr w:rsidR="00750D48" w:rsidRPr="00264E55" w:rsidSect="00304A12">
          <w:headerReference r:id="rId9" w:type="default"/>
          <w:footerReference r:id="rId10" w:type="default"/>
          <w:pgSz w:h="15840" w:w="11926"/>
          <w:pgMar w:bottom="851" w:footer="992" w:gutter="0" w:header="851" w:left="1418" w:right="1418" w:top="1418"/>
          <w:cols w:space="720"/>
          <w:noEndnote/>
        </w:sectPr>
      </w:pPr>
      <w:r w:rsidRPr="00264E55">
        <w:rPr>
          <w:rFonts w:ascii="宋体" w:hAnsi="宋体" w:hint="eastAsia"/>
          <w:b/>
          <w:color w:val="000000"/>
          <w:sz w:val="24"/>
          <w:szCs w:val="24"/>
        </w:rPr>
        <w:t>报告送出日期：</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二〇二〇年七月二十一日</w:t>
      </w:r>
    </w:p>
    <w:p w:rsidP="004D28A3" w:rsidR="00750D48" w:rsidRDefault="00750D48" w:rsidRPr="00264E55">
      <w:pPr>
        <w:pStyle w:val="1"/>
        <w:spacing w:after="312" w:afterLines="100" w:before="312" w:beforeLines="100" w:line="360" w:lineRule="auto"/>
        <w:jc w:val="center"/>
        <w:rPr>
          <w:rFonts w:ascii="宋体"/>
          <w:b w:val="0"/>
          <w:bCs w:val="0"/>
          <w:color w:val="000000"/>
          <w:kern w:val="0"/>
          <w:sz w:val="24"/>
          <w:szCs w:val="24"/>
        </w:rPr>
      </w:pPr>
      <w:r w:rsidRPr="00264E55">
        <w:rPr>
          <w:rFonts w:ascii="宋体" w:hAnsi="宋体" w:hint="eastAsia"/>
          <w:color w:val="000000"/>
          <w:kern w:val="0"/>
          <w:sz w:val="24"/>
          <w:szCs w:val="24"/>
        </w:rPr>
        <w:lastRenderedPageBreak/>
        <w:t>§</w:t>
      </w:r>
      <w:r w:rsidRPr="00264E55">
        <w:rPr>
          <w:rFonts w:ascii="宋体" w:hAnsi="宋体"/>
          <w:color w:val="000000"/>
          <w:kern w:val="0"/>
          <w:sz w:val="24"/>
          <w:szCs w:val="24"/>
        </w:rPr>
        <w:t xml:space="preserve">1  </w:t>
      </w:r>
      <w:r w:rsidRPr="00264E55">
        <w:rPr>
          <w:rFonts w:ascii="宋体" w:hAnsi="宋体" w:hint="eastAsia"/>
          <w:color w:val="000000"/>
          <w:kern w:val="0"/>
          <w:sz w:val="24"/>
          <w:szCs w:val="24"/>
        </w:rPr>
        <w:t>重要提示</w:t>
      </w:r>
    </w:p>
    <w:p>
      <w:pPr>
        <w:spacing w:line="360" w:lineRule="auto"/>
        <w:ind w:firstLine="480" w:firstLineChars="200"/>
        <w:rPr>
          <w:color w:val="000000"/>
          <w:sz w:val="24"/>
          <w:szCs w:val="24"/>
        </w:rPr>
      </w:pPr>
      <w:r>
        <w:rPr>
          <w:color w:val="000000"/>
          <w:sz w:val="24"/>
          <w:szCs w:val="24"/>
        </w:rPr>
        <w:t xml:space="preserve">基金管理人的董事会及董事保证本报告所载资料不存在虚假记载、误导性陈述或重大遗漏，并对其内容的真实性、准确性和完整性承担个别及连带责任。 </w:t>
      </w:r>
    </w:p>
    <w:p>
      <w:pPr>
        <w:spacing w:line="360" w:lineRule="auto"/>
        <w:ind w:firstLine="480" w:firstLineChars="200"/>
        <w:rPr>
          <w:color w:val="000000"/>
          <w:sz w:val="24"/>
          <w:szCs w:val="24"/>
        </w:rPr>
      </w:pPr>
      <w:r>
        <w:rPr>
          <w:color w:val="000000"/>
          <w:sz w:val="24"/>
          <w:szCs w:val="24"/>
        </w:rPr>
        <w:t xml:space="preserve">基金托管人中国建设银行股份有限公司根据本基金合同规定，于2020年7月17日复核了本报告中的财务指标、净值表现和投资组合报告等内容，保证复核内容不存在虚假记载、误导性陈述或者重大遗漏。 </w:t>
      </w:r>
    </w:p>
    <w:p>
      <w:pPr>
        <w:spacing w:line="360" w:lineRule="auto"/>
        <w:ind w:firstLine="480" w:firstLineChars="200"/>
        <w:rPr>
          <w:color w:val="000000"/>
          <w:sz w:val="24"/>
          <w:szCs w:val="24"/>
        </w:rPr>
      </w:pPr>
      <w:r>
        <w:rPr>
          <w:color w:val="000000"/>
          <w:sz w:val="24"/>
          <w:szCs w:val="24"/>
        </w:rPr>
        <w:t xml:space="preserve">基金管理人承诺以诚实信用、勤勉尽责的原则管理和运用基金资产，但不保证基金一定盈利。 </w:t>
      </w:r>
    </w:p>
    <w:p>
      <w:pPr>
        <w:spacing w:line="360" w:lineRule="auto"/>
        <w:ind w:firstLine="480" w:firstLineChars="200"/>
        <w:rPr>
          <w:color w:val="000000"/>
          <w:sz w:val="24"/>
          <w:szCs w:val="24"/>
        </w:rPr>
      </w:pPr>
      <w:r>
        <w:rPr>
          <w:color w:val="000000"/>
          <w:sz w:val="24"/>
          <w:szCs w:val="24"/>
        </w:rPr>
        <w:t xml:space="preserve">基金的过往业绩并不代表其未来表现。投资有风险，投资者在作出投资决策前应仔细阅读本基金的招募说明书。 </w:t>
      </w:r>
    </w:p>
    <w:p>
      <w:pPr>
        <w:spacing w:line="360" w:lineRule="auto"/>
        <w:ind w:firstLine="480" w:firstLineChars="200"/>
        <w:rPr>
          <w:color w:val="000000"/>
          <w:sz w:val="24"/>
          <w:szCs w:val="24"/>
        </w:rPr>
      </w:pPr>
      <w:r>
        <w:rPr>
          <w:color w:val="000000"/>
          <w:sz w:val="24"/>
          <w:szCs w:val="24"/>
        </w:rPr>
        <w:t>本报告中财务资料未经审计。</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proofErr w:type="gramStart"/>
      <w:r w:rsidRPr="006C56AA">
        <w:rPr>
          <w:color w:val="000000"/>
          <w:sz w:val="24"/>
          <w:szCs w:val="24"/>
        </w:rPr>
        <w:t/>
      </w:r>
      <w:proofErr w:type="spellEnd"/>
      <w:proofErr w:type="gramEnd"/>
      <w:r w:rsidRPr="006C56AA">
        <w:rPr>
          <w:color w:val="000000"/>
          <w:sz w:val="24"/>
          <w:szCs w:val="24"/>
        </w:rPr>
        <w:t>本报告期自2020年4月1日起至6月30日止。</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2  </w:t>
      </w:r>
      <w:r w:rsidRPr="00264E55">
        <w:rPr>
          <w:rFonts w:ascii="宋体" w:hAnsi="宋体" w:hint="eastAsia"/>
          <w:color w:val="000000"/>
          <w:kern w:val="0"/>
          <w:sz w:val="24"/>
          <w:szCs w:val="24"/>
        </w:rPr>
        <w:t>基金产品概况</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2835"/>
        <w:gridCol w:w="2739"/>
        <w:gridCol w:w="2740"/>
      </w:tblGrid>
      <w:tr w:rsidR="00750D48" w:rsidRPr="00264E55" w:rsidTr="00500A03">
        <w:tc>
          <w:tcPr>
            <w:tcW w:type="dxa" w:w="2835"/>
          </w:tcPr>
          <w:p w:rsidP="007B5AFB" w:rsidR="00750D48" w:rsidRDefault="00750D48" w:rsidRPr="00232B03">
            <w:pPr>
              <w:adjustRightInd w:val="0"/>
              <w:spacing w:before="29" w:line="360" w:lineRule="auto"/>
              <w:ind w:left="17"/>
              <w:jc w:val="left"/>
              <w:rPr>
                <w:kern w:val="0"/>
                <w:sz w:val="24"/>
                <w:szCs w:val="24"/>
              </w:rPr>
            </w:pPr>
            <w:r w:rsidRPr="00232B03">
              <w:rPr>
                <w:kern w:val="0"/>
                <w:sz w:val="24"/>
                <w:szCs w:val="24"/>
              </w:rPr>
              <w:t>基金简称</w:t>
            </w:r>
          </w:p>
        </w:tc>
        <w:tc>
          <w:tcPr>
            <w:tcW w:type="dxa" w:w="5479"/>
            <w:gridSpan w:val="2"/>
          </w:tcPr>
          <w:p w:rsidP="007B5AFB" w:rsidR="00750D48" w:rsidRDefault="00750D48" w:rsidRPr="00232B03">
            <w:pPr>
              <w:adjustRightInd w:val="0"/>
              <w:spacing w:before="29" w:line="360" w:lineRule="auto"/>
              <w:ind w:left="17"/>
              <w:jc w:val="lef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易方达新丝路混合</w:t>
            </w:r>
          </w:p>
        </w:tc>
      </w:tr>
      <w:tr w:rsidR="00750D48" w:rsidRPr="00264E55" w:rsidTr="00D94B8D">
        <w:tc>
          <w:tcPr>
            <w:tcW w:type="dxa" w:w="2835"/>
          </w:tcPr>
          <w:p w:rsidR="00750D48" w:rsidRDefault="00750D48" w:rsidRPr="00232B03">
            <w:pPr>
              <w:adjustRightInd w:val="0"/>
              <w:spacing w:before="29" w:line="360" w:lineRule="auto"/>
              <w:ind w:left="17"/>
              <w:jc w:val="left"/>
              <w:rPr>
                <w:kern w:val="0"/>
                <w:sz w:val="24"/>
                <w:szCs w:val="24"/>
              </w:rPr>
            </w:pPr>
            <w:r w:rsidRPr="00232B03">
              <w:rPr>
                <w:kern w:val="0"/>
                <w:sz w:val="24"/>
                <w:szCs w:val="24"/>
              </w:rPr>
              <w:t>基金主代码</w:t>
            </w:r>
          </w:p>
        </w:tc>
        <w:tc>
          <w:tcPr>
            <w:tcW w:type="dxa" w:w="5479"/>
            <w:gridSpan w:val="2"/>
          </w:tcPr>
          <w:p w:rsidR="00750D48" w:rsidRDefault="00750D48" w:rsidRPr="00232B03">
            <w:pPr>
              <w:adjustRightInd w:val="0"/>
              <w:spacing w:before="29" w:line="360" w:lineRule="auto"/>
              <w:ind w:left="17"/>
              <w:jc w:val="lef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001373</w:t>
            </w:r>
          </w:p>
        </w:tc>
      </w:tr>
      <w:tr w:rsidR="00750D48" w:rsidRPr="00264E55" w:rsidTr="00D94B8D">
        <w:tc>
          <w:tcPr>
            <w:tcW w:type="dxa" w:w="2835"/>
          </w:tcPr>
          <w:p w:rsidP="00895A8A" w:rsidR="00750D48" w:rsidRDefault="00750D48" w:rsidRPr="00232B03">
            <w:pPr>
              <w:adjustRightInd w:val="0"/>
              <w:spacing w:before="29" w:line="360" w:lineRule="auto"/>
              <w:ind w:left="17"/>
              <w:jc w:val="left"/>
              <w:rPr>
                <w:kern w:val="0"/>
                <w:sz w:val="24"/>
                <w:szCs w:val="24"/>
              </w:rPr>
            </w:pPr>
            <w:r w:rsidRPr="00232B03">
              <w:rPr>
                <w:kern w:val="0"/>
                <w:sz w:val="24"/>
                <w:szCs w:val="24"/>
              </w:rPr>
              <w:t>交易代码</w:t>
            </w:r>
          </w:p>
        </w:tc>
        <w:tc>
          <w:tcPr>
            <w:tcW w:type="dxa" w:w="5479"/>
            <w:gridSpan w:val="2"/>
          </w:tcPr>
          <w:p w:rsidP="00895A8A" w:rsidR="00750D48" w:rsidRDefault="00750D48" w:rsidRPr="00232B03">
            <w:pPr>
              <w:adjustRightInd w:val="0"/>
              <w:spacing w:before="29" w:line="360" w:lineRule="auto"/>
              <w:ind w:left="17"/>
              <w:jc w:val="left"/>
              <w:rPr>
                <w:color w:val="000000"/>
                <w:kern w:val="0"/>
                <w:sz w:val="24"/>
                <w:szCs w:val="24"/>
              </w:rPr>
            </w:pPr>
            <w:r w:rsidRPr="00232B03">
              <w:rPr>
                <w:kern w:val="0"/>
                <w:sz w:val="24"/>
              </w:rPr>
              <w:t/>
            </w:r>
            <w:proofErr w:type="spellStart"/>
            <w:r w:rsidRPr="00232B03">
              <w:rPr>
                <w:kern w:val="0"/>
                <w:sz w:val="24"/>
              </w:rPr>
              <w:t/>
            </w:r>
            <w:proofErr w:type="spellEnd"/>
            <w:r w:rsidRPr="00232B03">
              <w:rPr>
                <w:kern w:val="0"/>
                <w:sz w:val="24"/>
              </w:rPr>
              <w:t/>
            </w:r>
            <w:proofErr w:type="spellStart"/>
            <w:r w:rsidRPr="00232B03">
              <w:rPr>
                <w:kern w:val="0"/>
                <w:sz w:val="24"/>
              </w:rPr>
              <w:t/>
            </w:r>
            <w:proofErr w:type="spellEnd"/>
            <w:r w:rsidRPr="00232B03">
              <w:rPr>
                <w:kern w:val="0"/>
                <w:sz w:val="24"/>
              </w:rPr>
              <w:t/>
            </w:r>
            <w:proofErr w:type="spellStart"/>
            <w:r w:rsidRPr="00232B03">
              <w:rPr>
                <w:kern w:val="0"/>
                <w:sz w:val="24"/>
              </w:rPr>
              <w:t/>
            </w:r>
            <w:proofErr w:type="spellEnd"/>
            <w:r w:rsidRPr="00232B03">
              <w:rPr>
                <w:kern w:val="0"/>
                <w:sz w:val="24"/>
              </w:rPr>
              <w:t>001373</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基金运作方式</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契约型开放式</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基金合同生效日</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2015年5月27日</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报告期末基金份额总额</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5,337,265,179.26</w:t>
            </w:r>
            <w:r w:rsidRPr="00232B03">
              <w:rPr>
                <w:color w:val="000000"/>
                <w:kern w:val="0"/>
                <w:sz w:val="24"/>
                <w:szCs w:val="24"/>
              </w:rPr>
              <w:t>份</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投资目标</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本基金在严格控制风险的前提下，追求超越业绩比较基准的投资回报。</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投资策略</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为灵活配置混合型主动基金，将基于定量与定性相结合的宏观及市场分析，确定组合中股票、债券等资产类别的配置比例。在股票投资方面，将通过对各行业内的公司受益于新丝路主题的程度以及持续性的深入分析，综合评估相关公司的增长前景、经营效率、竞争优势、盈利能力等方面的因素，判断受益公司的投资价值；在债券投资方面，将通过类属配置与券种选择两个层次进行投资管理。</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业绩比较基准</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中证800指数收益率×65%+一年期人民币定期存款利率（税后）×35%</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风险收益特征</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本基金为混合型基金，理论上其预期风险与预期收益水平低于股票型基金，高于债券型基金和货币市场基金。</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基金管理人</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易方达基金管理有限公司</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基金托管人</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中国建设银行股份有限公司</w:t>
            </w:r>
          </w:p>
        </w:tc>
      </w:tr>
    </w:tbl>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lastRenderedPageBreak/>
        <w:t>§</w:t>
      </w:r>
      <w:r w:rsidRPr="00264E55">
        <w:rPr>
          <w:rFonts w:ascii="宋体" w:hAnsi="宋体"/>
          <w:color w:val="000000"/>
          <w:kern w:val="0"/>
          <w:sz w:val="24"/>
          <w:szCs w:val="24"/>
        </w:rPr>
        <w:t xml:space="preserve">3  </w:t>
      </w:r>
      <w:r w:rsidRPr="00264E55">
        <w:rPr>
          <w:rFonts w:ascii="宋体" w:hAnsi="宋体" w:hint="eastAsia"/>
          <w:color w:val="000000"/>
          <w:kern w:val="0"/>
          <w:sz w:val="24"/>
          <w:szCs w:val="24"/>
        </w:rPr>
        <w:t>主要财务指标和基金净值表现</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3.1 </w:t>
      </w:r>
      <w:r w:rsidRPr="00264E55">
        <w:rPr>
          <w:rFonts w:ascii="宋体" w:hAnsi="宋体" w:hint="eastAsia"/>
          <w:b/>
          <w:bCs/>
          <w:color w:val="000000"/>
          <w:kern w:val="0"/>
          <w:sz w:val="24"/>
          <w:szCs w:val="24"/>
        </w:rPr>
        <w:t>主要财务指标</w:t>
      </w:r>
    </w:p>
    <w:p w:rsidP="00392044" w:rsidR="00392044" w:rsidRDefault="00392044" w:rsidRPr="006506EF">
      <w:pPr>
        <w:autoSpaceDE w:val="0"/>
        <w:autoSpaceDN w:val="0"/>
        <w:adjustRightInd w:val="0"/>
        <w:spacing w:before="29" w:line="360" w:lineRule="auto"/>
        <w:ind w:left="15"/>
        <w:jc w:val="right"/>
        <w:rPr>
          <w:color w:val="000000"/>
          <w:kern w:val="0"/>
          <w:sz w:val="24"/>
        </w:rPr>
      </w:pPr>
      <w:r w:rsidRPr="006506EF">
        <w:rPr>
          <w:color w:val="000000"/>
          <w:kern w:val="0"/>
          <w:sz w:val="24"/>
        </w:rPr>
        <w:t>单位：人民币元</w:t>
      </w:r>
    </w:p>
    <w:tbl>
      <w:tblPr>
        <w:tblW w:type="dxa" w:w="8364"/>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0" w:firstRow="0" w:lastColumn="0" w:lastRow="0" w:noHBand="0" w:noVBand="0" w:val="0000"/>
      </w:tblPr>
      <w:tblGrid>
        <w:gridCol w:w="3402"/>
        <w:gridCol w:w="2552"/>
        <w:gridCol w:w="2410"/>
      </w:tblGrid>
      <w:tr w:rsidR="00392044" w:rsidRPr="006506EF" w:rsidTr="00C3442A">
        <w:tc>
          <w:tcPr>
            <w:tcW w:type="dxa" w:w="3402"/>
            <w:vAlign w:val="center"/>
          </w:tcPr>
          <w:p w:rsidP="00C3442A" w:rsidR="00392044" w:rsidRDefault="00392044" w:rsidRPr="006506EF">
            <w:pPr>
              <w:adjustRightInd w:val="0"/>
              <w:spacing w:before="29" w:line="360" w:lineRule="auto"/>
              <w:ind w:left="17"/>
              <w:jc w:val="center"/>
              <w:rPr>
                <w:kern w:val="0"/>
                <w:sz w:val="24"/>
              </w:rPr>
            </w:pPr>
            <w:r w:rsidRPr="006506EF">
              <w:rPr>
                <w:kern w:val="0"/>
                <w:sz w:val="24"/>
              </w:rPr>
              <w:t>主要财务指标</w:t>
            </w:r>
            <w:r w:rsidRPr="006506EF">
              <w:rPr>
                <w:kern w:val="0"/>
                <w:sz w:val="24"/>
              </w:rPr>
              <w:t/>
            </w:r>
            <w:proofErr w:type="spellStart"/>
            <w:r w:rsidRPr="006506EF">
              <w:rPr>
                <w:kern w:val="0"/>
                <w:sz w:val="24"/>
              </w:rPr>
              <w:t/>
            </w:r>
            <w:proofErr w:type="spellEnd"/>
            <w:r w:rsidRPr="006506EF">
              <w:rPr>
                <w:kern w:val="0"/>
                <w:sz w:val="24"/>
              </w:rPr>
              <w:t/>
            </w:r>
          </w:p>
        </w:tc>
        <w:tc>
          <w:tcPr>
            <w:tcW w:type="dxa" w:w="4962"/>
            <w:hMerge w:val="restart"/>
            <w:vAlign w:val="center"/>
          </w:tcPr>
          <w:p w:rsidP="00C3442A" w:rsidR="00392044" w:rsidRDefault="00392044" w:rsidRPr="006506EF">
            <w:pPr>
              <w:adjustRightInd w:val="0"/>
              <w:spacing w:before="29" w:line="360" w:lineRule="auto"/>
              <w:ind w:left="17"/>
              <w:jc w:val="center"/>
              <w:rPr>
                <w:color w:val="000000"/>
                <w:sz w:val="24"/>
              </w:rPr>
            </w:pPr>
            <w:r w:rsidRPr="006506EF">
              <w:rPr>
                <w:color w:val="000000"/>
                <w:sz w:val="24"/>
              </w:rPr>
              <w:t>报告期</w:t>
            </w:r>
          </w:p>
          <w:p w:rsidP="00C3442A" w:rsidR="00392044" w:rsidRDefault="00392044" w:rsidRPr="006506EF">
            <w:pPr>
              <w:adjustRightInd w:val="0"/>
              <w:spacing w:before="29" w:line="360" w:lineRule="auto"/>
              <w:ind w:left="17"/>
              <w:jc w:val="center"/>
              <w:rPr>
                <w:color w:val="000000"/>
                <w:sz w:val="24"/>
              </w:rPr>
            </w:pPr>
            <w:r w:rsidRPr="006506EF">
              <w:rPr>
                <w:color w:val="000000"/>
                <w:sz w:val="24"/>
              </w:rPr>
              <w:t>(</w:t>
            </w:r>
            <w:proofErr w:type="spellStart"/>
            <w:r w:rsidRPr="006506EF">
              <w:rPr>
                <w:color w:val="000000"/>
                <w:sz w:val="24"/>
              </w:rPr>
              <w:t/>
            </w:r>
            <w:proofErr w:type="spellEnd"/>
            <w:r w:rsidRPr="006506EF">
              <w:rPr>
                <w:color w:val="000000"/>
                <w:sz w:val="24"/>
              </w:rPr>
              <w:t>2020年4月1日-</w:t>
            </w:r>
            <w:proofErr w:type="spellStart"/>
            <w:r w:rsidRPr="006506EF">
              <w:rPr>
                <w:color w:val="000000"/>
                <w:sz w:val="24"/>
              </w:rPr>
              <w:t/>
            </w:r>
            <w:proofErr w:type="spellEnd"/>
            <w:r w:rsidRPr="006506EF">
              <w:rPr>
                <w:color w:val="000000"/>
                <w:sz w:val="24"/>
              </w:rPr>
              <w:t>2020年6月30日)</w:t>
            </w:r>
          </w:p>
        </w:tc>
        <w:tc>
          <w:tcPr>
            <w:tcW w:type="dxa" w:w="2410"/>
            <w:hMerge/>
          </w:tcPr>
          <w:p w:rsidP="00C3442A" w:rsidR="00392044" w:rsidRDefault="00392044" w:rsidRPr="006506EF">
            <w:pPr>
              <w:adjustRightInd w:val="0"/>
              <w:spacing w:before="29" w:line="360" w:lineRule="auto"/>
              <w:ind w:left="17"/>
              <w:jc w:val="center"/>
              <w:rPr>
                <w:color w:val="000000"/>
                <w:sz w:val="24"/>
              </w:rPr>
            </w:pPr>
            <w:r w:rsidRPr="006506EF">
              <w:rPr>
                <w:color w:val="000000"/>
                <w:sz w:val="24"/>
              </w:rPr>
              <w:t>上期金额</w:t>
            </w:r>
            <w:r w:rsidRPr="006506EF">
              <w:rPr>
                <w:color w:val="000000"/>
                <w:sz w:val="24"/>
              </w:rPr>
              <w:t/>
            </w:r>
            <w:proofErr w:type="spellStart"/>
            <w:r w:rsidRPr="006506EF">
              <w:rPr>
                <w:color w:val="000000"/>
                <w:sz w:val="24"/>
              </w:rPr>
              <w:t/>
            </w:r>
            <w:proofErr w:type="spellEnd"/>
            <w:r w:rsidRPr="006506EF">
              <w:rPr>
                <w:color w:val="000000"/>
                <w:sz w:val="24"/>
              </w:rPr>
              <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1.</w:t>
            </w:r>
            <w:r w:rsidRPr="006506EF">
              <w:rPr>
                <w:kern w:val="0"/>
                <w:sz w:val="24"/>
              </w:rPr>
              <w:t>本期已实现收益</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1,039,344,378.63</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2.</w:t>
            </w:r>
            <w:r w:rsidRPr="006506EF">
              <w:rPr>
                <w:kern w:val="0"/>
                <w:sz w:val="24"/>
              </w:rPr>
              <w:t>本期利润</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1,672,815,389.29</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3.</w:t>
            </w:r>
            <w:r w:rsidRPr="006506EF">
              <w:rPr>
                <w:kern w:val="0"/>
                <w:sz w:val="24"/>
              </w:rPr>
              <w:t>加权平均基金份额本期利润</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0.2549</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4.</w:t>
            </w:r>
            <w:r w:rsidRPr="006506EF">
              <w:rPr>
                <w:kern w:val="0"/>
                <w:sz w:val="24"/>
              </w:rPr>
              <w:t>期末基金资产净值</w:t>
            </w:r>
          </w:p>
        </w:tc>
        <w:tc>
          <w:tcPr>
            <w:tcW w:type="dxa" w:w="4962"/>
            <w:hMerge w:val="restart"/>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6,378,981,671.89</w:t>
            </w:r>
          </w:p>
        </w:tc>
        <w:tc>
          <w:tcPr>
            <w:tcW w:type="dxa" w:w="2410"/>
            <w:hMerge/>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rPr>
          <w:trHeight w:val="158"/>
        </w:trPr>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5.</w:t>
            </w:r>
            <w:r w:rsidRPr="006506EF">
              <w:rPr>
                <w:kern w:val="0"/>
                <w:sz w:val="24"/>
              </w:rPr>
              <w:t>期末基金份额净值</w:t>
            </w:r>
          </w:p>
        </w:tc>
        <w:tc>
          <w:tcPr>
            <w:tcW w:type="dxa" w:w="4962"/>
            <w:hMerge w:val="restart"/>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1.195</w:t>
            </w:r>
          </w:p>
        </w:tc>
        <w:tc>
          <w:tcPr>
            <w:tcW w:type="dxa" w:w="2410"/>
            <w:hMerge/>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bl>
    <w:p>
      <w:pPr>
        <w:spacing w:line="360" w:lineRule="auto"/>
        <w:ind w:firstLine="480" w:firstLineChars="200"/>
        <w:rPr>
          <w:color w:val="000000"/>
          <w:sz w:val="24"/>
          <w:szCs w:val="24"/>
        </w:rPr>
      </w:pPr>
      <w:r>
        <w:rPr>
          <w:color w:val="000000"/>
          <w:sz w:val="24"/>
        </w:rPr>
        <w:t>注：1.所述基金业绩指标不包括持有人认购或交易基金的各项费用，计入费用后实际收益水平要低于所列数字。</w:t>
      </w:r>
    </w:p>
    <w:p w:rsidP="00232B03" w:rsidR="00750D48" w:rsidRDefault="00392044" w:rsidRPr="00232B03">
      <w:pPr>
        <w:spacing w:line="360" w:lineRule="auto"/>
        <w:ind w:firstLine="480" w:firstLineChars="200"/>
        <w:rPr>
          <w:color w:val="000000"/>
          <w:sz w:val="24"/>
          <w:szCs w:val="24"/>
        </w:rPr>
      </w:pPr>
      <w:r w:rsidRPr="006506EF">
        <w:rPr>
          <w:color w:val="000000"/>
          <w:sz w:val="24"/>
        </w:rPr>
        <w:t/>
      </w:r>
      <w:proofErr w:type="spellStart"/>
      <w:r w:rsidRPr="006506EF">
        <w:rPr>
          <w:color w:val="000000"/>
          <w:sz w:val="24"/>
        </w:rPr>
        <w:t/>
      </w:r>
      <w:proofErr w:type="spellEnd"/>
      <w:r w:rsidRPr="006506EF">
        <w:rPr>
          <w:color w:val="000000"/>
          <w:sz w:val="24"/>
        </w:rPr>
        <w:t/>
      </w:r>
      <w:proofErr w:type="spellStart"/>
      <w:proofErr w:type="gramStart"/>
      <w:r w:rsidRPr="006506EF">
        <w:rPr>
          <w:color w:val="000000"/>
          <w:sz w:val="24"/>
        </w:rPr>
        <w:t/>
      </w:r>
      <w:proofErr w:type="spellEnd"/>
      <w:proofErr w:type="gramEnd"/>
      <w:r w:rsidRPr="006506EF">
        <w:rPr>
          <w:color w:val="000000"/>
          <w:sz w:val="24"/>
        </w:rPr>
        <w:t>2.本期已实现收益指基金本期利息收入、投资收益、其他收入（不含公允价值变动收益）扣除相关费用后的余额，本期利润为本期已实现收益加上本期公允价值变动收益。</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3.2 </w:t>
      </w:r>
      <w:r w:rsidRPr="00264E55">
        <w:rPr>
          <w:rFonts w:ascii="宋体" w:hAnsi="宋体" w:hint="eastAsia"/>
          <w:b/>
          <w:bCs/>
          <w:color w:val="000000"/>
          <w:kern w:val="0"/>
          <w:sz w:val="24"/>
          <w:szCs w:val="24"/>
        </w:rPr>
        <w:t>基金净值表现</w:t>
      </w:r>
    </w:p>
    <w:p w:rsidP="009E7C6A" w:rsidR="00750D48" w:rsidRDefault="00750D48" w:rsidRPr="00264E55">
      <w:pPr>
        <w:autoSpaceDE w:val="0"/>
        <w:autoSpaceDN w:val="0"/>
        <w:adjustRightInd w:val="0"/>
        <w:spacing w:line="360" w:lineRule="auto"/>
        <w:jc w:val="left"/>
        <w:rPr>
          <w:rFonts w:ascii="宋体" w:cs="宋体"/>
          <w:b/>
          <w:bCs/>
          <w:color w:val="000000"/>
          <w:kern w:val="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b/>
            <w:bCs/>
            <w:color w:val="000000"/>
            <w:kern w:val="0"/>
            <w:sz w:val="24"/>
            <w:szCs w:val="24"/>
          </w:rPr>
          <w:t>3.2.1</w:t>
        </w:r>
      </w:smartTag>
      <w:r w:rsidRPr="00264E55">
        <w:rPr>
          <w:rFonts w:ascii="宋体" w:cs="宋体" w:hAnsi="宋体" w:hint="eastAsia"/>
          <w:b/>
          <w:bCs/>
          <w:color w:val="000000"/>
          <w:kern w:val="0"/>
          <w:sz w:val="24"/>
          <w:szCs w:val="24"/>
        </w:rPr>
        <w:t>本报告</w:t>
      </w:r>
      <w:proofErr w:type="gramStart"/>
      <w:r w:rsidRPr="00264E55">
        <w:rPr>
          <w:rFonts w:ascii="宋体" w:cs="宋体" w:hAnsi="宋体" w:hint="eastAsia"/>
          <w:b/>
          <w:bCs/>
          <w:color w:val="000000"/>
          <w:kern w:val="0"/>
          <w:sz w:val="24"/>
          <w:szCs w:val="24"/>
        </w:rPr>
        <w:t>期基金</w:t>
      </w:r>
      <w:proofErr w:type="gramEnd"/>
      <w:r w:rsidRPr="00264E55">
        <w:rPr>
          <w:rFonts w:ascii="宋体" w:cs="宋体" w:hAnsi="宋体" w:hint="eastAsia"/>
          <w:b/>
          <w:bCs/>
          <w:color w:val="000000"/>
          <w:kern w:val="0"/>
          <w:sz w:val="24"/>
          <w:szCs w:val="24"/>
        </w:rPr>
        <w:t>份额净值增长率及其与同期业绩比较基准收益率的比较</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395"/>
        <w:gridCol w:w="1092"/>
        <w:gridCol w:w="1161"/>
        <w:gridCol w:w="1181"/>
        <w:gridCol w:w="1188"/>
        <w:gridCol w:w="1199"/>
        <w:gridCol w:w="1204"/>
      </w:tblGrid>
      <w:tr w:rsidR="00750D48" w:rsidRPr="00264E55" w:rsidTr="00B05049">
        <w:tc>
          <w:tcPr>
            <w:tcW w:type="dxa" w:w="1395"/>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阶段</w:t>
            </w: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
            </w:r>
          </w:p>
        </w:tc>
        <w:tc>
          <w:tcPr>
            <w:tcW w:type="dxa" w:w="1092"/>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净值增长率</w:t>
            </w:r>
            <w:r w:rsidRPr="00232B03">
              <w:rPr>
                <w:rFonts w:ascii="宋体" w:cs="宋体" w:hAnsi="宋体" w:hint="eastAsia"/>
                <w:color w:val="000000"/>
                <w:kern w:val="0"/>
                <w:sz w:val="24"/>
                <w:szCs w:val="24"/>
              </w:rPr>
              <w:t>①</w:t>
            </w:r>
          </w:p>
        </w:tc>
        <w:tc>
          <w:tcPr>
            <w:tcW w:type="dxa" w:w="1161"/>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净值增长率标准差</w:t>
            </w:r>
            <w:r w:rsidRPr="00232B03">
              <w:rPr>
                <w:rFonts w:ascii="宋体" w:cs="宋体" w:hAnsi="宋体" w:hint="eastAsia"/>
                <w:color w:val="000000"/>
                <w:kern w:val="0"/>
                <w:sz w:val="24"/>
                <w:szCs w:val="24"/>
              </w:rPr>
              <w:t>②</w:t>
            </w:r>
          </w:p>
        </w:tc>
        <w:tc>
          <w:tcPr>
            <w:tcW w:type="dxa" w:w="1181"/>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业绩比较基准收益率</w:t>
            </w:r>
            <w:r w:rsidRPr="00232B03">
              <w:rPr>
                <w:rFonts w:ascii="宋体" w:cs="宋体" w:hAnsi="宋体" w:hint="eastAsia"/>
                <w:color w:val="000000"/>
                <w:kern w:val="0"/>
                <w:sz w:val="24"/>
                <w:szCs w:val="24"/>
              </w:rPr>
              <w:lastRenderedPageBreak/>
              <w:t>③</w:t>
            </w:r>
          </w:p>
        </w:tc>
        <w:tc>
          <w:tcPr>
            <w:tcW w:type="dxa" w:w="1188"/>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lastRenderedPageBreak/>
              <w:t>业绩比较基准收益率</w:t>
            </w:r>
            <w:r w:rsidRPr="00232B03">
              <w:rPr>
                <w:color w:val="000000"/>
                <w:kern w:val="0"/>
                <w:sz w:val="24"/>
                <w:szCs w:val="24"/>
              </w:rPr>
              <w:lastRenderedPageBreak/>
              <w:t>标准差</w:t>
            </w:r>
            <w:r w:rsidRPr="00232B03">
              <w:rPr>
                <w:rFonts w:ascii="宋体" w:cs="宋体" w:hAnsi="宋体" w:hint="eastAsia"/>
                <w:color w:val="000000"/>
                <w:kern w:val="0"/>
                <w:sz w:val="24"/>
                <w:szCs w:val="24"/>
              </w:rPr>
              <w:t>④</w:t>
            </w:r>
          </w:p>
        </w:tc>
        <w:tc>
          <w:tcPr>
            <w:tcW w:type="dxa" w:w="1199"/>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rFonts w:ascii="宋体" w:cs="宋体" w:hAnsi="宋体" w:hint="eastAsia"/>
                <w:color w:val="000000"/>
                <w:kern w:val="0"/>
                <w:sz w:val="24"/>
                <w:szCs w:val="24"/>
              </w:rPr>
              <w:lastRenderedPageBreak/>
              <w:t>①</w:t>
            </w:r>
            <w:r w:rsidRPr="00232B03">
              <w:rPr>
                <w:color w:val="000000"/>
                <w:kern w:val="0"/>
                <w:sz w:val="24"/>
                <w:szCs w:val="24"/>
              </w:rPr>
              <w:t>-</w:t>
            </w:r>
            <w:r w:rsidRPr="00232B03">
              <w:rPr>
                <w:rFonts w:ascii="宋体" w:cs="宋体" w:hAnsi="宋体" w:hint="eastAsia"/>
                <w:color w:val="000000"/>
                <w:kern w:val="0"/>
                <w:sz w:val="24"/>
                <w:szCs w:val="24"/>
              </w:rPr>
              <w:t>③</w:t>
            </w:r>
          </w:p>
        </w:tc>
        <w:tc>
          <w:tcPr>
            <w:tcW w:type="dxa" w:w="1204"/>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rFonts w:ascii="宋体" w:cs="宋体" w:hAnsi="宋体" w:hint="eastAsia"/>
                <w:color w:val="000000"/>
                <w:kern w:val="0"/>
                <w:sz w:val="24"/>
                <w:szCs w:val="24"/>
              </w:rPr>
              <w:t>②</w:t>
            </w:r>
            <w:r w:rsidRPr="00232B03">
              <w:rPr>
                <w:color w:val="000000"/>
                <w:kern w:val="0"/>
                <w:sz w:val="24"/>
                <w:szCs w:val="24"/>
              </w:rPr>
              <w:t>-</w:t>
            </w:r>
            <w:r w:rsidRPr="00232B03">
              <w:rPr>
                <w:rFonts w:ascii="宋体" w:cs="宋体" w:hAnsi="宋体" w:hint="eastAsia"/>
                <w:color w:val="000000"/>
                <w:kern w:val="0"/>
                <w:sz w:val="24"/>
                <w:szCs w:val="24"/>
              </w:rPr>
              <w:t>④</w:t>
            </w:r>
          </w:p>
        </w:tc>
      </w:tr>
      <w:tr>
        <w:tc>
          <w:tcPr>
            <w:vAlign w:val="center"/>
          </w:tcPr>
          <w:p>
            <w:pPr>
              <w:jc w:val="left"/>
            </w:pPr>
            <w:r>
              <w:rPr>
                <w:color w:val="000000"/>
                <w:kern w:val="0"/>
                <w:sz w:val="24"/>
                <w:szCs w:val="24"/>
              </w:rPr>
              <w:t>过去三个月</w:t>
            </w:r>
          </w:p>
        </w:tc>
        <w:tc>
          <w:tcPr>
            <w:vAlign w:val="center"/>
          </w:tcPr>
          <w:p>
            <w:pPr>
              <w:jc w:val="center"/>
            </w:pPr>
            <w:r>
              <w:rPr>
                <w:color w:val="000000"/>
                <w:kern w:val="0"/>
                <w:sz w:val="24"/>
                <w:szCs w:val="24"/>
              </w:rPr>
              <w:t>27.53%</w:t>
            </w:r>
          </w:p>
        </w:tc>
        <w:tc>
          <w:tcPr>
            <w:vAlign w:val="center"/>
          </w:tcPr>
          <w:p>
            <w:pPr>
              <w:jc w:val="center"/>
            </w:pPr>
            <w:r>
              <w:rPr>
                <w:color w:val="000000"/>
                <w:kern w:val="0"/>
                <w:sz w:val="24"/>
                <w:szCs w:val="24"/>
              </w:rPr>
              <w:t>1.07%</w:t>
            </w:r>
          </w:p>
        </w:tc>
        <w:tc>
          <w:tcPr>
            <w:vAlign w:val="center"/>
          </w:tcPr>
          <w:p>
            <w:pPr>
              <w:jc w:val="center"/>
            </w:pPr>
            <w:r>
              <w:rPr>
                <w:color w:val="000000"/>
                <w:kern w:val="0"/>
                <w:sz w:val="24"/>
                <w:szCs w:val="24"/>
              </w:rPr>
              <w:t>8.97%</w:t>
            </w:r>
          </w:p>
        </w:tc>
        <w:tc>
          <w:tcPr>
            <w:vAlign w:val="center"/>
          </w:tcPr>
          <w:p>
            <w:pPr>
              <w:jc w:val="center"/>
            </w:pPr>
            <w:r>
              <w:rPr>
                <w:color w:val="000000"/>
                <w:kern w:val="0"/>
                <w:sz w:val="24"/>
                <w:szCs w:val="24"/>
              </w:rPr>
              <w:t>0.60%</w:t>
            </w:r>
          </w:p>
        </w:tc>
        <w:tc>
          <w:tcPr>
            <w:vAlign w:val="center"/>
          </w:tcPr>
          <w:p>
            <w:pPr>
              <w:jc w:val="center"/>
            </w:pPr>
            <w:r>
              <w:rPr>
                <w:color w:val="000000"/>
                <w:kern w:val="0"/>
                <w:sz w:val="24"/>
                <w:szCs w:val="24"/>
              </w:rPr>
              <w:t>18.56%</w:t>
            </w:r>
          </w:p>
        </w:tc>
        <w:tc>
          <w:tcPr>
            <w:vAlign w:val="center"/>
          </w:tcPr>
          <w:p>
            <w:pPr>
              <w:jc w:val="center"/>
            </w:pPr>
            <w:r>
              <w:rPr>
                <w:color w:val="000000"/>
                <w:kern w:val="0"/>
                <w:sz w:val="24"/>
                <w:szCs w:val="24"/>
              </w:rPr>
              <w:t>0.47%</w:t>
            </w:r>
          </w:p>
        </w:tc>
      </w:tr>
      <w:tr>
        <w:tc>
          <w:tcPr>
            <w:vAlign w:val="center"/>
          </w:tcPr>
          <w:p>
            <w:pPr>
              <w:jc w:val="left"/>
            </w:pPr>
            <w:r>
              <w:rPr>
                <w:color w:val="000000"/>
                <w:kern w:val="0"/>
                <w:sz w:val="24"/>
                <w:szCs w:val="24"/>
              </w:rPr>
              <w:t>过去六个月</w:t>
            </w:r>
          </w:p>
        </w:tc>
        <w:tc>
          <w:tcPr>
            <w:vAlign w:val="center"/>
          </w:tcPr>
          <w:p>
            <w:pPr>
              <w:jc w:val="center"/>
            </w:pPr>
            <w:r>
              <w:rPr>
                <w:color w:val="000000"/>
                <w:kern w:val="0"/>
                <w:sz w:val="24"/>
                <w:szCs w:val="24"/>
              </w:rPr>
              <w:t>20.22%</w:t>
            </w:r>
          </w:p>
        </w:tc>
        <w:tc>
          <w:tcPr>
            <w:vAlign w:val="center"/>
          </w:tcPr>
          <w:p>
            <w:pPr>
              <w:jc w:val="center"/>
            </w:pPr>
            <w:r>
              <w:rPr>
                <w:color w:val="000000"/>
                <w:kern w:val="0"/>
                <w:sz w:val="24"/>
                <w:szCs w:val="24"/>
              </w:rPr>
              <w:t>1.65%</w:t>
            </w:r>
          </w:p>
        </w:tc>
        <w:tc>
          <w:tcPr>
            <w:vAlign w:val="center"/>
          </w:tcPr>
          <w:p>
            <w:pPr>
              <w:jc w:val="center"/>
            </w:pPr>
            <w:r>
              <w:rPr>
                <w:color w:val="000000"/>
                <w:kern w:val="0"/>
                <w:sz w:val="24"/>
                <w:szCs w:val="24"/>
              </w:rPr>
              <w:t>3.16%</w:t>
            </w:r>
          </w:p>
        </w:tc>
        <w:tc>
          <w:tcPr>
            <w:vAlign w:val="center"/>
          </w:tcPr>
          <w:p>
            <w:pPr>
              <w:jc w:val="center"/>
            </w:pPr>
            <w:r>
              <w:rPr>
                <w:color w:val="000000"/>
                <w:kern w:val="0"/>
                <w:sz w:val="24"/>
                <w:szCs w:val="24"/>
              </w:rPr>
              <w:t>1.01%</w:t>
            </w:r>
          </w:p>
        </w:tc>
        <w:tc>
          <w:tcPr>
            <w:vAlign w:val="center"/>
          </w:tcPr>
          <w:p>
            <w:pPr>
              <w:jc w:val="center"/>
            </w:pPr>
            <w:r>
              <w:rPr>
                <w:color w:val="000000"/>
                <w:kern w:val="0"/>
                <w:sz w:val="24"/>
                <w:szCs w:val="24"/>
              </w:rPr>
              <w:t>17.06%</w:t>
            </w:r>
          </w:p>
        </w:tc>
        <w:tc>
          <w:tcPr>
            <w:vAlign w:val="center"/>
          </w:tcPr>
          <w:p>
            <w:pPr>
              <w:jc w:val="center"/>
            </w:pPr>
            <w:r>
              <w:rPr>
                <w:color w:val="000000"/>
                <w:kern w:val="0"/>
                <w:sz w:val="24"/>
                <w:szCs w:val="24"/>
              </w:rPr>
              <w:t>0.64%</w:t>
            </w:r>
          </w:p>
        </w:tc>
      </w:tr>
      <w:tr>
        <w:tc>
          <w:tcPr>
            <w:vAlign w:val="center"/>
          </w:tcPr>
          <w:p>
            <w:pPr>
              <w:jc w:val="left"/>
            </w:pPr>
            <w:r>
              <w:rPr>
                <w:color w:val="000000"/>
                <w:kern w:val="0"/>
                <w:sz w:val="24"/>
                <w:szCs w:val="24"/>
              </w:rPr>
              <w:t>过去一年</w:t>
            </w:r>
          </w:p>
        </w:tc>
        <w:tc>
          <w:tcPr>
            <w:vAlign w:val="center"/>
          </w:tcPr>
          <w:p>
            <w:pPr>
              <w:jc w:val="center"/>
            </w:pPr>
            <w:r>
              <w:rPr>
                <w:color w:val="000000"/>
                <w:kern w:val="0"/>
                <w:sz w:val="24"/>
                <w:szCs w:val="24"/>
              </w:rPr>
              <w:t>31.61%</w:t>
            </w:r>
          </w:p>
        </w:tc>
        <w:tc>
          <w:tcPr>
            <w:vAlign w:val="center"/>
          </w:tcPr>
          <w:p>
            <w:pPr>
              <w:jc w:val="center"/>
            </w:pPr>
            <w:r>
              <w:rPr>
                <w:color w:val="000000"/>
                <w:kern w:val="0"/>
                <w:sz w:val="24"/>
                <w:szCs w:val="24"/>
              </w:rPr>
              <w:t>1.34%</w:t>
            </w:r>
          </w:p>
        </w:tc>
        <w:tc>
          <w:tcPr>
            <w:vAlign w:val="center"/>
          </w:tcPr>
          <w:p>
            <w:pPr>
              <w:jc w:val="center"/>
            </w:pPr>
            <w:r>
              <w:rPr>
                <w:color w:val="000000"/>
                <w:kern w:val="0"/>
                <w:sz w:val="24"/>
                <w:szCs w:val="24"/>
              </w:rPr>
              <w:t>8.16%</w:t>
            </w:r>
          </w:p>
        </w:tc>
        <w:tc>
          <w:tcPr>
            <w:vAlign w:val="center"/>
          </w:tcPr>
          <w:p>
            <w:pPr>
              <w:jc w:val="center"/>
            </w:pPr>
            <w:r>
              <w:rPr>
                <w:color w:val="000000"/>
                <w:kern w:val="0"/>
                <w:sz w:val="24"/>
                <w:szCs w:val="24"/>
              </w:rPr>
              <w:t>0.81%</w:t>
            </w:r>
          </w:p>
        </w:tc>
        <w:tc>
          <w:tcPr>
            <w:vAlign w:val="center"/>
          </w:tcPr>
          <w:p>
            <w:pPr>
              <w:jc w:val="center"/>
            </w:pPr>
            <w:r>
              <w:rPr>
                <w:color w:val="000000"/>
                <w:kern w:val="0"/>
                <w:sz w:val="24"/>
                <w:szCs w:val="24"/>
              </w:rPr>
              <w:t>23.45%</w:t>
            </w:r>
          </w:p>
        </w:tc>
        <w:tc>
          <w:tcPr>
            <w:vAlign w:val="center"/>
          </w:tcPr>
          <w:p>
            <w:pPr>
              <w:jc w:val="center"/>
            </w:pPr>
            <w:r>
              <w:rPr>
                <w:color w:val="000000"/>
                <w:kern w:val="0"/>
                <w:sz w:val="24"/>
                <w:szCs w:val="24"/>
              </w:rPr>
              <w:t>0.53%</w:t>
            </w:r>
          </w:p>
        </w:tc>
      </w:tr>
      <w:tr>
        <w:tc>
          <w:tcPr>
            <w:vAlign w:val="center"/>
          </w:tcPr>
          <w:p>
            <w:pPr>
              <w:jc w:val="left"/>
            </w:pPr>
            <w:r>
              <w:rPr>
                <w:color w:val="000000"/>
                <w:kern w:val="0"/>
                <w:sz w:val="24"/>
                <w:szCs w:val="24"/>
              </w:rPr>
              <w:t>过去三年</w:t>
            </w:r>
          </w:p>
        </w:tc>
        <w:tc>
          <w:tcPr>
            <w:vAlign w:val="center"/>
          </w:tcPr>
          <w:p>
            <w:pPr>
              <w:jc w:val="center"/>
            </w:pPr>
            <w:r>
              <w:rPr>
                <w:color w:val="000000"/>
                <w:kern w:val="0"/>
                <w:sz w:val="24"/>
                <w:szCs w:val="24"/>
              </w:rPr>
              <w:t>59.76%</w:t>
            </w:r>
          </w:p>
        </w:tc>
        <w:tc>
          <w:tcPr>
            <w:vAlign w:val="center"/>
          </w:tcPr>
          <w:p>
            <w:pPr>
              <w:jc w:val="center"/>
            </w:pPr>
            <w:r>
              <w:rPr>
                <w:color w:val="000000"/>
                <w:kern w:val="0"/>
                <w:sz w:val="24"/>
                <w:szCs w:val="24"/>
              </w:rPr>
              <w:t>1.42%</w:t>
            </w:r>
          </w:p>
        </w:tc>
        <w:tc>
          <w:tcPr>
            <w:vAlign w:val="center"/>
          </w:tcPr>
          <w:p>
            <w:pPr>
              <w:jc w:val="center"/>
            </w:pPr>
            <w:r>
              <w:rPr>
                <w:color w:val="000000"/>
                <w:kern w:val="0"/>
                <w:sz w:val="24"/>
                <w:szCs w:val="24"/>
              </w:rPr>
              <w:t>8.72%</w:t>
            </w:r>
          </w:p>
        </w:tc>
        <w:tc>
          <w:tcPr>
            <w:vAlign w:val="center"/>
          </w:tcPr>
          <w:p>
            <w:pPr>
              <w:jc w:val="center"/>
            </w:pPr>
            <w:r>
              <w:rPr>
                <w:color w:val="000000"/>
                <w:kern w:val="0"/>
                <w:sz w:val="24"/>
                <w:szCs w:val="24"/>
              </w:rPr>
              <w:t>0.82%</w:t>
            </w:r>
          </w:p>
        </w:tc>
        <w:tc>
          <w:tcPr>
            <w:vAlign w:val="center"/>
          </w:tcPr>
          <w:p>
            <w:pPr>
              <w:jc w:val="center"/>
            </w:pPr>
            <w:r>
              <w:rPr>
                <w:color w:val="000000"/>
                <w:kern w:val="0"/>
                <w:sz w:val="24"/>
                <w:szCs w:val="24"/>
              </w:rPr>
              <w:t>51.04%</w:t>
            </w:r>
          </w:p>
        </w:tc>
        <w:tc>
          <w:tcPr>
            <w:vAlign w:val="center"/>
          </w:tcPr>
          <w:p>
            <w:pPr>
              <w:jc w:val="center"/>
            </w:pPr>
            <w:r>
              <w:rPr>
                <w:color w:val="000000"/>
                <w:kern w:val="0"/>
                <w:sz w:val="24"/>
                <w:szCs w:val="24"/>
              </w:rPr>
              <w:t>0.60%</w:t>
            </w:r>
          </w:p>
        </w:tc>
      </w:tr>
      <w:tr>
        <w:tc>
          <w:tcPr>
            <w:vAlign w:val="center"/>
          </w:tcPr>
          <w:p>
            <w:pPr>
              <w:jc w:val="left"/>
            </w:pPr>
            <w:r>
              <w:rPr>
                <w:color w:val="000000"/>
                <w:kern w:val="0"/>
                <w:sz w:val="24"/>
                <w:szCs w:val="24"/>
              </w:rPr>
              <w:t>过去五年</w:t>
            </w:r>
          </w:p>
        </w:tc>
        <w:tc>
          <w:tcPr>
            <w:vAlign w:val="center"/>
          </w:tcPr>
          <w:p>
            <w:pPr>
              <w:jc w:val="center"/>
            </w:pPr>
            <w:r>
              <w:rPr>
                <w:color w:val="000000"/>
                <w:kern w:val="0"/>
                <w:sz w:val="24"/>
                <w:szCs w:val="24"/>
              </w:rPr>
              <w:t>35.03%</w:t>
            </w:r>
          </w:p>
        </w:tc>
        <w:tc>
          <w:tcPr>
            <w:vAlign w:val="center"/>
          </w:tcPr>
          <w:p>
            <w:pPr>
              <w:jc w:val="center"/>
            </w:pPr>
            <w:r>
              <w:rPr>
                <w:color w:val="000000"/>
                <w:kern w:val="0"/>
                <w:sz w:val="24"/>
                <w:szCs w:val="24"/>
              </w:rPr>
              <w:t>1.60%</w:t>
            </w:r>
          </w:p>
        </w:tc>
        <w:tc>
          <w:tcPr>
            <w:vAlign w:val="center"/>
          </w:tcPr>
          <w:p>
            <w:pPr>
              <w:jc w:val="center"/>
            </w:pPr>
            <w:r>
              <w:rPr>
                <w:color w:val="000000"/>
                <w:kern w:val="0"/>
                <w:sz w:val="24"/>
                <w:szCs w:val="24"/>
              </w:rPr>
              <w:t>-4.80%</w:t>
            </w:r>
          </w:p>
        </w:tc>
        <w:tc>
          <w:tcPr>
            <w:vAlign w:val="center"/>
          </w:tcPr>
          <w:p>
            <w:pPr>
              <w:jc w:val="center"/>
            </w:pPr>
            <w:r>
              <w:rPr>
                <w:color w:val="000000"/>
                <w:kern w:val="0"/>
                <w:sz w:val="24"/>
                <w:szCs w:val="24"/>
              </w:rPr>
              <w:t>0.97%</w:t>
            </w:r>
          </w:p>
        </w:tc>
        <w:tc>
          <w:tcPr>
            <w:vAlign w:val="center"/>
          </w:tcPr>
          <w:p>
            <w:pPr>
              <w:jc w:val="center"/>
            </w:pPr>
            <w:r>
              <w:rPr>
                <w:color w:val="000000"/>
                <w:kern w:val="0"/>
                <w:sz w:val="24"/>
                <w:szCs w:val="24"/>
              </w:rPr>
              <w:t>39.83%</w:t>
            </w:r>
          </w:p>
        </w:tc>
        <w:tc>
          <w:tcPr>
            <w:vAlign w:val="center"/>
          </w:tcPr>
          <w:p>
            <w:pPr>
              <w:jc w:val="center"/>
            </w:pPr>
            <w:r>
              <w:rPr>
                <w:color w:val="000000"/>
                <w:kern w:val="0"/>
                <w:sz w:val="24"/>
                <w:szCs w:val="24"/>
              </w:rPr>
              <w:t>0.63%</w:t>
            </w:r>
          </w:p>
        </w:tc>
      </w:tr>
      <w:tr>
        <w:tc>
          <w:tcPr>
            <w:vAlign w:val="center"/>
          </w:tcPr>
          <w:p>
            <w:pPr>
              <w:jc w:val="left"/>
            </w:pPr>
            <w:r>
              <w:rPr>
                <w:color w:val="000000"/>
                <w:kern w:val="0"/>
                <w:sz w:val="24"/>
                <w:szCs w:val="24"/>
              </w:rPr>
              <w:t>自基金合同生效起至今</w:t>
            </w:r>
          </w:p>
        </w:tc>
        <w:tc>
          <w:tcPr>
            <w:vAlign w:val="center"/>
          </w:tcPr>
          <w:p>
            <w:pPr>
              <w:jc w:val="center"/>
            </w:pPr>
            <w:r>
              <w:rPr>
                <w:color w:val="000000"/>
                <w:kern w:val="0"/>
                <w:sz w:val="24"/>
                <w:szCs w:val="24"/>
              </w:rPr>
              <w:t>19.50%</w:t>
            </w:r>
          </w:p>
        </w:tc>
        <w:tc>
          <w:tcPr>
            <w:vAlign w:val="center"/>
          </w:tcPr>
          <w:p>
            <w:pPr>
              <w:jc w:val="center"/>
            </w:pPr>
            <w:r>
              <w:rPr>
                <w:color w:val="000000"/>
                <w:kern w:val="0"/>
                <w:sz w:val="24"/>
                <w:szCs w:val="24"/>
              </w:rPr>
              <w:t>1.61%</w:t>
            </w:r>
          </w:p>
        </w:tc>
        <w:tc>
          <w:tcPr>
            <w:vAlign w:val="center"/>
          </w:tcPr>
          <w:p>
            <w:pPr>
              <w:jc w:val="center"/>
            </w:pPr>
            <w:r>
              <w:rPr>
                <w:color w:val="000000"/>
                <w:kern w:val="0"/>
                <w:sz w:val="24"/>
                <w:szCs w:val="24"/>
              </w:rPr>
              <w:t>-13.31%</w:t>
            </w:r>
          </w:p>
        </w:tc>
        <w:tc>
          <w:tcPr>
            <w:vAlign w:val="center"/>
          </w:tcPr>
          <w:p>
            <w:pPr>
              <w:jc w:val="center"/>
            </w:pPr>
            <w:r>
              <w:rPr>
                <w:color w:val="000000"/>
                <w:kern w:val="0"/>
                <w:sz w:val="24"/>
                <w:szCs w:val="24"/>
              </w:rPr>
              <w:t>1.01%</w:t>
            </w:r>
          </w:p>
        </w:tc>
        <w:tc>
          <w:tcPr>
            <w:vAlign w:val="center"/>
          </w:tcPr>
          <w:p>
            <w:pPr>
              <w:jc w:val="center"/>
            </w:pPr>
            <w:r>
              <w:rPr>
                <w:color w:val="000000"/>
                <w:kern w:val="0"/>
                <w:sz w:val="24"/>
                <w:szCs w:val="24"/>
              </w:rPr>
              <w:t>32.81%</w:t>
            </w:r>
          </w:p>
        </w:tc>
        <w:tc>
          <w:tcPr>
            <w:vAlign w:val="center"/>
          </w:tcPr>
          <w:p>
            <w:pPr>
              <w:jc w:val="center"/>
            </w:pPr>
            <w:r>
              <w:rPr>
                <w:color w:val="000000"/>
                <w:kern w:val="0"/>
                <w:sz w:val="24"/>
                <w:szCs w:val="24"/>
              </w:rPr>
              <w:t>0.60%</w:t>
            </w:r>
          </w:p>
        </w:tc>
      </w:tr>
    </w:tbl>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b/>
            <w:bCs/>
            <w:color w:val="000000"/>
            <w:kern w:val="0"/>
            <w:sz w:val="24"/>
            <w:szCs w:val="24"/>
          </w:rPr>
          <w:t>3.2.2</w:t>
        </w:r>
        <w:r w:rsidR="00D87469" w:rsidRPr="00370BEA">
          <w:rPr>
            <w:rStyle w:val="afb"/>
            <w:rFonts w:hint="eastAsia"/>
            <w:color w:val="000000"/>
            <w:sz w:val="24"/>
            <w:shd w:color="auto" w:fill="FFFFFF" w:val="clear"/>
          </w:rPr>
          <w:t/>
        </w:r>
        <w:proofErr w:type="spellStart"/>
        <w:r w:rsidR="00D87469" w:rsidRPr="00370BEA">
          <w:rPr>
            <w:rStyle w:val="afb"/>
            <w:rFonts w:hint="eastAsia"/>
            <w:color w:val="000000"/>
            <w:sz w:val="24"/>
            <w:shd w:color="auto" w:fill="FFFFFF" w:val="clear"/>
          </w:rPr>
          <w:t/>
        </w:r>
        <w:proofErr w:type="spellEnd"/>
        <w:r w:rsidR="00D87469" w:rsidRPr="00370BEA">
          <w:rPr>
            <w:rStyle w:val="afb"/>
            <w:rFonts w:hint="eastAsia"/>
            <w:color w:val="000000"/>
            <w:sz w:val="24"/>
            <w:shd w:color="auto" w:fill="FFFFFF" w:val="clear"/>
          </w:rPr>
          <w:t>自基金合同生效以来</w:t>
        </w:r>
      </w:smartTag>
      <w:r w:rsidRPr="00264E55">
        <w:rPr>
          <w:rFonts w:ascii="宋体" w:hAnsi="宋体" w:hint="eastAsia"/>
          <w:b/>
          <w:bCs/>
          <w:color w:val="000000"/>
          <w:kern w:val="0"/>
          <w:sz w:val="24"/>
          <w:szCs w:val="24"/>
        </w:rPr>
        <w:t>基金累计净值增长率变动及其与同期业绩比较基准收益率变动的比较</w:t>
      </w:r>
    </w:p>
    <w:p w:rsidP="009E7C6A" w:rsidR="00750D48" w:rsidRDefault="00750D48" w:rsidRPr="0074694E">
      <w:pPr>
        <w:spacing w:line="360" w:lineRule="auto"/>
        <w:jc w:val="center"/>
        <w:rPr>
          <w:color w:val="000000"/>
          <w:sz w:val="24"/>
          <w:szCs w:val="24"/>
        </w:rPr>
      </w:pPr>
      <w:r w:rsidRPr="0074694E">
        <w:rPr>
          <w:color w:val="000000"/>
          <w:sz w:val="24"/>
          <w:szCs w:val="24"/>
        </w:rPr>
        <w:t/>
      </w:r>
      <w:proofErr w:type="spellStart"/>
      <w:r w:rsidRPr="0074694E">
        <w:rPr>
          <w:color w:val="000000"/>
          <w:sz w:val="24"/>
          <w:szCs w:val="24"/>
        </w:rPr>
        <w:t/>
      </w:r>
      <w:proofErr w:type="spellEnd"/>
      <w:r w:rsidRPr="0074694E">
        <w:rPr>
          <w:color w:val="000000"/>
          <w:sz w:val="24"/>
          <w:szCs w:val="24"/>
        </w:rPr>
        <w:t>易方达新丝路灵活配置混合型证券投资基金</w:t>
      </w:r>
    </w:p>
    <w:p w:rsidP="009E7C6A" w:rsidR="00750D48" w:rsidRDefault="00750D48" w:rsidRPr="0074694E">
      <w:pPr>
        <w:pStyle w:val="a5"/>
        <w:snapToGrid w:val="0"/>
        <w:spacing w:line="360" w:lineRule="auto"/>
        <w:jc w:val="center"/>
        <w:rPr>
          <w:rFonts w:ascii="Times New Roman" w:hAnsi="Times New Roman"/>
          <w:color w:val="000000"/>
          <w:sz w:val="24"/>
          <w:szCs w:val="24"/>
        </w:rPr>
      </w:pPr>
      <w:r w:rsidRPr="0074694E">
        <w:rPr>
          <w:rFonts w:ascii="Times New Roman" w:hAnsi="Times New Roman"/>
          <w:color w:val="000000"/>
          <w:sz w:val="24"/>
          <w:szCs w:val="24"/>
        </w:rPr>
        <w:t>累计净值增长率与业绩比较基准收益率的历史走势对比图</w:t>
      </w:r>
    </w:p>
    <w:p w:rsidP="009E7C6A" w:rsidR="00750D48" w:rsidRDefault="005F7917" w:rsidRPr="0074694E">
      <w:pPr>
        <w:pStyle w:val="a5"/>
        <w:snapToGrid w:val="0"/>
        <w:spacing w:line="360" w:lineRule="auto"/>
        <w:ind w:firstLine="480"/>
        <w:jc w:val="center"/>
        <w:rPr>
          <w:rFonts w:ascii="Times New Roman" w:hAnsi="Times New Roman"/>
          <w:sz w:val="24"/>
          <w:szCs w:val="24"/>
        </w:rPr>
      </w:pPr>
      <w:r w:rsidRPr="0074694E">
        <w:rPr>
          <w:rFonts w:ascii="Times New Roman" w:hAnsi="Times New Roman"/>
          <w:sz w:val="24"/>
          <w:szCs w:val="24"/>
        </w:rPr>
        <w:t>（</w:t>
      </w:r>
      <w:r w:rsidRPr="0074694E">
        <w:rPr>
          <w:rFonts w:ascii="Times New Roman" w:hAnsi="Times New Roman"/>
          <w:sz w:val="24"/>
          <w:szCs w:val="24"/>
        </w:rPr>
        <w:t/>
      </w:r>
      <w:proofErr w:type="spellStart"/>
      <w:r w:rsidRPr="0074694E">
        <w:rPr>
          <w:rFonts w:ascii="Times New Roman" w:hAnsi="Times New Roman"/>
          <w:sz w:val="24"/>
          <w:szCs w:val="24"/>
        </w:rPr>
        <w:t/>
      </w:r>
      <w:proofErr w:type="spellEnd"/>
      <w:r w:rsidRPr="0074694E">
        <w:rPr>
          <w:rFonts w:ascii="Times New Roman" w:hAnsi="Times New Roman"/>
          <w:sz w:val="24"/>
          <w:szCs w:val="24"/>
        </w:rPr>
        <w:t>2015年5月27日</w:t>
      </w:r>
      <w:r w:rsidRPr="0074694E">
        <w:rPr>
          <w:rFonts w:ascii="Times New Roman" w:hAnsi="Times New Roman"/>
          <w:sz w:val="24"/>
          <w:szCs w:val="24"/>
        </w:rPr>
        <w:t>至</w:t>
      </w:r>
      <w:r w:rsidRPr="0074694E">
        <w:rPr>
          <w:rFonts w:ascii="Times New Roman" w:hAnsi="Times New Roman"/>
          <w:sz w:val="24"/>
          <w:szCs w:val="24"/>
        </w:rPr>
        <w:t/>
      </w:r>
      <w:proofErr w:type="spellStart"/>
      <w:r w:rsidRPr="0074694E">
        <w:rPr>
          <w:rFonts w:ascii="Times New Roman" w:hAnsi="Times New Roman"/>
          <w:sz w:val="24"/>
          <w:szCs w:val="24"/>
        </w:rPr>
        <w:t/>
      </w:r>
      <w:proofErr w:type="spellEnd"/>
      <w:r w:rsidRPr="0074694E">
        <w:rPr>
          <w:rFonts w:ascii="Times New Roman" w:hAnsi="Times New Roman"/>
          <w:sz w:val="24"/>
          <w:szCs w:val="24"/>
        </w:rPr>
        <w:t>2020年6月30日</w:t>
      </w:r>
      <w:r w:rsidRPr="0074694E">
        <w:rPr>
          <w:rFonts w:ascii="Times New Roman" w:hAnsi="Times New Roman"/>
          <w:sz w:val="24"/>
          <w:szCs w:val="24"/>
        </w:rPr>
        <w:t>）</w:t>
      </w:r>
    </w:p>
    <w:p w:rsidP="004061AC" w:rsidR="00750D48" w:rsidRDefault="00B371D4" w:rsidRPr="00264E55">
      <w:pPr>
        <w:pStyle w:val="a5"/>
        <w:snapToGrid w:val="0"/>
        <w:spacing w:before="120" w:line="360" w:lineRule="auto"/>
        <w:jc w:val="center"/>
        <w:rPr>
          <w:rFonts w:hAnsi="宋体"/>
          <w:color w:val="000000"/>
          <w:sz w:val="24"/>
          <w:szCs w:val="24"/>
        </w:rPr>
      </w:pPr>
      <w:r>
        <w:rPr>
          <w:rFonts w:hAnsi="宋体"/>
          <w:noProof/>
          <w:color w:val="000000"/>
          <w:sz w:val="24"/>
          <w:szCs w:val="24"/>
        </w:rPr>
        <w:pict>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id="图片 1" o:spid="_x0000_i1025" style="width:412.5pt;height:241.5pt;visibility:visible" type="#_x0000_t75">
            <v:imagedata o:title="" r:id="rId11"/>
          </v:shape>
        </w:pic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注：自基金合同生效至报告期末，基金份额净值增长率为19.50% ，同期业绩比较基准收益率为-13.31%。</w:t>
      </w:r>
    </w:p>
    <w:p w:rsidP="00693843" w:rsidR="00750D48" w:rsidRDefault="00750D48" w:rsidRPr="00232B03">
      <w:pPr>
        <w:tabs>
          <w:tab w:pos="1800" w:val="left"/>
        </w:tabs>
        <w:spacing w:line="288" w:lineRule="auto"/>
        <w:rPr>
          <w:color w:val="000000"/>
          <w:sz w:val="24"/>
          <w:szCs w:val="24"/>
        </w:rPr>
      </w:pP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4  </w:t>
      </w:r>
      <w:r w:rsidRPr="00264E55">
        <w:rPr>
          <w:rFonts w:ascii="宋体" w:hAnsi="宋体" w:hint="eastAsia"/>
          <w:color w:val="000000"/>
          <w:kern w:val="0"/>
          <w:sz w:val="24"/>
          <w:szCs w:val="24"/>
        </w:rPr>
        <w:t>管理人报告</w:t>
      </w:r>
    </w:p>
    <w:p w:rsidP="004D28A3" w:rsidR="004D28A3" w:rsidRDefault="00750D48" w:rsidRPr="0078105B">
      <w:pPr>
        <w:autoSpaceDE w:val="0"/>
        <w:autoSpaceDN w:val="0"/>
        <w:adjustRightInd w:val="0"/>
        <w:spacing w:line="360" w:lineRule="auto"/>
        <w:jc w:val="left"/>
        <w:rPr>
          <w:rFonts w:ascii="宋体" w:cs="Arial"/>
          <w:b/>
          <w:color w:val="000000"/>
          <w:kern w:val="0"/>
          <w:sz w:val="24"/>
        </w:rPr>
      </w:pPr>
      <w:r w:rsidRPr="00264E55">
        <w:rPr>
          <w:rFonts w:ascii="宋体" w:hAnsi="宋体"/>
          <w:b/>
          <w:bCs/>
          <w:color w:val="000000"/>
          <w:kern w:val="0"/>
          <w:sz w:val="24"/>
          <w:szCs w:val="24"/>
        </w:rPr>
        <w:t xml:space="preserve">4.1 </w:t>
      </w:r>
      <w:r w:rsidRPr="00264E55">
        <w:rPr>
          <w:rFonts w:ascii="宋体" w:hAnsi="宋体" w:hint="eastAsia"/>
          <w:b/>
          <w:bCs/>
          <w:color w:val="000000"/>
          <w:kern w:val="0"/>
          <w:sz w:val="24"/>
          <w:szCs w:val="24"/>
        </w:rPr>
        <w:t>基金经理</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或基金经理小组</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简介</w:t>
      </w:r>
    </w:p>
    <w:tbl>
      <w:tblPr>
        <w:tblW w:type="dxa" w:w="8931"/>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567"/>
        <w:gridCol w:w="2835"/>
        <w:gridCol w:w="851"/>
        <w:gridCol w:w="850"/>
        <w:gridCol w:w="851"/>
        <w:gridCol w:w="2977"/>
      </w:tblGrid>
      <w:tr w:rsidR="004D28A3" w:rsidRPr="0078105B" w:rsidTr="003328D9">
        <w:trPr>
          <w:cantSplit/>
        </w:trPr>
        <w:tc>
          <w:tcPr>
            <w:tcW w:type="dxa" w:w="567"/>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姓名</w:t>
            </w:r>
          </w:p>
        </w:tc>
        <w:tc>
          <w:tcPr>
            <w:tcW w:type="dxa" w:w="2835"/>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职务</w:t>
            </w:r>
          </w:p>
        </w:tc>
        <w:tc>
          <w:tcPr>
            <w:tcW w:type="dxa" w:w="1701"/>
            <w:gridSpan w:val="2"/>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任本基金的基金经理期限</w:t>
            </w:r>
          </w:p>
        </w:tc>
        <w:tc>
          <w:tcPr>
            <w:tcW w:type="dxa" w:w="851"/>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证券从业年限</w:t>
            </w:r>
          </w:p>
        </w:tc>
        <w:tc>
          <w:tcPr>
            <w:tcW w:type="dxa" w:w="2977"/>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说明</w:t>
            </w:r>
          </w:p>
        </w:tc>
      </w:tr>
      <w:tr w:rsidR="004D28A3" w:rsidRPr="0078105B" w:rsidTr="003328D9">
        <w:trPr>
          <w:cantSplit/>
        </w:trPr>
        <w:tc>
          <w:tcPr>
            <w:tcW w:type="dxa" w:w="567"/>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2835"/>
            <w:vMerge/>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851"/>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任职日期</w:t>
            </w:r>
          </w:p>
        </w:tc>
        <w:tc>
          <w:tcPr>
            <w:tcW w:type="dxa" w:w="850"/>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离任日期</w:t>
            </w:r>
          </w:p>
        </w:tc>
        <w:tc>
          <w:tcPr>
            <w:tcW w:type="dxa" w:w="851"/>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2977"/>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r>
      <w:tr>
        <w:tc>
          <w:tcPr>
            <w:vAlign w:val="center"/>
          </w:tcPr>
          <w:p>
            <w:pPr>
              <w:jc w:val="center"/>
            </w:pPr>
            <w:r>
              <w:rPr>
                <w:color w:val="000000"/>
                <w:sz w:val="24"/>
              </w:rPr>
              <w:t>张坤</w:t>
            </w:r>
          </w:p>
        </w:tc>
        <w:tc>
          <w:tcPr>
            <w:vAlign w:val="center"/>
          </w:tcPr>
          <w:p>
            <w:pPr>
              <w:jc w:val="left"/>
            </w:pPr>
            <w:r>
              <w:rPr>
                <w:color w:val="000000"/>
                <w:sz w:val="24"/>
              </w:rPr>
              <w:t>本基金的基金经理、易方达中小盘混合型证券投资基金的基金经理、易方达亚洲精选股票型证券投资基金的基金经理、易方达蓝筹精选混合型证券投资基金的基金经理、易方达优质企业三年持有期混合型证券投资基金的基金经理、副总经理级高级管理人员</w:t>
            </w:r>
          </w:p>
        </w:tc>
        <w:tc>
          <w:tcPr>
            <w:vAlign w:val="center"/>
          </w:tcPr>
          <w:p>
            <w:pPr>
              <w:jc w:val="center"/>
            </w:pPr>
            <w:r>
              <w:rPr>
                <w:color w:val="000000"/>
                <w:sz w:val="24"/>
              </w:rPr>
              <w:t>2015-11-07</w:t>
            </w:r>
          </w:p>
        </w:tc>
        <w:tc>
          <w:tcPr>
            <w:vAlign w:val="center"/>
          </w:tcPr>
          <w:p>
            <w:pPr>
              <w:jc w:val="center"/>
            </w:pPr>
            <w:r>
              <w:rPr>
                <w:color w:val="000000"/>
                <w:sz w:val="24"/>
              </w:rPr>
              <w:t>-</w:t>
            </w:r>
          </w:p>
        </w:tc>
        <w:tc>
          <w:tcPr>
            <w:vAlign w:val="center"/>
          </w:tcPr>
          <w:p>
            <w:pPr>
              <w:jc w:val="center"/>
            </w:pPr>
            <w:r>
              <w:rPr>
                <w:color w:val="000000"/>
                <w:sz w:val="24"/>
              </w:rPr>
              <w:t>12年</w:t>
            </w:r>
          </w:p>
        </w:tc>
        <w:tc>
          <w:tcPr>
            <w:vAlign w:val="center"/>
          </w:tcPr>
          <w:p>
            <w:pPr>
              <w:jc w:val="both"/>
            </w:pPr>
            <w:r>
              <w:rPr>
                <w:color w:val="000000"/>
                <w:sz w:val="24"/>
              </w:rPr>
              <w:t>硕士研究生，具有基金从业资格。曾任易方达基金管理有限公司行业研究员、基金经理助理、研究部总经理助理。</w:t>
            </w:r>
          </w:p>
        </w:tc>
      </w:tr>
      <w:tr>
        <w:tc>
          <w:tcPr>
            <w:vAlign w:val="center"/>
          </w:tcPr>
          <w:p>
            <w:pPr>
              <w:jc w:val="center"/>
            </w:pPr>
            <w:r>
              <w:rPr>
                <w:color w:val="000000"/>
                <w:sz w:val="24"/>
              </w:rPr>
              <w:t>祁禾</w:t>
            </w:r>
          </w:p>
        </w:tc>
        <w:tc>
          <w:tcPr>
            <w:vAlign w:val="center"/>
          </w:tcPr>
          <w:p>
            <w:pPr>
              <w:jc w:val="left"/>
            </w:pPr>
            <w:r>
              <w:rPr>
                <w:color w:val="000000"/>
                <w:sz w:val="24"/>
              </w:rPr>
              <w:t>本基金的基金经理、易方达环保主题灵活配置混合型证券投资基金的基金经理、易方达创新驱动灵活配置混合型证券投资基金的基金经理、易方达高端制造混合型发起式证券投资基金的基金经理、行业研究员</w:t>
            </w:r>
          </w:p>
        </w:tc>
        <w:tc>
          <w:tcPr>
            <w:vAlign w:val="center"/>
          </w:tcPr>
          <w:p>
            <w:pPr>
              <w:jc w:val="center"/>
            </w:pPr>
            <w:r>
              <w:rPr>
                <w:color w:val="000000"/>
                <w:sz w:val="24"/>
              </w:rPr>
              <w:t>2018-12-11</w:t>
            </w:r>
          </w:p>
        </w:tc>
        <w:tc>
          <w:tcPr>
            <w:vAlign w:val="center"/>
          </w:tcPr>
          <w:p>
            <w:pPr>
              <w:jc w:val="center"/>
            </w:pPr>
            <w:r>
              <w:rPr>
                <w:color w:val="000000"/>
                <w:sz w:val="24"/>
              </w:rPr>
              <w:t>-</w:t>
            </w:r>
          </w:p>
        </w:tc>
        <w:tc>
          <w:tcPr>
            <w:vAlign w:val="center"/>
          </w:tcPr>
          <w:p>
            <w:pPr>
              <w:jc w:val="center"/>
            </w:pPr>
            <w:r>
              <w:rPr>
                <w:color w:val="000000"/>
                <w:sz w:val="24"/>
              </w:rPr>
              <w:t>10年</w:t>
            </w:r>
          </w:p>
        </w:tc>
        <w:tc>
          <w:tcPr>
            <w:vAlign w:val="center"/>
          </w:tcPr>
          <w:p>
            <w:pPr>
              <w:jc w:val="both"/>
            </w:pPr>
            <w:r>
              <w:rPr>
                <w:color w:val="000000"/>
                <w:sz w:val="24"/>
              </w:rPr>
              <w:t>硕士研究生，具有基金从业资格。曾任华泰联合证券有限责任公司研究所研究员，博时基金管理有限公司研究部研究员、易方达基金管理有限公司易方达科汇灵活配置混合型证券投资基金基金经理、易方达环保主题灵活配置混合型证券投资基金基金经理助理。</w:t>
            </w:r>
          </w:p>
        </w:tc>
      </w:tr>
    </w:tbl>
    <w:p>
      <w:pPr>
        <w:spacing w:line="360" w:lineRule="auto"/>
        <w:ind w:firstLine="480" w:firstLineChars="200"/>
        <w:rPr>
          <w:color w:val="000000"/>
          <w:sz w:val="24"/>
          <w:szCs w:val="24"/>
        </w:rPr>
      </w:pPr>
      <w:r>
        <w:rPr>
          <w:color w:val="000000"/>
          <w:sz w:val="24"/>
          <w:szCs w:val="24"/>
        </w:rPr>
        <w:t>注：1.对基金的首任基金经理，其“任职日期”为基金合同生效日，“离任日期”为根据公司决定确定的解聘日期；对此后的非首任基金经理，“任职日期”和“离任日期”分别指根据公司决定确定的聘任日期和解聘日期。</w:t>
      </w:r>
    </w:p>
    <w:p w:rsidP="004D28A3" w:rsidR="00750D48" w:rsidRDefault="004D28A3" w:rsidRPr="00232B03">
      <w:pPr>
        <w:spacing w:line="360" w:lineRule="auto"/>
        <w:ind w:firstLine="480" w:firstLineChars="200"/>
        <w:rPr>
          <w:color w:val="000000"/>
          <w:sz w:val="24"/>
          <w:szCs w:val="24"/>
        </w:rPr>
      </w:pPr>
      <w:r w:rsidRPr="004D28A3">
        <w:rPr>
          <w:color w:val="000000"/>
          <w:sz w:val="24"/>
          <w:szCs w:val="24"/>
        </w:rPr>
        <w:t>2.证券从业的含义遵从《证券业从业人员资格管理办法》的相关规定。</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4.2 </w:t>
      </w:r>
      <w:r w:rsidRPr="00264E55">
        <w:rPr>
          <w:rFonts w:ascii="宋体" w:hAnsi="宋体" w:hint="eastAsia"/>
          <w:b/>
          <w:bCs/>
          <w:color w:val="000000"/>
          <w:kern w:val="0"/>
          <w:sz w:val="24"/>
          <w:szCs w:val="24"/>
        </w:rPr>
        <w:t>管理人对报告期内本基金运作遵规守信情况的说明</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4.3 </w:t>
      </w:r>
      <w:r w:rsidRPr="00264E55">
        <w:rPr>
          <w:rFonts w:ascii="宋体" w:hAnsi="宋体" w:hint="eastAsia"/>
          <w:b/>
          <w:bCs/>
          <w:color w:val="000000"/>
          <w:kern w:val="0"/>
          <w:sz w:val="24"/>
          <w:szCs w:val="24"/>
        </w:rPr>
        <w:t>公平交易专项说明</w:t>
      </w:r>
    </w:p>
    <w:p w:rsidP="009E7C6A" w:rsidR="00750D48" w:rsidRDefault="00750D48" w:rsidRPr="00264E55">
      <w:pPr>
        <w:spacing w:line="360" w:lineRule="auto"/>
        <w:rPr>
          <w:rFonts w:ascii="宋体"/>
          <w:color w:val="00000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color w:val="000000"/>
            <w:sz w:val="24"/>
            <w:szCs w:val="24"/>
          </w:rPr>
          <w:t>4.3.1</w:t>
        </w:r>
      </w:smartTag>
      <w:r w:rsidRPr="00264E55">
        <w:rPr>
          <w:rFonts w:ascii="宋体" w:hAnsi="宋体" w:hint="eastAsia"/>
          <w:color w:val="000000"/>
          <w:sz w:val="24"/>
          <w:szCs w:val="24"/>
        </w:rPr>
        <w:t>公平交易制度的执行情况</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管理人主要通过建立有纪律、规范化的投资研究和决策流程、交易流程，以及强化事后监控分析来确保公平对待不同投资组合，切实防范利益输送。本基金管理人制定了严格的投资权限管理制度、投资备选库管理制度和集中交易制度等，并重视交易执行环节的公平交易措施，以“时间优先、价格优先”作为执行指令的基本原则，通过投资交易系统中的公平交易模块，以尽可能确保公平对待各投资组合。本报告期内，公平交易制度总体执行情况良好。</w:t>
      </w:r>
    </w:p>
    <w:p w:rsidP="009E7C6A" w:rsidR="00750D48" w:rsidRDefault="00750D48" w:rsidRPr="00264E55">
      <w:pPr>
        <w:spacing w:line="360" w:lineRule="auto"/>
        <w:rPr>
          <w:rFonts w:ascii="宋体"/>
          <w:color w:val="00000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color w:val="000000"/>
            <w:sz w:val="24"/>
            <w:szCs w:val="24"/>
          </w:rPr>
          <w:t>4.3.2</w:t>
        </w:r>
      </w:smartTag>
      <w:r w:rsidRPr="00264E55">
        <w:rPr>
          <w:rFonts w:ascii="宋体" w:hAnsi="宋体" w:hint="eastAsia"/>
          <w:color w:val="000000"/>
          <w:sz w:val="24"/>
          <w:szCs w:val="24"/>
        </w:rPr>
        <w:t>异常交易行为的专项说明</w:t>
      </w:r>
    </w:p>
    <w:p>
      <w:pPr>
        <w:spacing w:line="360" w:lineRule="auto"/>
        <w:ind w:firstLine="480" w:firstLineChars="200"/>
        <w:rPr>
          <w:color w:val="000000"/>
          <w:sz w:val="24"/>
          <w:szCs w:val="24"/>
        </w:rPr>
      </w:pPr>
      <w:r>
        <w:rPr>
          <w:color w:val="000000"/>
          <w:sz w:val="24"/>
          <w:szCs w:val="24"/>
        </w:rPr>
        <w:t>本报告期内，公司旗下所有投资组合参与的交易所公开竞价交易中，同日反向交易成交较少的单边交易量超过该证券当日成交量的5%的交易共42次，均为指数量化投资组合因投资策略需要和其他组合发生的反向交易。</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lastRenderedPageBreak/>
        <w:t/>
      </w:r>
      <w:proofErr w:type="spellStart"/>
      <w:r w:rsidRPr="006C56AA">
        <w:rPr>
          <w:color w:val="000000"/>
          <w:sz w:val="24"/>
          <w:szCs w:val="24"/>
        </w:rPr>
        <w:t/>
      </w:r>
      <w:proofErr w:type="spellEnd"/>
      <w:r w:rsidRPr="006C56AA">
        <w:rPr>
          <w:color w:val="000000"/>
          <w:sz w:val="24"/>
          <w:szCs w:val="24"/>
        </w:rPr>
        <w:t>本报告期内，未发现本基金有可能导致不公平交易和利益输送的异常交易。</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4.4 </w:t>
      </w:r>
      <w:r w:rsidRPr="00264E55">
        <w:rPr>
          <w:rFonts w:ascii="宋体" w:hAnsi="宋体" w:hint="eastAsia"/>
          <w:b/>
          <w:bCs/>
          <w:color w:val="000000"/>
          <w:kern w:val="0"/>
          <w:sz w:val="24"/>
          <w:szCs w:val="24"/>
        </w:rPr>
        <w:t>报告期内基金的投资策略和业绩表现说明</w:t>
      </w:r>
    </w:p>
    <w:p w:rsidP="009E7C6A" w:rsidR="00750D48" w:rsidRDefault="00750D48" w:rsidRPr="00264E55">
      <w:pPr>
        <w:spacing w:line="360" w:lineRule="auto"/>
        <w:rPr>
          <w:rFonts w:ascii="宋体"/>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cs="宋体" w:hAnsi="宋体"/>
            <w:sz w:val="24"/>
            <w:szCs w:val="24"/>
          </w:rPr>
          <w:t>4.4.1</w:t>
        </w:r>
      </w:smartTag>
      <w:r w:rsidRPr="00264E55">
        <w:rPr>
          <w:rFonts w:ascii="宋体" w:cs="宋体" w:hAnsi="宋体" w:hint="eastAsia"/>
          <w:sz w:val="24"/>
          <w:szCs w:val="24"/>
        </w:rPr>
        <w:t>报告期内基金投资策略和运作分析</w:t>
      </w:r>
    </w:p>
    <w:p>
      <w:pPr>
        <w:spacing w:line="360" w:lineRule="auto"/>
        <w:ind w:firstLine="480" w:firstLineChars="200"/>
        <w:rPr>
          <w:color w:val="000000"/>
          <w:sz w:val="24"/>
          <w:szCs w:val="24"/>
        </w:rPr>
      </w:pPr>
      <w:r>
        <w:rPr>
          <w:color w:val="000000"/>
          <w:sz w:val="24"/>
          <w:szCs w:val="24"/>
        </w:rPr>
        <w:t>2020年二季度沪深300指数上涨12.96%，创业板指数上涨30.25%。疫情后的流动性宽松环境和优势企业在该背景下扩张份额的利好，驱动市场出现结构性行情。</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操作方面，本基金在二季度股票仓位有所增加，并对结构进行了调整。降低了家电等行业的配置，增加了化工、电子等行业的配置。个股方面，根据基本面和市场预期差的角度适度调整，持有商业模式出色、行业格局清晰，竞争力强的优质公司。展望未来。本基金将以持有人利益为先，结合估值情况，继续选择中长期持有高质量企业。</w:t>
      </w:r>
    </w:p>
    <w:p w:rsidP="009E7C6A" w:rsidR="00750D48" w:rsidRDefault="00750D48" w:rsidRPr="00264E55">
      <w:pPr>
        <w:spacing w:line="360" w:lineRule="auto"/>
        <w:rPr>
          <w:rFonts w:ascii="宋体"/>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cs="宋体" w:hAnsi="宋体"/>
            <w:sz w:val="24"/>
            <w:szCs w:val="24"/>
          </w:rPr>
          <w:t>4.4.2</w:t>
        </w:r>
      </w:smartTag>
      <w:r w:rsidRPr="00264E55">
        <w:rPr>
          <w:rFonts w:ascii="宋体" w:cs="宋体" w:hAnsi="宋体" w:hint="eastAsia"/>
          <w:sz w:val="24"/>
          <w:szCs w:val="24"/>
        </w:rPr>
        <w:t>报告期内基金的业绩表现</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截至报告期末，本基金份额净值为1.195元，本报告期份额净值增长率为27.53%，同期业绩比较基准收益率为8.97%。</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5  </w:t>
      </w:r>
      <w:r w:rsidRPr="00264E55">
        <w:rPr>
          <w:rFonts w:ascii="宋体" w:hAnsi="宋体" w:hint="eastAsia"/>
          <w:color w:val="000000"/>
          <w:kern w:val="0"/>
          <w:sz w:val="24"/>
          <w:szCs w:val="24"/>
        </w:rPr>
        <w:t>投资组合报告</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5.1 </w:t>
      </w:r>
      <w:r w:rsidRPr="00264E55">
        <w:rPr>
          <w:rFonts w:ascii="宋体" w:hAnsi="宋体" w:hint="eastAsia"/>
          <w:b/>
          <w:bCs/>
          <w:color w:val="000000"/>
          <w:kern w:val="0"/>
          <w:sz w:val="24"/>
          <w:szCs w:val="24"/>
        </w:rPr>
        <w:t>报告期末基金资产组合情况</w:t>
      </w:r>
    </w:p>
    <w:tbl>
      <w:tblPr>
        <w:tblW w:type="dxa" w:w="8897"/>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720"/>
        <w:gridCol w:w="3357"/>
        <w:gridCol w:w="2977"/>
        <w:gridCol w:w="1843"/>
      </w:tblGrid>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3357"/>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项目</w:t>
            </w:r>
          </w:p>
        </w:tc>
        <w:tc>
          <w:tcPr>
            <w:tcW w:type="dxa" w:w="2977"/>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金额</w:t>
            </w:r>
            <w:r w:rsidR="005F7917" w:rsidRPr="00232B03">
              <w:rPr>
                <w:color w:val="000000"/>
                <w:kern w:val="0"/>
                <w:sz w:val="24"/>
                <w:szCs w:val="24"/>
              </w:rPr>
              <w:t>（元）</w:t>
            </w:r>
          </w:p>
        </w:tc>
        <w:tc>
          <w:tcPr>
            <w:tcW w:type="dxa" w:w="1843"/>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占基金总资产的比例</w:t>
            </w:r>
            <w:r w:rsidR="005F7917" w:rsidRPr="00232B03">
              <w:rPr>
                <w:color w:val="000000"/>
                <w:kern w:val="0"/>
                <w:sz w:val="24"/>
                <w:szCs w:val="24"/>
              </w:rPr>
              <w:t>（</w:t>
            </w:r>
            <w:r w:rsidR="005F7917" w:rsidRPr="00232B03">
              <w:rPr>
                <w:color w:val="000000"/>
                <w:kern w:val="0"/>
                <w:sz w:val="24"/>
                <w:szCs w:val="24"/>
              </w:rPr>
              <w:t>%</w:t>
            </w:r>
            <w:r w:rsidR="005F7917"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1</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权益投资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5,912,813,286.69</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91.16</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其中：股票</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5,912,813,286.69</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91.16</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2</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固定收益投资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3,017.28</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r w:rsidRPr="00232B03">
              <w:rPr>
                <w:color w:val="000000"/>
                <w:kern w:val="0"/>
                <w:sz w:val="24"/>
                <w:szCs w:val="24"/>
              </w:rPr>
              <w:lastRenderedPageBreak/>
              <w:t>0.00</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其中：债券</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3,017.28</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0.00</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autoSpaceDE w:val="0"/>
              <w:autoSpaceDN w:val="0"/>
              <w:adjustRightInd w:val="0"/>
              <w:spacing w:before="29" w:line="360" w:lineRule="auto"/>
              <w:ind w:left="17"/>
              <w:jc w:val="left"/>
              <w:rPr>
                <w:color w:val="000000"/>
                <w:kern w:val="0"/>
                <w:sz w:val="24"/>
                <w:szCs w:val="24"/>
              </w:rPr>
            </w:pPr>
            <w:r w:rsidRPr="00232B03">
              <w:rPr>
                <w:color w:val="000000"/>
                <w:kern w:val="0"/>
                <w:sz w:val="24"/>
                <w:szCs w:val="24"/>
              </w:rPr>
              <w:t>资产支持证券</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3</w:t>
            </w:r>
          </w:p>
        </w:tc>
        <w:tc>
          <w:tcPr>
            <w:tcW w:type="dxa" w:w="3357"/>
          </w:tcPr>
          <w:p w:rsidP="00EB572F" w:rsidR="00750D48" w:rsidRDefault="00750D48" w:rsidRPr="00232B03">
            <w:pPr>
              <w:spacing w:before="29" w:line="360" w:lineRule="auto"/>
              <w:ind w:left="105" w:leftChars="50"/>
              <w:rPr>
                <w:color w:val="000000"/>
                <w:kern w:val="0"/>
                <w:sz w:val="24"/>
                <w:szCs w:val="24"/>
              </w:rPr>
            </w:pPr>
            <w:r w:rsidRPr="00232B03">
              <w:rPr>
                <w:color w:val="000000"/>
                <w:kern w:val="0"/>
                <w:sz w:val="24"/>
                <w:szCs w:val="24"/>
              </w:rPr>
              <w:t>贵金属投资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4</w:t>
            </w:r>
          </w:p>
        </w:tc>
        <w:tc>
          <w:tcPr>
            <w:tcW w:type="dxa" w:w="3357"/>
            <w:vAlign w:val="center"/>
          </w:tcPr>
          <w:p w:rsidP="00B05049" w:rsidR="00750D48" w:rsidRDefault="00750D48" w:rsidRPr="00232B03">
            <w:pPr>
              <w:spacing w:before="29" w:line="360" w:lineRule="auto"/>
              <w:ind w:left="17"/>
              <w:jc w:val="left"/>
              <w:rPr>
                <w:color w:val="000000"/>
                <w:kern w:val="0"/>
                <w:sz w:val="24"/>
                <w:szCs w:val="24"/>
              </w:rPr>
            </w:pPr>
            <w:r w:rsidRPr="00232B03">
              <w:rPr>
                <w:color w:val="000000"/>
                <w:kern w:val="0"/>
                <w:sz w:val="24"/>
                <w:szCs w:val="24"/>
              </w:rPr>
              <w:t>金融衍生品投资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5</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买入返售金融资产</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r w:rsidRPr="00232B03">
              <w:rPr>
                <w:color w:val="000000"/>
                <w:kern w:val="0"/>
                <w:sz w:val="24"/>
                <w:szCs w:val="24"/>
              </w:rPr>
              <w:lastRenderedPageBreak/>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其中：买断式回购的买入返售金融资产</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6</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银行存款和结算备付金合计</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546,428,770.43</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8.42</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7</w:t>
            </w:r>
          </w:p>
        </w:tc>
        <w:tc>
          <w:tcPr>
            <w:tcW w:type="dxa" w:w="3357"/>
            <w:vAlign w:val="center"/>
          </w:tcPr>
          <w:p w:rsidP="00B05049" w:rsidR="00750D48" w:rsidRDefault="00750D48" w:rsidRPr="00232B03">
            <w:pPr>
              <w:jc w:val="left"/>
              <w:rPr>
                <w:kern w:val="0"/>
                <w:sz w:val="24"/>
                <w:szCs w:val="24"/>
              </w:rPr>
            </w:pPr>
            <w:r w:rsidRPr="00232B03">
              <w:rPr>
                <w:color w:val="000000"/>
                <w:kern w:val="0"/>
                <w:sz w:val="24"/>
                <w:szCs w:val="24"/>
              </w:rPr>
              <w:t>其他资产</w:t>
            </w:r>
          </w:p>
        </w:tc>
        <w:tc>
          <w:tcPr>
            <w:tcW w:type="dxa" w:w="2977"/>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27,002,391.83</w:t>
            </w:r>
          </w:p>
        </w:tc>
        <w:tc>
          <w:tcPr>
            <w:tcW w:type="dxa" w:w="1843"/>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0.42</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8</w:t>
            </w:r>
          </w:p>
        </w:tc>
        <w:tc>
          <w:tcPr>
            <w:tcW w:type="dxa" w:w="3357"/>
            <w:vAlign w:val="center"/>
          </w:tcPr>
          <w:p w:rsidP="00B05049" w:rsidR="00750D48" w:rsidRDefault="00750D48" w:rsidRPr="00232B03">
            <w:pPr>
              <w:jc w:val="left"/>
              <w:rPr>
                <w:kern w:val="0"/>
                <w:sz w:val="24"/>
                <w:szCs w:val="24"/>
              </w:rPr>
            </w:pPr>
            <w:r w:rsidRPr="00232B03">
              <w:rPr>
                <w:color w:val="000000"/>
                <w:kern w:val="0"/>
                <w:sz w:val="24"/>
                <w:szCs w:val="24"/>
              </w:rPr>
              <w:t>合计</w:t>
            </w:r>
          </w:p>
        </w:tc>
        <w:tc>
          <w:tcPr>
            <w:tcW w:type="dxa" w:w="2977"/>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6,486,247,466.23</w:t>
            </w:r>
          </w:p>
        </w:tc>
        <w:tc>
          <w:tcPr>
            <w:tcW w:type="dxa" w:w="1843"/>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100.00</w:t>
            </w:r>
          </w:p>
        </w:tc>
      </w:tr>
    </w:tbl>
    <w:p w:rsidP="008C2A4F" w:rsidR="008C2A4F" w:rsidRDefault="008C2A4F" w:rsidRPr="00220C32">
      <w:pPr>
        <w:autoSpaceDE w:val="0"/>
        <w:autoSpaceDN w:val="0"/>
        <w:adjustRightInd w:val="0"/>
        <w:spacing w:line="360" w:lineRule="auto"/>
        <w:jc w:val="left"/>
        <w:rPr>
          <w:rFonts w:asciiTheme="minorEastAsia" w:eastAsiaTheme="minorEastAsia" w:hAnsiTheme="minorEastAsia"/>
          <w:b/>
          <w:bCs/>
          <w:color w:themeColor="text1" w:val="000000"/>
          <w:kern w:val="0"/>
          <w:sz w:val="24"/>
          <w:szCs w:val="24"/>
        </w:rPr>
      </w:pPr>
      <w:r w:rsidRPr="00220C32">
        <w:rPr>
          <w:rFonts w:asciiTheme="minorEastAsia" w:eastAsiaTheme="minorEastAsia" w:hAnsiTheme="minorEastAsia"/>
          <w:b/>
          <w:bCs/>
          <w:color w:themeColor="text1" w:val="000000"/>
          <w:kern w:val="0"/>
          <w:sz w:val="24"/>
          <w:szCs w:val="24"/>
        </w:rPr>
        <w:lastRenderedPageBreak/>
        <w:t xml:space="preserve">5.2 </w:t>
      </w:r>
      <w:r w:rsidRPr="00220C32">
        <w:rPr>
          <w:rFonts w:asciiTheme="minorEastAsia" w:eastAsiaTheme="minorEastAsia" w:hAnsiTheme="minorEastAsia" w:hint="eastAsia"/>
          <w:b/>
          <w:bCs/>
          <w:color w:themeColor="text1" w:val="000000"/>
          <w:kern w:val="0"/>
          <w:sz w:val="24"/>
          <w:szCs w:val="24"/>
        </w:rPr>
        <w:t>报告期末按行业分类的股票投资组合</w:t>
      </w:r>
    </w:p>
    <w:p w:rsidP="008C2A4F" w:rsidR="008C2A4F" w:rsidRDefault="008C2A4F" w:rsidRPr="000D7474">
      <w:pPr>
        <w:rPr>
          <w:rFonts w:asciiTheme="minorEastAsia" w:eastAsiaTheme="minorEastAsia" w:hAnsiTheme="minorEastAsia"/>
          <w:b/>
          <w:bCs/>
          <w:color w:themeColor="text1" w:val="000000"/>
          <w:kern w:val="0"/>
          <w:sz w:val="24"/>
          <w:szCs w:val="24"/>
        </w:rPr>
      </w:pPr>
      <w:r w:rsidRPr="000D7474">
        <w:rPr>
          <w:rFonts w:asciiTheme="minorEastAsia" w:eastAsiaTheme="minorEastAsia" w:hAnsiTheme="minorEastAsia"/>
          <w:b/>
          <w:bCs/>
          <w:color w:themeColor="text1" w:val="000000"/>
          <w:kern w:val="0"/>
          <w:sz w:val="24"/>
          <w:szCs w:val="24"/>
        </w:rPr>
        <w:t/>
      </w:r>
      <w:proofErr w:type="spellStart"/>
      <w:r w:rsidRPr="000D7474">
        <w:rPr>
          <w:rFonts w:asciiTheme="minorEastAsia" w:eastAsiaTheme="minorEastAsia" w:hAnsiTheme="minorEastAsia"/>
          <w:b/>
          <w:bCs/>
          <w:color w:themeColor="text1" w:val="000000"/>
          <w:kern w:val="0"/>
          <w:sz w:val="24"/>
          <w:szCs w:val="24"/>
        </w:rPr>
        <w:t/>
      </w:r>
      <w:proofErr w:type="spellEnd"/>
      <w:r w:rsidRPr="000D7474">
        <w:rPr>
          <w:rFonts w:asciiTheme="minorEastAsia" w:eastAsiaTheme="minorEastAsia" w:hAnsiTheme="minorEastAsia"/>
          <w:b/>
          <w:bCs/>
          <w:color w:themeColor="text1" w:val="000000"/>
          <w:kern w:val="0"/>
          <w:sz w:val="24"/>
          <w:szCs w:val="24"/>
        </w:rPr>
        <w:t/>
      </w:r>
      <w:r w:rsidRPr="000D7474">
        <w:rPr>
          <w:rFonts w:asciiTheme="minorEastAsia" w:eastAsiaTheme="minorEastAsia" w:hAnsiTheme="minorEastAsia" w:hint="eastAsia"/>
          <w:b/>
          <w:bCs/>
          <w:color w:themeColor="text1" w:val="000000"/>
          <w:kern w:val="0"/>
          <w:sz w:val="24"/>
          <w:szCs w:val="24"/>
        </w:rPr>
        <w:t>5.2.1报告期末按行业分类的境内股票投资组合</w:t>
      </w:r>
    </w:p>
    <w:tbl>
      <w:tblPr>
        <w:tblW w:type="dxa" w:w="8789"/>
        <w:tblInd w:type="dxa" w:w="-137"/>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CellMar>
          <w:left w:type="dxa" w:w="0"/>
          <w:right w:type="dxa" w:w="0"/>
        </w:tblCellMar>
        <w:tblLook w:firstColumn="0" w:firstRow="0" w:lastColumn="0" w:lastRow="0" w:noHBand="0" w:noVBand="0" w:val="0000"/>
      </w:tblPr>
      <w:tblGrid>
        <w:gridCol w:w="709"/>
        <w:gridCol w:w="3544"/>
        <w:gridCol w:w="2977"/>
        <w:gridCol w:w="1559"/>
      </w:tblGrid>
      <w:tr w:rsidR="008C2A4F" w:rsidRPr="008C2A4F" w:rsidTr="003B5535">
        <w:trPr>
          <w:trHeight w:val="390"/>
        </w:trPr>
        <w:tc>
          <w:tcPr>
            <w:tcW w:type="dxa" w:w="709"/>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代码</w:t>
            </w: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行业类别</w:t>
            </w:r>
          </w:p>
        </w:tc>
        <w:tc>
          <w:tcPr>
            <w:tcW w:type="dxa" w:w="2977"/>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公允价值（元）</w:t>
            </w:r>
          </w:p>
        </w:tc>
        <w:tc>
          <w:tcPr>
            <w:tcW w:type="dxa" w:w="155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占基金资产净值比例（％）</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A</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农、林、牧、渔业</w:t>
            </w:r>
          </w:p>
        </w:tc>
        <w:tc>
          <w:tcPr>
            <w:tcW w:type="dxa" w:w="2977"/>
            <w:vAlign w:val="center"/>
          </w:tcPr>
          <w:p w:rsidP="003328D9" w:rsidR="008C2A4F" w:rsidRDefault="008C2A4F" w:rsidRPr="008C2A4F">
            <w:pPr>
              <w:autoSpaceDE w:val="0"/>
              <w:autoSpaceDN w:val="0"/>
              <w:adjustRightInd w:val="0"/>
              <w:spacing w:before="29" w:line="360" w:lineRule="auto"/>
              <w:ind w:left="15"/>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autoSpaceDE w:val="0"/>
              <w:autoSpaceDN w:val="0"/>
              <w:adjustRightInd w:val="0"/>
              <w:spacing w:before="29" w:line="360" w:lineRule="auto"/>
              <w:ind w:left="15"/>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B</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采矿业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p w:rsidP="003328D9" w:rsidR="008C2A4F" w:rsidRDefault="008C2A4F" w:rsidRPr="008C2A4F">
            <w:pPr>
              <w:jc w:val="right"/>
              <w:rPr>
                <w:rFonts w:eastAsiaTheme="minorEastAsia"/>
                <w:color w:themeColor="text1" w:val="000000"/>
                <w:kern w:val="0"/>
                <w:sz w:val="24"/>
                <w:szCs w:val="24"/>
              </w:rPr>
            </w:pP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p w:rsidP="003328D9" w:rsidR="008C2A4F" w:rsidRDefault="008C2A4F" w:rsidRPr="008C2A4F">
            <w:pPr>
              <w:jc w:val="right"/>
              <w:rPr>
                <w:rFonts w:eastAsiaTheme="minorEastAsia"/>
                <w:color w:themeColor="text1" w:val="000000"/>
                <w:kern w:val="0"/>
                <w:sz w:val="24"/>
                <w:szCs w:val="24"/>
              </w:rPr>
            </w:pP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C</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制造业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4,916,612,181.63</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77.08</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D</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电力、热力、燃气及水生产和供应业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23,720,618.32</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0.37</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E</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建筑业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F</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批发和零售业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G</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交通运输、仓储和邮政业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366,273,263.58</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5.74</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lastRenderedPageBreak/>
              <w:t>H</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住宿和餐饮业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I</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信息传输、软件和信息技术服务业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193,478,074.36</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3.03</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J</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金融业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39,059,148.80</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0.61</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K</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房地产业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L</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租赁和商务服务业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M</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科学研究和技术服务业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N</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水利、环境和公共设施管理业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O</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居民服务、修理和其他服务业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P</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教育</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lastRenderedPageBreak/>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lastRenderedPageBreak/>
              <w:t>Q</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卫生和社会工作</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373,670,000.00</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5.86</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R</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文化、体育和娱乐业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S</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综合</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合计</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5,912,813,286.69</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92.69</w:t>
            </w:r>
          </w:p>
        </w:tc>
      </w:tr>
    </w:tbl>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5.3 </w:t>
      </w:r>
      <w:r w:rsidRPr="00264E55">
        <w:rPr>
          <w:rFonts w:ascii="宋体" w:hAnsi="宋体" w:hint="eastAsia"/>
          <w:b/>
          <w:bCs/>
          <w:color w:val="000000"/>
          <w:kern w:val="0"/>
          <w:sz w:val="24"/>
          <w:szCs w:val="24"/>
        </w:rPr>
        <w:t>报告期末按公允价值占基金资产净值比例大小排序的前十名股票投资明细</w:t>
      </w:r>
    </w:p>
    <w:tbl>
      <w:tblPr>
        <w:tblW w:type="dxa" w:w="8789"/>
        <w:tblInd w:type="dxa" w:w="-176"/>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851"/>
        <w:gridCol w:w="1276"/>
        <w:gridCol w:w="1418"/>
        <w:gridCol w:w="1701"/>
        <w:gridCol w:w="1984"/>
        <w:gridCol w:w="1559"/>
      </w:tblGrid>
      <w:tr w:rsidR="00750D48" w:rsidRPr="00264E55" w:rsidTr="00191BDE">
        <w:tc>
          <w:tcPr>
            <w:tcW w:type="dxa" w:w="851"/>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1276"/>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股票代码</w:t>
            </w:r>
          </w:p>
        </w:tc>
        <w:tc>
          <w:tcPr>
            <w:tcW w:type="dxa" w:w="1418"/>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股票名称</w:t>
            </w:r>
          </w:p>
        </w:tc>
        <w:tc>
          <w:tcPr>
            <w:tcW w:type="dxa" w:w="1701"/>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数量</w:t>
            </w:r>
            <w:r w:rsidR="005F7917" w:rsidRPr="00232B03">
              <w:rPr>
                <w:color w:val="000000"/>
                <w:kern w:val="0"/>
                <w:sz w:val="24"/>
                <w:szCs w:val="24"/>
              </w:rPr>
              <w:t>（股）</w:t>
            </w:r>
          </w:p>
        </w:tc>
        <w:tc>
          <w:tcPr>
            <w:tcW w:type="dxa" w:w="1984"/>
            <w:vAlign w:val="center"/>
          </w:tcPr>
          <w:p w:rsidP="005F7917"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公允价值</w:t>
            </w:r>
            <w:r w:rsidR="005F7917" w:rsidRPr="00232B03">
              <w:rPr>
                <w:color w:val="000000"/>
                <w:kern w:val="0"/>
                <w:sz w:val="24"/>
                <w:szCs w:val="24"/>
              </w:rPr>
              <w:t>（元）</w:t>
            </w:r>
          </w:p>
        </w:tc>
        <w:tc>
          <w:tcPr>
            <w:tcW w:type="dxa" w:w="1559"/>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占基金资产净值比例</w:t>
            </w:r>
            <w:r w:rsidR="005F7917" w:rsidRPr="00232B03">
              <w:rPr>
                <w:color w:val="000000"/>
                <w:kern w:val="0"/>
                <w:sz w:val="24"/>
                <w:szCs w:val="24"/>
              </w:rPr>
              <w:lastRenderedPageBreak/>
              <w:t>（％）</w:t>
            </w:r>
          </w:p>
        </w:tc>
      </w:tr>
      <w:tr>
        <w:tc>
          <w:tcPr>
            <w:vAlign w:val="center"/>
          </w:tcPr>
          <w:p>
            <w:pPr>
              <w:jc w:val="center"/>
            </w:pPr>
            <w:r>
              <w:rPr>
                <w:color w:val="000000"/>
                <w:kern w:val="0"/>
                <w:sz w:val="24"/>
                <w:szCs w:val="24"/>
              </w:rPr>
              <w:t>1</w:t>
            </w:r>
          </w:p>
        </w:tc>
        <w:tc>
          <w:tcPr>
            <w:vAlign w:val="center"/>
          </w:tcPr>
          <w:p>
            <w:pPr>
              <w:jc w:val="center"/>
            </w:pPr>
            <w:r>
              <w:rPr>
                <w:color w:val="000000"/>
                <w:kern w:val="0"/>
                <w:sz w:val="24"/>
                <w:szCs w:val="24"/>
              </w:rPr>
              <w:t>000858</w:t>
            </w:r>
          </w:p>
        </w:tc>
        <w:tc>
          <w:tcPr>
            <w:vAlign w:val="center"/>
          </w:tcPr>
          <w:p>
            <w:pPr>
              <w:jc w:val="center"/>
            </w:pPr>
            <w:r>
              <w:rPr>
                <w:color w:val="000000"/>
                <w:kern w:val="0"/>
                <w:sz w:val="24"/>
                <w:szCs w:val="24"/>
              </w:rPr>
              <w:t>五粮液</w:t>
            </w:r>
          </w:p>
        </w:tc>
        <w:tc>
          <w:tcPr>
            <w:vAlign w:val="center"/>
          </w:tcPr>
          <w:p>
            <w:pPr>
              <w:jc w:val="right"/>
            </w:pPr>
            <w:r>
              <w:rPr>
                <w:color w:val="000000"/>
                <w:kern w:val="0"/>
                <w:sz w:val="24"/>
                <w:szCs w:val="24"/>
              </w:rPr>
              <w:t>3,084,381</w:t>
            </w:r>
          </w:p>
        </w:tc>
        <w:tc>
          <w:tcPr>
            <w:vAlign w:val="center"/>
          </w:tcPr>
          <w:p>
            <w:pPr>
              <w:jc w:val="right"/>
            </w:pPr>
            <w:r>
              <w:rPr>
                <w:color w:val="000000"/>
                <w:kern w:val="0"/>
                <w:sz w:val="24"/>
                <w:szCs w:val="24"/>
              </w:rPr>
              <w:t>527,799,276.72</w:t>
            </w:r>
          </w:p>
        </w:tc>
        <w:tc>
          <w:tcPr>
            <w:vAlign w:val="center"/>
          </w:tcPr>
          <w:p>
            <w:pPr>
              <w:jc w:val="right"/>
            </w:pPr>
            <w:r>
              <w:rPr>
                <w:color w:val="000000"/>
                <w:kern w:val="0"/>
                <w:sz w:val="24"/>
                <w:szCs w:val="24"/>
              </w:rPr>
              <w:t>8.27</w:t>
            </w:r>
          </w:p>
        </w:tc>
      </w:tr>
      <w:tr>
        <w:tc>
          <w:tcPr>
            <w:vAlign w:val="center"/>
          </w:tcPr>
          <w:p>
            <w:pPr>
              <w:jc w:val="center"/>
            </w:pPr>
            <w:r>
              <w:rPr>
                <w:color w:val="000000"/>
                <w:kern w:val="0"/>
                <w:sz w:val="24"/>
                <w:szCs w:val="24"/>
              </w:rPr>
              <w:t>2</w:t>
            </w:r>
          </w:p>
        </w:tc>
        <w:tc>
          <w:tcPr>
            <w:vAlign w:val="center"/>
          </w:tcPr>
          <w:p>
            <w:pPr>
              <w:jc w:val="center"/>
            </w:pPr>
            <w:r>
              <w:rPr>
                <w:color w:val="000000"/>
                <w:kern w:val="0"/>
                <w:sz w:val="24"/>
                <w:szCs w:val="24"/>
              </w:rPr>
              <w:t>600519</w:t>
            </w:r>
          </w:p>
        </w:tc>
        <w:tc>
          <w:tcPr>
            <w:vAlign w:val="center"/>
          </w:tcPr>
          <w:p>
            <w:pPr>
              <w:jc w:val="center"/>
            </w:pPr>
            <w:r>
              <w:rPr>
                <w:color w:val="000000"/>
                <w:kern w:val="0"/>
                <w:sz w:val="24"/>
                <w:szCs w:val="24"/>
              </w:rPr>
              <w:t>贵州茅台</w:t>
            </w:r>
          </w:p>
        </w:tc>
        <w:tc>
          <w:tcPr>
            <w:vAlign w:val="center"/>
          </w:tcPr>
          <w:p>
            <w:pPr>
              <w:jc w:val="right"/>
            </w:pPr>
            <w:r>
              <w:rPr>
                <w:color w:val="000000"/>
                <w:kern w:val="0"/>
                <w:sz w:val="24"/>
                <w:szCs w:val="24"/>
              </w:rPr>
              <w:t>343,586</w:t>
            </w:r>
          </w:p>
        </w:tc>
        <w:tc>
          <w:tcPr>
            <w:vAlign w:val="center"/>
          </w:tcPr>
          <w:p>
            <w:pPr>
              <w:jc w:val="right"/>
            </w:pPr>
            <w:r>
              <w:rPr>
                <w:color w:val="000000"/>
                <w:kern w:val="0"/>
                <w:sz w:val="24"/>
                <w:szCs w:val="24"/>
              </w:rPr>
              <w:t>502,625,087.68</w:t>
            </w:r>
          </w:p>
        </w:tc>
        <w:tc>
          <w:tcPr>
            <w:vAlign w:val="center"/>
          </w:tcPr>
          <w:p>
            <w:pPr>
              <w:jc w:val="right"/>
            </w:pPr>
            <w:r>
              <w:rPr>
                <w:color w:val="000000"/>
                <w:kern w:val="0"/>
                <w:sz w:val="24"/>
                <w:szCs w:val="24"/>
              </w:rPr>
              <w:t>7.88</w:t>
            </w:r>
          </w:p>
        </w:tc>
      </w:tr>
      <w:tr>
        <w:tc>
          <w:tcPr>
            <w:vAlign w:val="center"/>
          </w:tcPr>
          <w:p>
            <w:pPr>
              <w:jc w:val="center"/>
            </w:pPr>
            <w:r>
              <w:rPr>
                <w:color w:val="000000"/>
                <w:kern w:val="0"/>
                <w:sz w:val="24"/>
                <w:szCs w:val="24"/>
              </w:rPr>
              <w:t>3</w:t>
            </w:r>
          </w:p>
        </w:tc>
        <w:tc>
          <w:tcPr>
            <w:vAlign w:val="center"/>
          </w:tcPr>
          <w:p>
            <w:pPr>
              <w:jc w:val="center"/>
            </w:pPr>
            <w:r>
              <w:rPr>
                <w:color w:val="000000"/>
                <w:kern w:val="0"/>
                <w:sz w:val="24"/>
                <w:szCs w:val="24"/>
              </w:rPr>
              <w:t>000568</w:t>
            </w:r>
          </w:p>
        </w:tc>
        <w:tc>
          <w:tcPr>
            <w:vAlign w:val="center"/>
          </w:tcPr>
          <w:p>
            <w:pPr>
              <w:jc w:val="center"/>
            </w:pPr>
            <w:r>
              <w:rPr>
                <w:color w:val="000000"/>
                <w:kern w:val="0"/>
                <w:sz w:val="24"/>
                <w:szCs w:val="24"/>
              </w:rPr>
              <w:t>泸州老窖</w:t>
            </w:r>
          </w:p>
        </w:tc>
        <w:tc>
          <w:tcPr>
            <w:vAlign w:val="center"/>
          </w:tcPr>
          <w:p>
            <w:pPr>
              <w:jc w:val="right"/>
            </w:pPr>
            <w:r>
              <w:rPr>
                <w:color w:val="000000"/>
                <w:kern w:val="0"/>
                <w:sz w:val="24"/>
                <w:szCs w:val="24"/>
              </w:rPr>
              <w:t>4,579,494</w:t>
            </w:r>
          </w:p>
        </w:tc>
        <w:tc>
          <w:tcPr>
            <w:vAlign w:val="center"/>
          </w:tcPr>
          <w:p>
            <w:pPr>
              <w:jc w:val="right"/>
            </w:pPr>
            <w:r>
              <w:rPr>
                <w:color w:val="000000"/>
                <w:kern w:val="0"/>
                <w:sz w:val="24"/>
                <w:szCs w:val="24"/>
              </w:rPr>
              <w:t>417,283,493.28</w:t>
            </w:r>
          </w:p>
        </w:tc>
        <w:tc>
          <w:tcPr>
            <w:vAlign w:val="center"/>
          </w:tcPr>
          <w:p>
            <w:pPr>
              <w:jc w:val="right"/>
            </w:pPr>
            <w:r>
              <w:rPr>
                <w:color w:val="000000"/>
                <w:kern w:val="0"/>
                <w:sz w:val="24"/>
                <w:szCs w:val="24"/>
              </w:rPr>
              <w:t>6.54</w:t>
            </w:r>
          </w:p>
        </w:tc>
      </w:tr>
      <w:tr>
        <w:tc>
          <w:tcPr>
            <w:vAlign w:val="center"/>
          </w:tcPr>
          <w:p>
            <w:pPr>
              <w:jc w:val="center"/>
            </w:pPr>
            <w:r>
              <w:rPr>
                <w:color w:val="000000"/>
                <w:kern w:val="0"/>
                <w:sz w:val="24"/>
                <w:szCs w:val="24"/>
              </w:rPr>
              <w:t>4</w:t>
            </w:r>
          </w:p>
        </w:tc>
        <w:tc>
          <w:tcPr>
            <w:vAlign w:val="center"/>
          </w:tcPr>
          <w:p>
            <w:pPr>
              <w:jc w:val="center"/>
            </w:pPr>
            <w:r>
              <w:rPr>
                <w:color w:val="000000"/>
                <w:kern w:val="0"/>
                <w:sz w:val="24"/>
                <w:szCs w:val="24"/>
              </w:rPr>
              <w:t>002007</w:t>
            </w:r>
          </w:p>
        </w:tc>
        <w:tc>
          <w:tcPr>
            <w:vAlign w:val="center"/>
          </w:tcPr>
          <w:p>
            <w:pPr>
              <w:jc w:val="center"/>
            </w:pPr>
            <w:r>
              <w:rPr>
                <w:color w:val="000000"/>
                <w:kern w:val="0"/>
                <w:sz w:val="24"/>
                <w:szCs w:val="24"/>
              </w:rPr>
              <w:t>华兰生物</w:t>
            </w:r>
          </w:p>
        </w:tc>
        <w:tc>
          <w:tcPr>
            <w:vAlign w:val="center"/>
          </w:tcPr>
          <w:p>
            <w:pPr>
              <w:jc w:val="right"/>
            </w:pPr>
            <w:r>
              <w:rPr>
                <w:color w:val="000000"/>
                <w:kern w:val="0"/>
                <w:sz w:val="24"/>
                <w:szCs w:val="24"/>
              </w:rPr>
              <w:t>7,900,000</w:t>
            </w:r>
          </w:p>
        </w:tc>
        <w:tc>
          <w:tcPr>
            <w:vAlign w:val="center"/>
          </w:tcPr>
          <w:p>
            <w:pPr>
              <w:jc w:val="right"/>
            </w:pPr>
            <w:r>
              <w:rPr>
                <w:color w:val="000000"/>
                <w:kern w:val="0"/>
                <w:sz w:val="24"/>
                <w:szCs w:val="24"/>
              </w:rPr>
              <w:t>395,869,000.00</w:t>
            </w:r>
          </w:p>
        </w:tc>
        <w:tc>
          <w:tcPr>
            <w:vAlign w:val="center"/>
          </w:tcPr>
          <w:p>
            <w:pPr>
              <w:jc w:val="right"/>
            </w:pPr>
            <w:r>
              <w:rPr>
                <w:color w:val="000000"/>
                <w:kern w:val="0"/>
                <w:sz w:val="24"/>
                <w:szCs w:val="24"/>
              </w:rPr>
              <w:t>6.21</w:t>
            </w:r>
          </w:p>
        </w:tc>
      </w:tr>
      <w:tr>
        <w:tc>
          <w:tcPr>
            <w:vAlign w:val="center"/>
          </w:tcPr>
          <w:p>
            <w:pPr>
              <w:jc w:val="center"/>
            </w:pPr>
            <w:r>
              <w:rPr>
                <w:color w:val="000000"/>
                <w:kern w:val="0"/>
                <w:sz w:val="24"/>
                <w:szCs w:val="24"/>
              </w:rPr>
              <w:t>5</w:t>
            </w:r>
          </w:p>
        </w:tc>
        <w:tc>
          <w:tcPr>
            <w:vAlign w:val="center"/>
          </w:tcPr>
          <w:p>
            <w:pPr>
              <w:jc w:val="center"/>
            </w:pPr>
            <w:r>
              <w:rPr>
                <w:color w:val="000000"/>
                <w:kern w:val="0"/>
                <w:sz w:val="24"/>
                <w:szCs w:val="24"/>
              </w:rPr>
              <w:t>600809</w:t>
            </w:r>
          </w:p>
        </w:tc>
        <w:tc>
          <w:tcPr>
            <w:vAlign w:val="center"/>
          </w:tcPr>
          <w:p>
            <w:pPr>
              <w:jc w:val="center"/>
            </w:pPr>
            <w:r>
              <w:rPr>
                <w:color w:val="000000"/>
                <w:kern w:val="0"/>
                <w:sz w:val="24"/>
                <w:szCs w:val="24"/>
              </w:rPr>
              <w:t>山西汾酒</w:t>
            </w:r>
          </w:p>
        </w:tc>
        <w:tc>
          <w:tcPr>
            <w:vAlign w:val="center"/>
          </w:tcPr>
          <w:p>
            <w:pPr>
              <w:jc w:val="right"/>
            </w:pPr>
            <w:r>
              <w:rPr>
                <w:color w:val="000000"/>
                <w:kern w:val="0"/>
                <w:sz w:val="24"/>
                <w:szCs w:val="24"/>
              </w:rPr>
              <w:t>2,600,000</w:t>
            </w:r>
          </w:p>
        </w:tc>
        <w:tc>
          <w:tcPr>
            <w:vAlign w:val="center"/>
          </w:tcPr>
          <w:p>
            <w:pPr>
              <w:jc w:val="right"/>
            </w:pPr>
            <w:r>
              <w:rPr>
                <w:color w:val="000000"/>
                <w:kern w:val="0"/>
                <w:sz w:val="24"/>
                <w:szCs w:val="24"/>
              </w:rPr>
              <w:t>377,000,000.00</w:t>
            </w:r>
          </w:p>
        </w:tc>
        <w:tc>
          <w:tcPr>
            <w:vAlign w:val="center"/>
          </w:tcPr>
          <w:p>
            <w:pPr>
              <w:jc w:val="right"/>
            </w:pPr>
            <w:r>
              <w:rPr>
                <w:color w:val="000000"/>
                <w:kern w:val="0"/>
                <w:sz w:val="24"/>
                <w:szCs w:val="24"/>
              </w:rPr>
              <w:t>5.91</w:t>
            </w:r>
          </w:p>
        </w:tc>
      </w:tr>
      <w:tr>
        <w:tc>
          <w:tcPr>
            <w:vAlign w:val="center"/>
          </w:tcPr>
          <w:p>
            <w:pPr>
              <w:jc w:val="center"/>
            </w:pPr>
            <w:r>
              <w:rPr>
                <w:color w:val="000000"/>
                <w:kern w:val="0"/>
                <w:sz w:val="24"/>
                <w:szCs w:val="24"/>
              </w:rPr>
              <w:t>6</w:t>
            </w:r>
          </w:p>
        </w:tc>
        <w:tc>
          <w:tcPr>
            <w:vAlign w:val="center"/>
          </w:tcPr>
          <w:p>
            <w:pPr>
              <w:jc w:val="center"/>
            </w:pPr>
            <w:r>
              <w:rPr>
                <w:color w:val="000000"/>
                <w:kern w:val="0"/>
                <w:sz w:val="24"/>
                <w:szCs w:val="24"/>
              </w:rPr>
              <w:t>300015</w:t>
            </w:r>
          </w:p>
        </w:tc>
        <w:tc>
          <w:tcPr>
            <w:vAlign w:val="center"/>
          </w:tcPr>
          <w:p>
            <w:pPr>
              <w:jc w:val="center"/>
            </w:pPr>
            <w:r>
              <w:rPr>
                <w:color w:val="000000"/>
                <w:kern w:val="0"/>
                <w:sz w:val="24"/>
                <w:szCs w:val="24"/>
              </w:rPr>
              <w:t>爱尔眼科</w:t>
            </w:r>
          </w:p>
        </w:tc>
        <w:tc>
          <w:tcPr>
            <w:vAlign w:val="center"/>
          </w:tcPr>
          <w:p>
            <w:pPr>
              <w:jc w:val="right"/>
            </w:pPr>
            <w:r>
              <w:rPr>
                <w:color w:val="000000"/>
                <w:kern w:val="0"/>
                <w:sz w:val="24"/>
                <w:szCs w:val="24"/>
              </w:rPr>
              <w:t>8,600,000</w:t>
            </w:r>
          </w:p>
        </w:tc>
        <w:tc>
          <w:tcPr>
            <w:vAlign w:val="center"/>
          </w:tcPr>
          <w:p>
            <w:pPr>
              <w:jc w:val="right"/>
            </w:pPr>
            <w:r>
              <w:rPr>
                <w:color w:val="000000"/>
                <w:kern w:val="0"/>
                <w:sz w:val="24"/>
                <w:szCs w:val="24"/>
              </w:rPr>
              <w:t>373,670,000.00</w:t>
            </w:r>
          </w:p>
        </w:tc>
        <w:tc>
          <w:tcPr>
            <w:vAlign w:val="center"/>
          </w:tcPr>
          <w:p>
            <w:pPr>
              <w:jc w:val="right"/>
            </w:pPr>
            <w:r>
              <w:rPr>
                <w:color w:val="000000"/>
                <w:kern w:val="0"/>
                <w:sz w:val="24"/>
                <w:szCs w:val="24"/>
              </w:rPr>
              <w:t>5.86</w:t>
            </w:r>
          </w:p>
        </w:tc>
      </w:tr>
      <w:tr>
        <w:tc>
          <w:tcPr>
            <w:vAlign w:val="center"/>
          </w:tcPr>
          <w:p>
            <w:pPr>
              <w:jc w:val="center"/>
            </w:pPr>
            <w:r>
              <w:rPr>
                <w:color w:val="000000"/>
                <w:kern w:val="0"/>
                <w:sz w:val="24"/>
                <w:szCs w:val="24"/>
              </w:rPr>
              <w:t>7</w:t>
            </w:r>
          </w:p>
        </w:tc>
        <w:tc>
          <w:tcPr>
            <w:vAlign w:val="center"/>
          </w:tcPr>
          <w:p>
            <w:pPr>
              <w:jc w:val="center"/>
            </w:pPr>
            <w:r>
              <w:rPr>
                <w:color w:val="000000"/>
                <w:kern w:val="0"/>
                <w:sz w:val="24"/>
                <w:szCs w:val="24"/>
              </w:rPr>
              <w:t>002032</w:t>
            </w:r>
          </w:p>
        </w:tc>
        <w:tc>
          <w:tcPr>
            <w:vAlign w:val="center"/>
          </w:tcPr>
          <w:p>
            <w:pPr>
              <w:jc w:val="center"/>
            </w:pPr>
            <w:r>
              <w:rPr>
                <w:color w:val="000000"/>
                <w:kern w:val="0"/>
                <w:sz w:val="24"/>
                <w:szCs w:val="24"/>
              </w:rPr>
              <w:t>苏泊尔</w:t>
            </w:r>
          </w:p>
        </w:tc>
        <w:tc>
          <w:tcPr>
            <w:vAlign w:val="center"/>
          </w:tcPr>
          <w:p>
            <w:pPr>
              <w:jc w:val="right"/>
            </w:pPr>
            <w:r>
              <w:rPr>
                <w:color w:val="000000"/>
                <w:kern w:val="0"/>
                <w:sz w:val="24"/>
                <w:szCs w:val="24"/>
              </w:rPr>
              <w:t>5,243,454</w:t>
            </w:r>
          </w:p>
        </w:tc>
        <w:tc>
          <w:tcPr>
            <w:vAlign w:val="center"/>
          </w:tcPr>
          <w:p>
            <w:pPr>
              <w:jc w:val="right"/>
            </w:pPr>
            <w:r>
              <w:rPr>
                <w:color w:val="000000"/>
                <w:kern w:val="0"/>
                <w:sz w:val="24"/>
                <w:szCs w:val="24"/>
              </w:rPr>
              <w:t>372,285,234.00</w:t>
            </w:r>
          </w:p>
        </w:tc>
        <w:tc>
          <w:tcPr>
            <w:vAlign w:val="center"/>
          </w:tcPr>
          <w:p>
            <w:pPr>
              <w:jc w:val="right"/>
            </w:pPr>
            <w:r>
              <w:rPr>
                <w:color w:val="000000"/>
                <w:kern w:val="0"/>
                <w:sz w:val="24"/>
                <w:szCs w:val="24"/>
              </w:rPr>
              <w:t>5.84</w:t>
            </w:r>
          </w:p>
        </w:tc>
      </w:tr>
      <w:tr>
        <w:tc>
          <w:tcPr>
            <w:vAlign w:val="center"/>
          </w:tcPr>
          <w:p>
            <w:pPr>
              <w:jc w:val="center"/>
            </w:pPr>
            <w:r>
              <w:rPr>
                <w:color w:val="000000"/>
                <w:kern w:val="0"/>
                <w:sz w:val="24"/>
                <w:szCs w:val="24"/>
              </w:rPr>
              <w:t>8</w:t>
            </w:r>
          </w:p>
        </w:tc>
        <w:tc>
          <w:tcPr>
            <w:vAlign w:val="center"/>
          </w:tcPr>
          <w:p>
            <w:pPr>
              <w:jc w:val="center"/>
            </w:pPr>
            <w:r>
              <w:rPr>
                <w:color w:val="000000"/>
                <w:kern w:val="0"/>
                <w:sz w:val="24"/>
                <w:szCs w:val="24"/>
              </w:rPr>
              <w:t>600009</w:t>
            </w:r>
          </w:p>
        </w:tc>
        <w:tc>
          <w:tcPr>
            <w:vAlign w:val="center"/>
          </w:tcPr>
          <w:p>
            <w:pPr>
              <w:jc w:val="center"/>
            </w:pPr>
            <w:r>
              <w:rPr>
                <w:color w:val="000000"/>
                <w:kern w:val="0"/>
                <w:sz w:val="24"/>
                <w:szCs w:val="24"/>
              </w:rPr>
              <w:t>上海机场</w:t>
            </w:r>
          </w:p>
        </w:tc>
        <w:tc>
          <w:tcPr>
            <w:vAlign w:val="center"/>
          </w:tcPr>
          <w:p>
            <w:pPr>
              <w:jc w:val="right"/>
            </w:pPr>
            <w:r>
              <w:rPr>
                <w:color w:val="000000"/>
                <w:kern w:val="0"/>
                <w:sz w:val="24"/>
                <w:szCs w:val="24"/>
              </w:rPr>
              <w:t>5,004,578</w:t>
            </w:r>
          </w:p>
        </w:tc>
        <w:tc>
          <w:tcPr>
            <w:vAlign w:val="center"/>
          </w:tcPr>
          <w:p>
            <w:pPr>
              <w:jc w:val="right"/>
            </w:pPr>
            <w:r>
              <w:rPr>
                <w:color w:val="000000"/>
                <w:kern w:val="0"/>
                <w:sz w:val="24"/>
                <w:szCs w:val="24"/>
              </w:rPr>
              <w:t>360,679,936.46</w:t>
            </w:r>
          </w:p>
        </w:tc>
        <w:tc>
          <w:tcPr>
            <w:vAlign w:val="center"/>
          </w:tcPr>
          <w:p>
            <w:pPr>
              <w:jc w:val="right"/>
            </w:pPr>
            <w:r>
              <w:rPr>
                <w:color w:val="000000"/>
                <w:kern w:val="0"/>
                <w:sz w:val="24"/>
                <w:szCs w:val="24"/>
              </w:rPr>
              <w:t>5.65</w:t>
            </w:r>
          </w:p>
        </w:tc>
      </w:tr>
      <w:tr>
        <w:tc>
          <w:tcPr>
            <w:vAlign w:val="center"/>
          </w:tcPr>
          <w:p>
            <w:pPr>
              <w:jc w:val="center"/>
            </w:pPr>
            <w:r>
              <w:rPr>
                <w:color w:val="000000"/>
                <w:kern w:val="0"/>
                <w:sz w:val="24"/>
                <w:szCs w:val="24"/>
              </w:rPr>
              <w:t>9</w:t>
            </w:r>
          </w:p>
        </w:tc>
        <w:tc>
          <w:tcPr>
            <w:vAlign w:val="center"/>
          </w:tcPr>
          <w:p>
            <w:pPr>
              <w:jc w:val="center"/>
            </w:pPr>
            <w:r>
              <w:rPr>
                <w:color w:val="000000"/>
                <w:kern w:val="0"/>
                <w:sz w:val="24"/>
                <w:szCs w:val="24"/>
              </w:rPr>
              <w:t>600161</w:t>
            </w:r>
          </w:p>
        </w:tc>
        <w:tc>
          <w:tcPr>
            <w:vAlign w:val="center"/>
          </w:tcPr>
          <w:p>
            <w:pPr>
              <w:jc w:val="center"/>
            </w:pPr>
            <w:r>
              <w:rPr>
                <w:color w:val="000000"/>
                <w:kern w:val="0"/>
                <w:sz w:val="24"/>
                <w:szCs w:val="24"/>
              </w:rPr>
              <w:t>天坛生物</w:t>
            </w:r>
          </w:p>
        </w:tc>
        <w:tc>
          <w:tcPr>
            <w:vAlign w:val="center"/>
          </w:tcPr>
          <w:p>
            <w:pPr>
              <w:jc w:val="right"/>
            </w:pPr>
            <w:r>
              <w:rPr>
                <w:color w:val="000000"/>
                <w:kern w:val="0"/>
                <w:sz w:val="24"/>
                <w:szCs w:val="24"/>
              </w:rPr>
              <w:t>7,100,040</w:t>
            </w:r>
          </w:p>
        </w:tc>
        <w:tc>
          <w:tcPr>
            <w:vAlign w:val="center"/>
          </w:tcPr>
          <w:p>
            <w:pPr>
              <w:jc w:val="right"/>
            </w:pPr>
            <w:r>
              <w:rPr>
                <w:color w:val="000000"/>
                <w:kern w:val="0"/>
                <w:sz w:val="24"/>
                <w:szCs w:val="24"/>
              </w:rPr>
              <w:t>321,844,813.20</w:t>
            </w:r>
          </w:p>
        </w:tc>
        <w:tc>
          <w:tcPr>
            <w:vAlign w:val="center"/>
          </w:tcPr>
          <w:p>
            <w:pPr>
              <w:jc w:val="right"/>
            </w:pPr>
            <w:r>
              <w:rPr>
                <w:color w:val="000000"/>
                <w:kern w:val="0"/>
                <w:sz w:val="24"/>
                <w:szCs w:val="24"/>
              </w:rPr>
              <w:t>5.05</w:t>
            </w:r>
          </w:p>
        </w:tc>
      </w:tr>
      <w:tr>
        <w:tc>
          <w:tcPr>
            <w:vAlign w:val="center"/>
          </w:tcPr>
          <w:p>
            <w:pPr>
              <w:jc w:val="center"/>
            </w:pPr>
            <w:r>
              <w:rPr>
                <w:color w:val="000000"/>
                <w:kern w:val="0"/>
                <w:sz w:val="24"/>
                <w:szCs w:val="24"/>
              </w:rPr>
              <w:t>10</w:t>
            </w:r>
          </w:p>
        </w:tc>
        <w:tc>
          <w:tcPr>
            <w:vAlign w:val="center"/>
          </w:tcPr>
          <w:p>
            <w:pPr>
              <w:jc w:val="center"/>
            </w:pPr>
            <w:r>
              <w:rPr>
                <w:color w:val="000000"/>
                <w:kern w:val="0"/>
                <w:sz w:val="24"/>
                <w:szCs w:val="24"/>
              </w:rPr>
              <w:t>600779</w:t>
            </w:r>
          </w:p>
        </w:tc>
        <w:tc>
          <w:tcPr>
            <w:vAlign w:val="center"/>
          </w:tcPr>
          <w:p>
            <w:pPr>
              <w:jc w:val="center"/>
            </w:pPr>
            <w:r>
              <w:rPr>
                <w:color w:val="000000"/>
                <w:kern w:val="0"/>
                <w:sz w:val="24"/>
                <w:szCs w:val="24"/>
              </w:rPr>
              <w:t>水井坊</w:t>
            </w:r>
          </w:p>
        </w:tc>
        <w:tc>
          <w:tcPr>
            <w:vAlign w:val="center"/>
          </w:tcPr>
          <w:p>
            <w:pPr>
              <w:jc w:val="right"/>
            </w:pPr>
            <w:r>
              <w:rPr>
                <w:color w:val="000000"/>
                <w:kern w:val="0"/>
                <w:sz w:val="24"/>
                <w:szCs w:val="24"/>
              </w:rPr>
              <w:t>4,759,762</w:t>
            </w:r>
          </w:p>
        </w:tc>
        <w:tc>
          <w:tcPr>
            <w:vAlign w:val="center"/>
          </w:tcPr>
          <w:p>
            <w:pPr>
              <w:jc w:val="right"/>
            </w:pPr>
            <w:r>
              <w:rPr>
                <w:color w:val="000000"/>
                <w:kern w:val="0"/>
                <w:sz w:val="24"/>
                <w:szCs w:val="24"/>
              </w:rPr>
              <w:t>297,104,344.04</w:t>
            </w:r>
          </w:p>
        </w:tc>
        <w:tc>
          <w:tcPr>
            <w:vAlign w:val="center"/>
          </w:tcPr>
          <w:p>
            <w:pPr>
              <w:jc w:val="right"/>
            </w:pPr>
            <w:r>
              <w:rPr>
                <w:color w:val="000000"/>
                <w:kern w:val="0"/>
                <w:sz w:val="24"/>
                <w:szCs w:val="24"/>
              </w:rPr>
              <w:t>4.66</w:t>
            </w:r>
          </w:p>
        </w:tc>
      </w:tr>
    </w:tbl>
    <w:p w:rsidP="00CA4677" w:rsidR="00CA4677" w:rsidRDefault="00750D48" w:rsidRPr="00283CAD">
      <w:pPr>
        <w:autoSpaceDE w:val="0"/>
        <w:autoSpaceDN w:val="0"/>
        <w:adjustRightInd w:val="0"/>
        <w:spacing w:line="360" w:lineRule="auto"/>
        <w:jc w:val="left"/>
        <w:rPr>
          <w:rFonts w:eastAsiaTheme="minorEastAsia"/>
          <w:b/>
          <w:bCs/>
          <w:color w:themeColor="text1" w:val="000000"/>
          <w:kern w:val="0"/>
          <w:sz w:val="24"/>
          <w:szCs w:val="24"/>
        </w:rPr>
      </w:pPr>
      <w:r w:rsidRPr="00264E55">
        <w:rPr>
          <w:rFonts w:ascii="宋体" w:hAnsi="宋体"/>
          <w:b/>
          <w:bCs/>
          <w:color w:val="000000"/>
          <w:kern w:val="0"/>
          <w:sz w:val="24"/>
          <w:szCs w:val="24"/>
        </w:rPr>
        <w:t xml:space="preserve">5.4 </w:t>
      </w:r>
      <w:r w:rsidRPr="00264E55">
        <w:rPr>
          <w:rFonts w:ascii="宋体" w:hAnsi="宋体" w:hint="eastAsia"/>
          <w:b/>
          <w:bCs/>
          <w:color w:val="000000"/>
          <w:kern w:val="0"/>
          <w:sz w:val="24"/>
          <w:szCs w:val="24"/>
        </w:rPr>
        <w:t>报告期末按债券品种分类的债券投资组合</w:t>
      </w:r>
    </w:p>
    <w:tbl>
      <w:tblPr>
        <w:tblStyle w:val="af7"/>
        <w:tblW w:type="dxa" w:w="8755"/>
        <w:jc w:val="center"/>
        <w:tblLayout w:type="fixed"/>
        <w:tblLook w:firstColumn="1" w:firstRow="1" w:lastColumn="0" w:lastRow="0" w:noHBand="0" w:noVBand="1" w:val="04A0"/>
      </w:tblPr>
      <w:tblGrid>
        <w:gridCol w:w="817"/>
        <w:gridCol w:w="3260"/>
        <w:gridCol w:w="2949"/>
        <w:gridCol w:w="1729"/>
      </w:tblGrid>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序号</w:t>
            </w:r>
          </w:p>
        </w:tc>
        <w:tc>
          <w:tcPr>
            <w:tcW w:type="dxa" w:w="3260"/>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债券品种</w:t>
            </w: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
            </w:r>
          </w:p>
        </w:tc>
        <w:tc>
          <w:tcPr>
            <w:tcW w:type="dxa" w:w="2949"/>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公允价值</w:t>
            </w:r>
            <w:r w:rsidRPr="00283CAD">
              <w:rPr>
                <w:rFonts w:eastAsiaTheme="minorEastAsia"/>
                <w:color w:themeColor="text1" w:val="000000"/>
                <w:sz w:val="24"/>
                <w:szCs w:val="24"/>
              </w:rPr>
              <w:t>(</w:t>
            </w:r>
            <w:r w:rsidRPr="00283CAD">
              <w:rPr>
                <w:rFonts w:eastAsiaTheme="minorEastAsia"/>
                <w:color w:themeColor="text1" w:val="000000"/>
                <w:sz w:val="24"/>
                <w:szCs w:val="24"/>
              </w:rPr>
              <w:t>元</w:t>
            </w:r>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占基金资产净值比例</w:t>
            </w:r>
            <w:r w:rsidRPr="00283CAD">
              <w:rPr>
                <w:rFonts w:eastAsiaTheme="minorEastAsia"/>
                <w:color w:themeColor="text1" w:val="000000"/>
                <w:sz w:val="24"/>
                <w:szCs w:val="24"/>
              </w:rPr>
              <w:t>(</w:t>
            </w:r>
            <w:r w:rsidRPr="00283CAD">
              <w:rPr>
                <w:rFonts w:eastAsiaTheme="minorEastAsia"/>
                <w:color w:themeColor="text1" w:val="000000"/>
                <w:sz w:val="24"/>
                <w:szCs w:val="24"/>
              </w:rPr>
              <w:t>％</w:t>
            </w: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1</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国家债券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2</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央行票据</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3</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金融债券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r w:rsidRPr="00283CAD">
              <w:rPr>
                <w:rFonts w:eastAsiaTheme="minorEastAsia"/>
                <w:color w:themeColor="text1" w:val="000000"/>
                <w:sz w:val="24"/>
                <w:szCs w:val="24"/>
              </w:rPr>
              <w:lastRenderedPageBreak/>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其中：政策性金融债</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4</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企业债券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5</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企业短期融资券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6</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中期票据</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7</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可转债</w:t>
            </w:r>
            <w:r w:rsidR="004B5343" w:rsidRPr="004B5343">
              <w:rPr>
                <w:rFonts w:eastAsiaTheme="minorEastAsia" w:hint="eastAsia"/>
                <w:color w:themeColor="text1" w:val="000000"/>
                <w:sz w:val="24"/>
                <w:szCs w:val="24"/>
              </w:rPr>
              <w:t>（可交换债）</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r w:rsidRPr="00283CAD">
              <w:rPr>
                <w:rFonts w:eastAsiaTheme="minorEastAsia"/>
                <w:color w:themeColor="text1" w:val="000000"/>
                <w:sz w:val="24"/>
                <w:szCs w:val="24"/>
              </w:rPr>
              <w:lastRenderedPageBreak/>
              <w:t/>
            </w:r>
            <w:proofErr w:type="spellEnd"/>
            <w:r w:rsidRPr="00283CAD">
              <w:rPr>
                <w:rFonts w:eastAsiaTheme="minorEastAsia"/>
                <w:color w:themeColor="text1" w:val="000000"/>
                <w:sz w:val="24"/>
                <w:szCs w:val="24"/>
              </w:rPr>
              <w:t>3,017.28</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lastRenderedPageBreak/>
              <w:t/>
            </w:r>
            <w:proofErr w:type="spellStart"/>
            <w:r w:rsidRPr="00283CAD">
              <w:rPr>
                <w:rFonts w:eastAsiaTheme="minorEastAsia"/>
                <w:color w:themeColor="text1" w:val="000000"/>
                <w:sz w:val="24"/>
                <w:szCs w:val="24"/>
              </w:rPr>
              <w:t/>
            </w:r>
            <w:r w:rsidRPr="00283CAD">
              <w:rPr>
                <w:rFonts w:eastAsiaTheme="minorEastAsia"/>
                <w:color w:themeColor="text1" w:val="000000"/>
                <w:sz w:val="24"/>
                <w:szCs w:val="24"/>
              </w:rPr>
              <w:lastRenderedPageBreak/>
              <w:t/>
            </w:r>
            <w:proofErr w:type="spellEnd"/>
            <w:r w:rsidRPr="00283CAD">
              <w:rPr>
                <w:rFonts w:eastAsiaTheme="minorEastAsia"/>
                <w:color w:themeColor="text1" w:val="000000"/>
                <w:sz w:val="24"/>
                <w:szCs w:val="24"/>
              </w:rPr>
              <w:t>0.00</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lastRenderedPageBreak/>
              <w:t>8</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同业存单</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9</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其他</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10</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合计</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3,017.28</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0.00</w:t>
            </w:r>
          </w:p>
        </w:tc>
      </w:tr>
    </w:tbl>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5.5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的前五名债券投资明细</w:t>
      </w:r>
    </w:p>
    <w:tbl>
      <w:tblPr>
        <w:tblW w:type="auto"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959"/>
        <w:gridCol w:w="1276"/>
        <w:gridCol w:w="1275"/>
        <w:gridCol w:w="1560"/>
        <w:gridCol w:w="1984"/>
        <w:gridCol w:w="1474"/>
      </w:tblGrid>
      <w:tr w:rsidR="00750D48" w:rsidRPr="00264E55" w:rsidTr="005602F3">
        <w:tc>
          <w:tcPr>
            <w:tcW w:type="dxa" w:w="959"/>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1276"/>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债券代码</w:t>
            </w:r>
          </w:p>
        </w:tc>
        <w:tc>
          <w:tcPr>
            <w:tcW w:type="dxa" w:w="1275"/>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债券名称</w:t>
            </w:r>
          </w:p>
        </w:tc>
        <w:tc>
          <w:tcPr>
            <w:tcW w:type="dxa" w:w="1560"/>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数量</w:t>
            </w:r>
            <w:r w:rsidR="005F7917" w:rsidRPr="00232B03">
              <w:rPr>
                <w:color w:val="000000"/>
                <w:kern w:val="0"/>
                <w:sz w:val="24"/>
                <w:szCs w:val="24"/>
              </w:rPr>
              <w:t>（张）</w:t>
            </w:r>
          </w:p>
        </w:tc>
        <w:tc>
          <w:tcPr>
            <w:tcW w:type="dxa" w:w="1984"/>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公允价值</w:t>
            </w:r>
            <w:r w:rsidR="005F7917" w:rsidRPr="00232B03">
              <w:rPr>
                <w:color w:val="000000"/>
                <w:kern w:val="0"/>
                <w:sz w:val="24"/>
                <w:szCs w:val="24"/>
              </w:rPr>
              <w:t>（元）</w:t>
            </w:r>
          </w:p>
        </w:tc>
        <w:tc>
          <w:tcPr>
            <w:tcW w:type="dxa" w:w="1474"/>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占基金资产净值比例</w:t>
            </w:r>
            <w:r w:rsidR="005F7917" w:rsidRPr="00232B03">
              <w:rPr>
                <w:color w:val="000000"/>
                <w:kern w:val="0"/>
                <w:sz w:val="24"/>
                <w:szCs w:val="24"/>
              </w:rPr>
              <w:lastRenderedPageBreak/>
              <w:t>（％）</w:t>
            </w:r>
          </w:p>
        </w:tc>
      </w:tr>
      <w:tr>
        <w:tc>
          <w:tcPr>
            <w:vAlign w:val="center"/>
          </w:tcPr>
          <w:p>
            <w:pPr>
              <w:jc w:val="center"/>
            </w:pPr>
            <w:r>
              <w:rPr>
                <w:color w:val="000000"/>
                <w:kern w:val="0"/>
                <w:sz w:val="24"/>
                <w:szCs w:val="24"/>
              </w:rPr>
              <w:t>1</w:t>
            </w:r>
          </w:p>
        </w:tc>
        <w:tc>
          <w:tcPr>
            <w:vAlign w:val="center"/>
          </w:tcPr>
          <w:p>
            <w:pPr>
              <w:jc w:val="center"/>
            </w:pPr>
            <w:r>
              <w:rPr>
                <w:color w:val="000000"/>
                <w:kern w:val="0"/>
                <w:sz w:val="24"/>
                <w:szCs w:val="24"/>
              </w:rPr>
              <w:t>128083</w:t>
            </w:r>
          </w:p>
        </w:tc>
        <w:tc>
          <w:tcPr>
            <w:vAlign w:val="center"/>
          </w:tcPr>
          <w:p>
            <w:pPr>
              <w:jc w:val="center"/>
            </w:pPr>
            <w:r>
              <w:rPr>
                <w:color w:val="000000"/>
                <w:kern w:val="0"/>
                <w:sz w:val="24"/>
                <w:szCs w:val="24"/>
              </w:rPr>
              <w:t>新北转债</w:t>
            </w:r>
          </w:p>
        </w:tc>
        <w:tc>
          <w:tcPr>
            <w:vAlign w:val="center"/>
          </w:tcPr>
          <w:p>
            <w:pPr>
              <w:jc w:val="right"/>
            </w:pPr>
            <w:r>
              <w:rPr>
                <w:color w:val="000000"/>
                <w:kern w:val="0"/>
                <w:sz w:val="24"/>
                <w:szCs w:val="24"/>
              </w:rPr>
              <w:t>28</w:t>
            </w:r>
          </w:p>
        </w:tc>
        <w:tc>
          <w:tcPr>
            <w:vAlign w:val="center"/>
          </w:tcPr>
          <w:p>
            <w:pPr>
              <w:jc w:val="right"/>
            </w:pPr>
            <w:r>
              <w:rPr>
                <w:color w:val="000000"/>
                <w:kern w:val="0"/>
                <w:sz w:val="24"/>
                <w:szCs w:val="24"/>
              </w:rPr>
              <w:t>3,017.28</w:t>
            </w:r>
          </w:p>
        </w:tc>
        <w:tc>
          <w:tcPr>
            <w:vAlign w:val="center"/>
          </w:tcPr>
          <w:p>
            <w:pPr>
              <w:jc w:val="right"/>
            </w:pPr>
            <w:r>
              <w:rPr>
                <w:color w:val="000000"/>
                <w:kern w:val="0"/>
                <w:sz w:val="24"/>
                <w:szCs w:val="24"/>
              </w:rPr>
              <w:t>0.00</w:t>
            </w:r>
          </w:p>
        </w:tc>
      </w:tr>
    </w:tbl>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5.6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的前十名资产支持证券投资明细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本基金本报告期末未持有资产支持证券。</w:t>
      </w:r>
    </w:p>
    <w:p w:rsidP="001D63BB" w:rsidR="00750D48" w:rsidRDefault="00750D48" w:rsidRPr="001D63BB">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r w:rsidRPr="001B0A62">
        <w:rPr>
          <w:rFonts w:ascii="宋体" w:hAnsi="宋体"/>
          <w:b/>
          <w:bCs/>
          <w:color w:val="000000"/>
          <w:kern w:val="0"/>
          <w:sz w:val="24"/>
          <w:szCs w:val="24"/>
        </w:rPr>
        <w:t>5.</w:t>
      </w:r>
      <w:r>
        <w:rPr>
          <w:rFonts w:ascii="宋体" w:hAnsi="宋体"/>
          <w:b/>
          <w:bCs/>
          <w:color w:val="000000"/>
          <w:kern w:val="0"/>
          <w:sz w:val="24"/>
          <w:szCs w:val="24"/>
        </w:rPr>
        <w:t/>
      </w:r>
      <w:r w:rsidRPr="001B0A62">
        <w:rPr>
          <w:rFonts w:ascii="宋体"/>
          <w:b/>
          <w:bCs/>
          <w:color w:val="000000"/>
          <w:kern w:val="0"/>
          <w:sz w:val="24"/>
          <w:szCs w:val="24"/>
        </w:rPr>
        <w:t>7</w:t>
      </w:r>
      <w:r w:rsidRPr="001D63BB">
        <w:rPr>
          <w:rFonts w:ascii="宋体" w:hAnsi="宋体" w:hint="eastAsia"/>
          <w:b/>
          <w:bCs/>
          <w:color w:val="000000"/>
          <w:kern w:val="0"/>
          <w:sz w:val="24"/>
          <w:szCs w:val="24"/>
        </w:rPr>
        <w:t>报告期末按公允价值占基金资产净值比例大小排序的前五名贵金属投资明细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本基金本报告期末未持有贵金属。</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Pr>
          <w:rFonts w:ascii="宋体"/>
          <w:b/>
          <w:bCs/>
          <w:color w:val="000000"/>
          <w:kern w:val="0"/>
          <w:sz w:val="24"/>
          <w:szCs w:val="24"/>
        </w:rPr>
        <w:t/>
      </w:r>
      <w:r>
        <w:rPr>
          <w:rFonts w:ascii="宋体" w:hAnsi="宋体"/>
          <w:b/>
          <w:bCs/>
          <w:color w:val="000000"/>
          <w:kern w:val="0"/>
          <w:sz w:val="24"/>
          <w:szCs w:val="24"/>
        </w:rPr>
        <w:t/>
      </w:r>
      <w:r w:rsidRPr="001B0A62">
        <w:rPr>
          <w:rFonts w:ascii="宋体"/>
          <w:b/>
          <w:bCs/>
          <w:color w:val="000000"/>
          <w:kern w:val="0"/>
          <w:sz w:val="24"/>
          <w:szCs w:val="24"/>
        </w:rPr>
        <w:t>5.</w:t>
      </w:r>
      <w:r w:rsidRPr="001B0A62">
        <w:rPr>
          <w:rFonts w:ascii="宋体" w:hAnsi="宋体"/>
          <w:b/>
          <w:bCs/>
          <w:color w:val="000000"/>
          <w:kern w:val="0"/>
          <w:sz w:val="24"/>
          <w:szCs w:val="24"/>
        </w:rPr>
        <w:t/>
      </w:r>
      <w:r>
        <w:rPr>
          <w:rFonts w:ascii="宋体" w:hAnsi="宋体"/>
          <w:b/>
          <w:bCs/>
          <w:color w:val="000000"/>
          <w:kern w:val="0"/>
          <w:sz w:val="24"/>
          <w:szCs w:val="24"/>
        </w:rPr>
        <w:t/>
      </w:r>
      <w:r w:rsidRPr="001B0A62">
        <w:rPr>
          <w:rFonts w:ascii="宋体"/>
          <w:b/>
          <w:bCs/>
          <w:color w:val="000000"/>
          <w:kern w:val="0"/>
          <w:sz w:val="24"/>
          <w:szCs w:val="24"/>
        </w:rPr>
        <w:t>8</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的前五名权证投资明细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本基金本报告期末未持有权证。</w:t>
      </w:r>
    </w:p>
    <w:p w:rsidP="001B0A62" w:rsidR="00750D48" w:rsidRDefault="00750D48" w:rsidRPr="001B0A62">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proofErr w:type="spellStart"/>
      <w:r w:rsidRPr="001B0A62">
        <w:rPr>
          <w:rFonts w:ascii="宋体" w:hAnsi="宋体"/>
          <w:b/>
          <w:bCs/>
          <w:color w:val="000000"/>
          <w:kern w:val="0"/>
          <w:sz w:val="24"/>
          <w:szCs w:val="24"/>
        </w:rPr>
        <w:t/>
      </w:r>
      <w:proofErr w:type="spellEnd"/>
      <w:r w:rsidRPr="001B0A62">
        <w:rPr>
          <w:rFonts w:ascii="宋体" w:hAnsi="宋体"/>
          <w:b/>
          <w:bCs/>
          <w:color w:val="000000"/>
          <w:kern w:val="0"/>
          <w:sz w:val="24"/>
          <w:szCs w:val="24"/>
        </w:rPr>
        <w:t>5</w:t>
      </w:r>
      <w:r>
        <w:rPr>
          <w:rFonts w:ascii="宋体"/>
          <w:b/>
          <w:bCs/>
          <w:color w:val="000000"/>
          <w:kern w:val="0"/>
          <w:sz w:val="24"/>
          <w:szCs w:val="24"/>
        </w:rPr>
        <w:t>.</w:t>
      </w:r>
      <w:r>
        <w:rPr>
          <w:rFonts w:ascii="宋体" w:hAnsi="宋体"/>
          <w:b/>
          <w:bCs/>
          <w:color w:val="000000"/>
          <w:kern w:val="0"/>
          <w:sz w:val="24"/>
          <w:szCs w:val="24"/>
        </w:rPr>
        <w:t/>
      </w:r>
      <w:r w:rsidRPr="001B0A62">
        <w:rPr>
          <w:rFonts w:ascii="宋体"/>
          <w:b/>
          <w:bCs/>
          <w:color w:val="000000"/>
          <w:kern w:val="0"/>
          <w:sz w:val="24"/>
          <w:szCs w:val="24"/>
        </w:rPr>
        <w:t>9</w:t>
      </w:r>
      <w:r w:rsidRPr="001B0A62">
        <w:rPr>
          <w:rFonts w:ascii="宋体" w:hAnsi="宋体" w:hint="eastAsia"/>
          <w:b/>
          <w:bCs/>
          <w:color w:val="000000"/>
          <w:kern w:val="0"/>
          <w:sz w:val="24"/>
          <w:szCs w:val="24"/>
        </w:rPr>
        <w:t>报告期末本基金投资的股指期货交易情况说明</w:t>
      </w:r>
    </w:p>
    <w:p w:rsidP="00277FAE" w:rsidR="00277FAE" w:rsidRDefault="00277FAE">
      <w:pPr>
        <w:spacing w:line="360" w:lineRule="auto"/>
        <w:ind w:firstLine="480" w:firstLineChars="200"/>
        <w:rPr>
          <w:rFonts w:eastAsiaTheme="minorEastAsia"/>
          <w:color w:themeColor="text1" w:val="000000"/>
          <w:sz w:val="24"/>
        </w:rPr>
      </w:pPr>
      <w:r>
        <w:rPr>
          <w:color w:val="000000"/>
          <w:sz w:val="24"/>
        </w:rPr>
        <w:t/>
      </w:r>
      <w:proofErr w:type="spellStart"/>
      <w:r>
        <w:rPr>
          <w:color w:val="000000"/>
          <w:sz w:val="24"/>
        </w:rPr>
        <w:t/>
      </w:r>
      <w:proofErr w:type="spellEnd"/>
      <w:r>
        <w:rPr>
          <w:color w:val="000000"/>
          <w:sz w:val="24"/>
        </w:rPr>
        <w:t/>
      </w:r>
      <w:proofErr w:type="spellStart"/>
      <w:r>
        <w:rPr>
          <w:color w:val="000000"/>
          <w:sz w:val="24"/>
        </w:rPr>
        <w:t/>
      </w:r>
      <w:r>
        <w:rPr>
          <w:rFonts w:eastAsiaTheme="minorEastAsia"/>
          <w:color w:themeColor="text1" w:val="000000"/>
          <w:sz w:val="24"/>
        </w:rPr>
        <w:t/>
      </w:r>
      <w:proofErr w:type="spellEnd"/>
      <w:r>
        <w:rPr>
          <w:rFonts w:eastAsiaTheme="minorEastAsia"/>
          <w:color w:themeColor="text1" w:val="000000"/>
          <w:sz w:val="24"/>
        </w:rPr>
        <w:t>本基金本报告期末未投资股指期货。</w:t>
      </w:r>
    </w:p>
    <w:p w:rsidP="001B0A62" w:rsidR="00750D48" w:rsidRDefault="00750D48" w:rsidRPr="001B0A62">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proofErr w:type="spellStart"/>
      <w:r w:rsidRPr="001B0A62">
        <w:rPr>
          <w:rFonts w:ascii="宋体" w:hAnsi="宋体"/>
          <w:b/>
          <w:bCs/>
          <w:color w:val="000000"/>
          <w:kern w:val="0"/>
          <w:sz w:val="24"/>
          <w:szCs w:val="24"/>
        </w:rPr>
        <w:t/>
      </w:r>
      <w:proofErr w:type="spellEnd"/>
      <w:r w:rsidRPr="001B0A62">
        <w:rPr>
          <w:rFonts w:ascii="宋体" w:hAnsi="宋体"/>
          <w:b/>
          <w:bCs/>
          <w:color w:val="000000"/>
          <w:kern w:val="0"/>
          <w:sz w:val="24"/>
          <w:szCs w:val="24"/>
        </w:rPr>
        <w:t>5.10</w:t>
      </w:r>
      <w:r w:rsidRPr="001B0A62">
        <w:rPr>
          <w:rFonts w:ascii="宋体" w:hAnsi="宋体" w:hint="eastAsia"/>
          <w:b/>
          <w:bCs/>
          <w:color w:val="000000"/>
          <w:kern w:val="0"/>
          <w:sz w:val="24"/>
          <w:szCs w:val="24"/>
        </w:rPr>
        <w:t>报告期末本基金投资的国债期货交易情况说明</w:t>
      </w:r>
    </w:p>
    <w:p w:rsidP="00277FAE" w:rsidR="00277FAE" w:rsidRDefault="00277FAE">
      <w:pPr>
        <w:spacing w:line="360" w:lineRule="auto"/>
        <w:ind w:firstLine="480" w:firstLineChars="200"/>
      </w:pPr>
      <w:r>
        <w:rPr>
          <w:color w:val="000000"/>
          <w:sz w:val="24"/>
        </w:rPr>
        <w:t/>
      </w:r>
      <w:proofErr w:type="spellStart"/>
      <w:r>
        <w:rPr>
          <w:color w:val="000000"/>
          <w:sz w:val="24"/>
        </w:rPr>
        <w:t/>
      </w:r>
      <w:proofErr w:type="spellEnd"/>
      <w:r>
        <w:rPr>
          <w:color w:val="000000"/>
          <w:sz w:val="24"/>
        </w:rPr>
        <w:t/>
      </w:r>
      <w:proofErr w:type="spellStart"/>
      <w:r>
        <w:rPr>
          <w:color w:val="000000"/>
          <w:sz w:val="24"/>
        </w:rPr>
        <w:t/>
      </w:r>
      <w:proofErr w:type="spellEnd"/>
      <w:r>
        <w:rPr>
          <w:color w:val="000000"/>
          <w:sz w:val="24"/>
        </w:rPr>
        <w:t>本基金本报告期末未投资国债期货。</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5.11 </w:t>
      </w:r>
      <w:r w:rsidRPr="00264E55">
        <w:rPr>
          <w:rFonts w:ascii="宋体" w:hAnsi="宋体" w:hint="eastAsia"/>
          <w:b/>
          <w:bCs/>
          <w:color w:val="000000"/>
          <w:kern w:val="0"/>
          <w:sz w:val="24"/>
          <w:szCs w:val="24"/>
        </w:rPr>
        <w:t>投资组合报告附注</w:t>
      </w:r>
    </w:p>
    <w:p w:rsidP="001B0A62" w:rsidR="00750D48" w:rsidRDefault="002C5960" w:rsidRPr="00264E55">
      <w:pPr>
        <w:spacing w:line="360" w:lineRule="auto"/>
        <w:rPr>
          <w:rFonts w:ascii="宋体" w:hAnsi="宋体"/>
          <w:color w:val="000000"/>
          <w:sz w:val="24"/>
          <w:szCs w:val="24"/>
        </w:rPr>
      </w:pPr>
      <w:r>
        <w:rPr>
          <w:rFonts w:hint="eastAsia"/>
          <w:color w:val="000000"/>
          <w:sz w:val="24"/>
        </w:rPr>
        <w:t/>
      </w:r>
      <w:r w:rsidR="00750D48" w:rsidRPr="00264E55">
        <w:rPr>
          <w:rFonts w:ascii="宋体"/>
          <w:color w:val="000000"/>
          <w:sz w:val="24"/>
          <w:szCs w:val="24"/>
        </w:rPr>
        <w:t/>
      </w:r>
      <w:r w:rsidR="00750D48" w:rsidRPr="00264E55">
        <w:rPr>
          <w:rFonts w:ascii="宋体" w:hAnsi="宋体"/>
          <w:color w:val="000000"/>
          <w:sz w:val="24"/>
          <w:szCs w:val="24"/>
        </w:rPr>
        <w:t>5.11.1</w:t>
      </w:r>
      <w:r w:rsidR="00065E3C">
        <w:rPr>
          <w:rFonts w:ascii="宋体" w:hAnsi="宋体" w:hint="eastAsia"/>
          <w:color w:val="000000"/>
          <w:sz w:val="24"/>
          <w:szCs w:val="24"/>
        </w:rPr>
        <w:t xml:space="preserve"> </w:t>
      </w:r>
      <w:r w:rsidR="00750D48" w:rsidRPr="00264E55">
        <w:rPr>
          <w:rFonts w:ascii="宋体" w:hAnsi="宋体"/>
          <w:color w:val="000000"/>
          <w:sz w:val="24"/>
          <w:szCs w:val="24"/>
        </w:rPr>
        <w:t>本基金投资的前十名证券的发行主体本期没有出现被监管部门立案调查，或在报告编制日前一年内受到公开谴责、处罚的情形。</w:t>
      </w:r>
    </w:p>
    <w:p w:rsidP="001B0A62" w:rsidR="00750D48" w:rsidRDefault="002C5960" w:rsidRPr="00264E55">
      <w:pPr>
        <w:spacing w:line="360" w:lineRule="auto"/>
        <w:rPr>
          <w:rFonts w:ascii="宋体" w:hAnsi="宋体"/>
          <w:color w:val="000000"/>
          <w:sz w:val="24"/>
          <w:szCs w:val="24"/>
        </w:rPr>
      </w:pPr>
      <w:r>
        <w:rPr>
          <w:rFonts w:hint="eastAsia"/>
          <w:color w:val="000000"/>
          <w:sz w:val="24"/>
        </w:rPr>
        <w:t/>
      </w:r>
      <w:proofErr w:type="spellStart"/>
      <w:r>
        <w:rPr>
          <w:rFonts w:hint="eastAsia"/>
          <w:color w:val="000000"/>
          <w:sz w:val="24"/>
        </w:rPr>
        <w:t/>
      </w:r>
      <w:proofErr w:type="spellEnd"/>
      <w:r>
        <w:rPr>
          <w:rFonts w:hint="eastAsia"/>
          <w:color w:val="000000"/>
          <w:sz w:val="24"/>
        </w:rPr>
        <w:t/>
      </w:r>
      <w:r w:rsidR="00750D48" w:rsidRPr="00264E55">
        <w:rPr>
          <w:rFonts w:ascii="宋体" w:hAnsi="宋体"/>
          <w:color w:val="000000"/>
          <w:sz w:val="24"/>
          <w:szCs w:val="24"/>
        </w:rPr>
        <w:t/>
      </w:r>
      <w:proofErr w:type="gramStart"/>
      <w:r w:rsidR="00750D48" w:rsidRPr="00264E55">
        <w:rPr>
          <w:rFonts w:ascii="宋体" w:hAnsi="宋体"/>
          <w:color w:val="000000"/>
          <w:sz w:val="24"/>
          <w:szCs w:val="24"/>
        </w:rPr>
        <w:t/>
      </w:r>
      <w:proofErr w:type="gramEnd"/>
      <w:r w:rsidR="00750D48" w:rsidRPr="00264E55">
        <w:rPr>
          <w:rFonts w:ascii="宋体" w:hAnsi="宋体"/>
          <w:color w:val="000000"/>
          <w:sz w:val="24"/>
          <w:szCs w:val="24"/>
        </w:rPr>
        <w:t>5.11.2</w:t>
      </w:r>
      <w:r w:rsidR="00065E3C">
        <w:rPr>
          <w:rFonts w:ascii="宋体" w:hAnsi="宋体" w:hint="eastAsia"/>
          <w:color w:val="000000"/>
          <w:sz w:val="24"/>
          <w:szCs w:val="24"/>
        </w:rPr>
        <w:t xml:space="preserve"> </w:t>
      </w:r>
      <w:r w:rsidR="00750D48" w:rsidRPr="00264E55">
        <w:rPr>
          <w:rFonts w:ascii="宋体" w:hAnsi="宋体"/>
          <w:color w:val="000000"/>
          <w:sz w:val="24"/>
          <w:szCs w:val="24"/>
        </w:rPr>
        <w:t>本基金投资的前十名股票没有超出基金合同规定的备选股票库。</w:t>
      </w:r>
    </w:p>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 xml:space="preserve">5.11.3 </w:t>
      </w:r>
      <w:r w:rsidR="00B371D4">
        <w:rPr>
          <w:rFonts w:ascii="宋体" w:hAnsi="宋体" w:hint="eastAsia"/>
          <w:bCs/>
          <w:color w:val="000000"/>
          <w:kern w:val="0"/>
          <w:sz w:val="24"/>
          <w:szCs w:val="24"/>
        </w:rPr>
        <w:t>其他</w:t>
      </w:r>
      <w:bookmarkStart w:id="2" w:name="_GoBack"/>
      <w:bookmarkEnd w:id="2"/>
      <w:r w:rsidRPr="001C7E00">
        <w:rPr>
          <w:rFonts w:ascii="宋体" w:hAnsi="宋体" w:hint="eastAsia"/>
          <w:bCs/>
          <w:color w:val="000000"/>
          <w:kern w:val="0"/>
          <w:sz w:val="24"/>
          <w:szCs w:val="24"/>
        </w:rPr>
        <w:t>资产构成</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0" w:lastRow="0" w:noHBand="0" w:noVBand="0" w:val="00A0"/>
      </w:tblPr>
      <w:tblGrid>
        <w:gridCol w:w="1235"/>
        <w:gridCol w:w="2470"/>
        <w:gridCol w:w="4808"/>
      </w:tblGrid>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序号</w:t>
            </w:r>
          </w:p>
        </w:tc>
        <w:tc>
          <w:tcPr>
            <w:tcW w:type="dxa" w:w="2470"/>
            <w:vAlign w:val="center"/>
          </w:tcPr>
          <w:p w:rsidP="00B05049"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名称</w:t>
            </w:r>
          </w:p>
        </w:tc>
        <w:tc>
          <w:tcPr>
            <w:tcW w:type="dxa" w:w="4808"/>
            <w:vAlign w:val="center"/>
          </w:tcPr>
          <w:p w:rsidP="005F7917"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金额</w:t>
            </w:r>
            <w:r w:rsidR="005F7917" w:rsidRPr="00B227EA">
              <w:rPr>
                <w:color w:val="000000"/>
                <w:kern w:val="0"/>
                <w:sz w:val="24"/>
                <w:szCs w:val="24"/>
              </w:rPr>
              <w:t>（元）</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lastRenderedPageBreak/>
              <w:t>1</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存出保证金</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1,632,656.54</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2</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应收证券清算款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23,153,090.58</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3</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应收股利</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4</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应收利息</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98,152.81</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5</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应收申购款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2,118,491.90</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6</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其他应收款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7</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待摊费用</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8</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9</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合计</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27,002,391.83</w:t>
            </w:r>
          </w:p>
        </w:tc>
      </w:tr>
    </w:tbl>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5.11.4</w:t>
      </w:r>
      <w:r w:rsidRPr="001C7E00">
        <w:rPr>
          <w:rFonts w:ascii="宋体" w:hAnsi="宋体" w:hint="eastAsia"/>
          <w:bCs/>
          <w:color w:val="000000"/>
          <w:kern w:val="0"/>
          <w:sz w:val="24"/>
          <w:szCs w:val="24"/>
        </w:rPr>
        <w:t>报告期末持有的处于转股期的可转换债券明细</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808"/>
        <w:gridCol w:w="1729"/>
        <w:gridCol w:w="1658"/>
        <w:gridCol w:w="1697"/>
        <w:gridCol w:w="1621"/>
      </w:tblGrid>
      <w:tr w:rsidR="00750D48" w:rsidRPr="00264E55" w:rsidTr="00B05049">
        <w:tc>
          <w:tcPr>
            <w:tcW w:type="dxa" w:w="1808"/>
            <w:vAlign w:val="center"/>
          </w:tcPr>
          <w:p w:rsidP="00B05049" w:rsidR="00750D48" w:rsidRDefault="00750D48" w:rsidRPr="00B227EA">
            <w:pPr>
              <w:spacing w:before="29" w:line="360" w:lineRule="auto"/>
              <w:ind w:left="17"/>
              <w:jc w:val="center"/>
              <w:rPr>
                <w:color w:val="000000"/>
                <w:kern w:val="0"/>
                <w:sz w:val="24"/>
                <w:szCs w:val="24"/>
              </w:rPr>
            </w:pPr>
            <w:r w:rsidRPr="00B227EA">
              <w:rPr>
                <w:color w:val="000000"/>
                <w:kern w:val="0"/>
                <w:sz w:val="24"/>
                <w:szCs w:val="24"/>
              </w:rPr>
              <w:t>序号</w:t>
            </w:r>
          </w:p>
        </w:tc>
        <w:tc>
          <w:tcPr>
            <w:tcW w:type="dxa" w:w="1729"/>
            <w:vAlign w:val="center"/>
          </w:tcPr>
          <w:p w:rsidP="00B05049" w:rsidR="00750D48" w:rsidRDefault="00750D48" w:rsidRPr="00B227EA">
            <w:pPr>
              <w:spacing w:before="29" w:line="360" w:lineRule="auto"/>
              <w:ind w:left="17"/>
              <w:jc w:val="center"/>
              <w:rPr>
                <w:color w:val="000000"/>
                <w:kern w:val="0"/>
                <w:sz w:val="24"/>
                <w:szCs w:val="24"/>
              </w:rPr>
            </w:pPr>
            <w:r w:rsidRPr="00B227EA">
              <w:rPr>
                <w:color w:val="000000"/>
                <w:kern w:val="0"/>
                <w:sz w:val="24"/>
                <w:szCs w:val="24"/>
              </w:rPr>
              <w:t>债券代码</w:t>
            </w:r>
          </w:p>
        </w:tc>
        <w:tc>
          <w:tcPr>
            <w:tcW w:type="dxa" w:w="1658"/>
            <w:vAlign w:val="center"/>
          </w:tcPr>
          <w:p w:rsidP="00B05049" w:rsidR="00750D48" w:rsidRDefault="00750D48" w:rsidRPr="00B227EA">
            <w:pPr>
              <w:spacing w:before="29" w:line="360" w:lineRule="auto"/>
              <w:ind w:left="17"/>
              <w:jc w:val="center"/>
              <w:rPr>
                <w:color w:val="000000"/>
                <w:kern w:val="0"/>
                <w:sz w:val="24"/>
                <w:szCs w:val="24"/>
              </w:rPr>
            </w:pPr>
            <w:r w:rsidRPr="00B227EA">
              <w:rPr>
                <w:color w:val="000000"/>
                <w:kern w:val="0"/>
                <w:sz w:val="24"/>
                <w:szCs w:val="24"/>
              </w:rPr>
              <w:t>债券名称</w:t>
            </w:r>
          </w:p>
        </w:tc>
        <w:tc>
          <w:tcPr>
            <w:tcW w:type="dxa" w:w="1697"/>
            <w:vAlign w:val="center"/>
          </w:tcPr>
          <w:p w:rsidP="005F7917" w:rsidR="00750D48" w:rsidRDefault="00750D48" w:rsidRPr="00B227EA">
            <w:pPr>
              <w:spacing w:before="29" w:line="360" w:lineRule="auto"/>
              <w:ind w:left="17"/>
              <w:jc w:val="center"/>
              <w:rPr>
                <w:color w:val="000000"/>
                <w:kern w:val="0"/>
                <w:sz w:val="24"/>
                <w:szCs w:val="24"/>
              </w:rPr>
            </w:pPr>
            <w:r w:rsidRPr="00B227EA">
              <w:rPr>
                <w:color w:val="000000"/>
                <w:kern w:val="0"/>
                <w:sz w:val="24"/>
                <w:szCs w:val="24"/>
              </w:rPr>
              <w:t>公允价值</w:t>
            </w:r>
            <w:r w:rsidR="005F7917" w:rsidRPr="00B227EA">
              <w:rPr>
                <w:color w:val="000000"/>
                <w:kern w:val="0"/>
                <w:sz w:val="24"/>
                <w:szCs w:val="24"/>
              </w:rPr>
              <w:t>（元）</w:t>
            </w:r>
          </w:p>
        </w:tc>
        <w:tc>
          <w:tcPr>
            <w:tcW w:type="dxa" w:w="1621"/>
            <w:vAlign w:val="center"/>
          </w:tcPr>
          <w:p w:rsidP="005F7917" w:rsidR="00750D48" w:rsidRDefault="00750D48" w:rsidRPr="00B227EA">
            <w:pPr>
              <w:spacing w:before="29" w:line="360" w:lineRule="auto"/>
              <w:ind w:left="17"/>
              <w:jc w:val="center"/>
              <w:rPr>
                <w:color w:val="000000"/>
                <w:kern w:val="0"/>
                <w:sz w:val="24"/>
                <w:szCs w:val="24"/>
              </w:rPr>
            </w:pPr>
            <w:r w:rsidRPr="00B227EA">
              <w:rPr>
                <w:color w:val="000000"/>
                <w:kern w:val="0"/>
                <w:sz w:val="24"/>
                <w:szCs w:val="24"/>
              </w:rPr>
              <w:t>占基金资产净值比例</w:t>
            </w:r>
            <w:r w:rsidR="005F7917" w:rsidRPr="00B227EA">
              <w:rPr>
                <w:color w:val="000000"/>
                <w:kern w:val="0"/>
                <w:sz w:val="24"/>
                <w:szCs w:val="24"/>
              </w:rPr>
              <w:t>（</w:t>
            </w:r>
            <w:r w:rsidR="005F7917" w:rsidRPr="00B227EA">
              <w:rPr>
                <w:color w:val="000000"/>
                <w:kern w:val="0"/>
                <w:sz w:val="24"/>
                <w:szCs w:val="24"/>
              </w:rPr>
              <w:t>%</w:t>
            </w:r>
            <w:r w:rsidR="005F7917" w:rsidRPr="00B227EA">
              <w:rPr>
                <w:color w:val="000000"/>
                <w:kern w:val="0"/>
                <w:sz w:val="24"/>
                <w:szCs w:val="24"/>
              </w:rPr>
              <w:t>）</w:t>
            </w:r>
          </w:p>
        </w:tc>
      </w:tr>
      <w:tr>
        <w:tc>
          <w:tcPr>
            <w:vAlign w:val="center"/>
          </w:tcPr>
          <w:p>
            <w:pPr>
              <w:jc w:val="center"/>
            </w:pPr>
            <w:r>
              <w:rPr>
                <w:color w:val="000000"/>
                <w:kern w:val="0"/>
                <w:sz w:val="24"/>
                <w:szCs w:val="24"/>
              </w:rPr>
              <w:t>1</w:t>
            </w:r>
          </w:p>
        </w:tc>
        <w:tc>
          <w:tcPr>
            <w:vAlign w:val="center"/>
          </w:tcPr>
          <w:p>
            <w:pPr>
              <w:jc w:val="center"/>
            </w:pPr>
            <w:r>
              <w:rPr>
                <w:color w:val="000000"/>
                <w:kern w:val="0"/>
                <w:sz w:val="24"/>
                <w:szCs w:val="24"/>
              </w:rPr>
              <w:t>128083</w:t>
            </w:r>
          </w:p>
        </w:tc>
        <w:tc>
          <w:tcPr>
            <w:vAlign w:val="center"/>
          </w:tcPr>
          <w:p>
            <w:pPr>
              <w:jc w:val="center"/>
            </w:pPr>
            <w:r>
              <w:rPr>
                <w:color w:val="000000"/>
                <w:kern w:val="0"/>
                <w:sz w:val="24"/>
                <w:szCs w:val="24"/>
              </w:rPr>
              <w:t>新北转债</w:t>
            </w:r>
          </w:p>
        </w:tc>
        <w:tc>
          <w:tcPr>
            <w:vAlign w:val="center"/>
          </w:tcPr>
          <w:p>
            <w:pPr>
              <w:jc w:val="right"/>
            </w:pPr>
            <w:r>
              <w:rPr>
                <w:color w:val="000000"/>
                <w:kern w:val="0"/>
                <w:sz w:val="24"/>
                <w:szCs w:val="24"/>
              </w:rPr>
              <w:t>3,017.28</w:t>
            </w:r>
          </w:p>
        </w:tc>
        <w:tc>
          <w:tcPr>
            <w:vAlign w:val="center"/>
          </w:tcPr>
          <w:p>
            <w:pPr>
              <w:jc w:val="right"/>
            </w:pPr>
            <w:r>
              <w:rPr>
                <w:color w:val="000000"/>
                <w:kern w:val="0"/>
                <w:sz w:val="24"/>
                <w:szCs w:val="24"/>
              </w:rPr>
              <w:t>0.00</w:t>
            </w:r>
          </w:p>
        </w:tc>
      </w:tr>
    </w:tbl>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5.11.5</w:t>
      </w:r>
      <w:r w:rsidRPr="001C7E00">
        <w:rPr>
          <w:rFonts w:ascii="宋体" w:hAnsi="宋体" w:hint="eastAsia"/>
          <w:bCs/>
          <w:color w:val="000000"/>
          <w:kern w:val="0"/>
          <w:sz w:val="24"/>
          <w:szCs w:val="24"/>
        </w:rPr>
        <w:t>报告期末前十名股票中存在流通受限情况的说明</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本基金本报告期末前十名股票中不存在流通受限情况。</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6  </w:t>
      </w:r>
      <w:r w:rsidRPr="00264E55">
        <w:rPr>
          <w:rFonts w:ascii="宋体" w:hAnsi="宋体" w:hint="eastAsia"/>
          <w:color w:val="000000"/>
          <w:kern w:val="0"/>
          <w:sz w:val="24"/>
          <w:szCs w:val="24"/>
        </w:rPr>
        <w:t>开放式基金份额变动</w:t>
      </w:r>
    </w:p>
    <w:p w:rsidP="004061AC" w:rsidR="00750D48" w:rsidRDefault="00750D48" w:rsidRPr="00264E55">
      <w:pPr>
        <w:autoSpaceDE w:val="0"/>
        <w:autoSpaceDN w:val="0"/>
        <w:adjustRightInd w:val="0"/>
        <w:spacing w:before="29" w:line="360" w:lineRule="auto"/>
        <w:ind w:left="15"/>
        <w:jc w:val="right"/>
        <w:rPr>
          <w:rFonts w:ascii="宋体"/>
          <w:color w:val="000000"/>
          <w:kern w:val="0"/>
          <w:sz w:val="24"/>
          <w:szCs w:val="24"/>
        </w:rPr>
      </w:pPr>
      <w:r w:rsidRPr="00264E55">
        <w:rPr>
          <w:rFonts w:ascii="宋体" w:cs="宋体" w:hAnsi="宋体" w:hint="eastAsia"/>
          <w:color w:val="000000"/>
          <w:kern w:val="0"/>
          <w:sz w:val="24"/>
          <w:szCs w:val="24"/>
        </w:rPr>
        <w:t>单位：份</w:t>
      </w:r>
    </w:p>
    <w:tbl>
      <w:tblPr>
        <w:tblW w:type="auto" w:w="0"/>
        <w:tblInd w:type="dxa" w:w="-106"/>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4609"/>
        <w:gridCol w:w="4025"/>
      </w:tblGrid>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报告期期初基金份额总额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7,328,540,063.52</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基金总申购份额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55,382,296.73</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减：</w:t>
            </w: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基金总赎回份额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2,046,657,180.99</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基金拆分变动份额</w:t>
            </w:r>
            <w:r w:rsidR="00921BFA" w:rsidRPr="00921BFA">
              <w:rPr>
                <w:rFonts w:hint="eastAsia"/>
                <w:color w:val="000000"/>
                <w:kern w:val="0"/>
                <w:sz w:val="24"/>
                <w:szCs w:val="24"/>
              </w:rPr>
              <w:t>（份额减少以“</w:t>
            </w:r>
            <w:r w:rsidR="00921BFA" w:rsidRPr="00921BFA">
              <w:rPr>
                <w:rFonts w:hint="eastAsia"/>
                <w:color w:val="000000"/>
                <w:kern w:val="0"/>
                <w:sz w:val="24"/>
                <w:szCs w:val="24"/>
              </w:rPr>
              <w:t>-</w:t>
            </w:r>
            <w:r w:rsidR="00921BFA" w:rsidRPr="00921BFA">
              <w:rPr>
                <w:rFonts w:hint="eastAsia"/>
                <w:color w:val="000000"/>
                <w:kern w:val="0"/>
                <w:sz w:val="24"/>
                <w:szCs w:val="24"/>
              </w:rPr>
              <w:t>”填列）</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报告期期末基金份额总额</w:t>
            </w:r>
          </w:p>
        </w:tc>
        <w:tc>
          <w:tcPr>
            <w:tcW w:type="dxa" w:w="4025"/>
            <w:vAlign w:val="center"/>
          </w:tcPr>
          <w:p w:rsidP="000A2B53"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5,337,265,179.26</w:t>
            </w:r>
          </w:p>
        </w:tc>
      </w:tr>
    </w:tbl>
    <w:p w:rsidP="004D28A3" w:rsidR="00750D48" w:rsidRDefault="00750D48">
      <w:pPr>
        <w:pStyle w:val="1"/>
        <w:tabs>
          <w:tab w:pos="4156" w:val="center"/>
          <w:tab w:pos="8312" w:val="right"/>
        </w:tabs>
        <w:spacing w:after="312" w:afterLines="100" w:before="312" w:beforeLines="100" w:line="360" w:lineRule="auto"/>
        <w:jc w:val="center"/>
        <w:rPr>
          <w:rFonts w:ascii="方正仿宋简体"/>
          <w:sz w:val="24"/>
          <w:szCs w:val="24"/>
        </w:rPr>
      </w:pPr>
      <w:r>
        <w:rPr>
          <w:rFonts w:ascii="宋体" w:cs="Arial" w:hAnsi="宋体" w:hint="eastAsia"/>
          <w:color w:val="000000"/>
          <w:kern w:val="0"/>
          <w:sz w:val="24"/>
          <w:szCs w:val="24"/>
        </w:rPr>
        <w:lastRenderedPageBreak/>
        <w:t>§</w:t>
      </w:r>
      <w:r>
        <w:rPr>
          <w:rFonts w:ascii="宋体" w:cs="Arial"/>
          <w:color w:val="000000"/>
          <w:kern w:val="0"/>
          <w:sz w:val="24"/>
          <w:szCs w:val="24"/>
        </w:rPr>
        <w:t/>
      </w:r>
      <w:r>
        <w:rPr>
          <w:rFonts w:ascii="宋体" w:cs="Arial" w:hAnsi="宋体"/>
          <w:color w:val="000000"/>
          <w:kern w:val="0"/>
          <w:sz w:val="24"/>
          <w:szCs w:val="24"/>
        </w:rPr>
        <w:t xml:space="preserve">7  </w:t>
      </w:r>
      <w:r>
        <w:rPr>
          <w:rFonts w:ascii="方正仿宋简体" w:hint="eastAsia"/>
          <w:sz w:val="24"/>
          <w:szCs w:val="24"/>
        </w:rPr>
        <w:t>基金管理人运用固有资金投资本基金情况</w:t>
      </w:r>
    </w:p>
    <w:p w:rsidP="00EB374A" w:rsidR="00750D48" w:rsidRDefault="00750D48">
      <w:pPr>
        <w:spacing w:line="360" w:lineRule="auto"/>
        <w:jc w:val="left"/>
        <w:rPr>
          <w:sz w:val="24"/>
          <w:szCs w:val="24"/>
        </w:rPr>
      </w:pPr>
      <w:r>
        <w:rPr>
          <w:b/>
          <w:sz w:val="24"/>
        </w:rPr>
        <w:t/>
      </w:r>
      <w:proofErr w:type="spellStart"/>
      <w:r>
        <w:rPr>
          <w:b/>
          <w:sz w:val="24"/>
        </w:rPr>
        <w:t/>
      </w:r>
      <w:proofErr w:type="spellEnd"/>
      <w:r>
        <w:rPr>
          <w:b/>
          <w:sz w:val="24"/>
        </w:rPr>
        <w:t xml:space="preserve">7.1 </w:t>
      </w:r>
      <w:r>
        <w:rPr>
          <w:rFonts w:hint="eastAsia"/>
          <w:b/>
          <w:sz w:val="24"/>
        </w:rPr>
        <w:t>基金管理人持有本基金份额变动情况</w:t>
      </w:r>
    </w:p>
    <w:p w:rsidP="00232B03" w:rsidR="00750D48" w:rsidRDefault="00AC11B0" w:rsidRPr="00232B03">
      <w:pPr>
        <w:spacing w:line="360" w:lineRule="auto"/>
        <w:ind w:firstLine="480" w:firstLineChars="200"/>
        <w:rPr>
          <w:color w:val="000000"/>
          <w:sz w:val="24"/>
          <w:szCs w:val="24"/>
        </w:rPr>
      </w:pPr>
      <w:r w:rsidRPr="00403A06">
        <w:rPr>
          <w:color w:val="000000"/>
          <w:sz w:val="24"/>
          <w:szCs w:val="24"/>
        </w:rPr>
        <w:t/>
      </w:r>
      <w:proofErr w:type="spellStart"/>
      <w:r w:rsidRPr="00403A06">
        <w:rPr>
          <w:color w:val="000000"/>
          <w:sz w:val="24"/>
          <w:szCs w:val="24"/>
        </w:rPr>
        <w:t/>
      </w:r>
      <w:proofErr w:type="spellEnd"/>
      <w:r w:rsidRPr="00403A06">
        <w:rPr>
          <w:color w:val="000000"/>
          <w:sz w:val="24"/>
          <w:szCs w:val="24"/>
        </w:rPr>
        <w:t>本报告期内基金管理人未持有本基金份额。</w:t>
      </w:r>
    </w:p>
    <w:p w:rsidP="00EB374A" w:rsidR="00750D48" w:rsidRDefault="00750D48">
      <w:pPr>
        <w:spacing w:line="360" w:lineRule="auto"/>
        <w:jc w:val="left"/>
        <w:rPr>
          <w:sz w:val="24"/>
        </w:rPr>
      </w:pPr>
      <w:r>
        <w:rPr>
          <w:b/>
          <w:sz w:val="24"/>
        </w:rPr>
        <w:t/>
      </w:r>
      <w:proofErr w:type="spellStart"/>
      <w:r>
        <w:rPr>
          <w:b/>
          <w:sz w:val="24"/>
        </w:rPr>
        <w:t/>
      </w:r>
      <w:proofErr w:type="spellEnd"/>
      <w:r>
        <w:rPr>
          <w:b/>
          <w:sz w:val="24"/>
        </w:rPr>
        <w:t xml:space="preserve">7.2 </w:t>
      </w:r>
      <w:r>
        <w:rPr>
          <w:rFonts w:hint="eastAsia"/>
          <w:b/>
          <w:sz w:val="24"/>
        </w:rPr>
        <w:t>基金管理人运用固有资金投资本基金交易明细</w:t>
      </w:r>
    </w:p>
    <w:p w:rsidP="006C56AA"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本报告期内基金管理人未运用固有资金申购、赎回、买卖本基金份额。</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color w:val="000000"/>
          <w:kern w:val="0"/>
          <w:sz w:val="24"/>
          <w:szCs w:val="24"/>
        </w:rPr>
        <w:t/>
      </w:r>
      <w:r w:rsidRPr="00264E55">
        <w:rPr>
          <w:rFonts w:ascii="宋体" w:hAnsi="宋体"/>
          <w:color w:val="000000"/>
          <w:kern w:val="0"/>
          <w:sz w:val="24"/>
          <w:szCs w:val="24"/>
        </w:rPr>
        <w:t xml:space="preserve">8  </w:t>
      </w:r>
      <w:r w:rsidRPr="00264E55">
        <w:rPr>
          <w:rFonts w:ascii="宋体" w:hAnsi="宋体" w:hint="eastAsia"/>
          <w:color w:val="000000"/>
          <w:kern w:val="0"/>
          <w:sz w:val="24"/>
          <w:szCs w:val="24"/>
        </w:rPr>
        <w:t>备查文件目录</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8.1 </w:t>
      </w:r>
      <w:r w:rsidRPr="00264E55">
        <w:rPr>
          <w:rFonts w:ascii="宋体" w:hAnsi="宋体" w:hint="eastAsia"/>
          <w:b/>
          <w:bCs/>
          <w:color w:val="000000"/>
          <w:kern w:val="0"/>
          <w:sz w:val="24"/>
          <w:szCs w:val="24"/>
        </w:rPr>
        <w:t>备查文件目录</w:t>
      </w:r>
    </w:p>
    <w:p>
      <w:pPr>
        <w:spacing w:line="360" w:lineRule="auto"/>
        <w:ind w:firstLine="480" w:firstLineChars="200"/>
        <w:rPr>
          <w:color w:val="000000"/>
          <w:sz w:val="24"/>
          <w:szCs w:val="24"/>
        </w:rPr>
      </w:pPr>
      <w:r>
        <w:rPr>
          <w:color w:val="000000"/>
          <w:sz w:val="24"/>
          <w:szCs w:val="24"/>
        </w:rPr>
        <w:t>1.中国证监会准予易方达新丝路灵活配置混合型证券投资基金注册的文件；</w:t>
      </w:r>
    </w:p>
    <w:p>
      <w:pPr>
        <w:spacing w:line="360" w:lineRule="auto"/>
        <w:ind w:firstLine="480" w:firstLineChars="200"/>
        <w:rPr>
          <w:color w:val="000000"/>
          <w:sz w:val="24"/>
          <w:szCs w:val="24"/>
        </w:rPr>
      </w:pPr>
      <w:r>
        <w:rPr>
          <w:color w:val="000000"/>
          <w:sz w:val="24"/>
          <w:szCs w:val="24"/>
        </w:rPr>
        <w:t>2.《易方达新丝路灵活配置混合型证券投资基金基金合同》；</w:t>
      </w:r>
    </w:p>
    <w:p>
      <w:pPr>
        <w:spacing w:line="360" w:lineRule="auto"/>
        <w:ind w:firstLine="480" w:firstLineChars="200"/>
        <w:rPr>
          <w:color w:val="000000"/>
          <w:sz w:val="24"/>
          <w:szCs w:val="24"/>
        </w:rPr>
      </w:pPr>
      <w:r>
        <w:rPr>
          <w:color w:val="000000"/>
          <w:sz w:val="24"/>
          <w:szCs w:val="24"/>
        </w:rPr>
        <w:t>3.《易方达新丝路灵活配置混合型证券投资基金托管协议》；</w:t>
      </w:r>
    </w:p>
    <w:p>
      <w:pPr>
        <w:spacing w:line="360" w:lineRule="auto"/>
        <w:ind w:firstLine="480" w:firstLineChars="200"/>
        <w:rPr>
          <w:color w:val="000000"/>
          <w:sz w:val="24"/>
          <w:szCs w:val="24"/>
        </w:rPr>
      </w:pPr>
      <w:r>
        <w:rPr>
          <w:color w:val="000000"/>
          <w:sz w:val="24"/>
          <w:szCs w:val="24"/>
        </w:rPr>
        <w:t>4.《易方达基金管理有限公司开放式基金业务规则》；</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5.基金管理人业务资格批件、营业执照。</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8.2 </w:t>
      </w:r>
      <w:r w:rsidRPr="00264E55">
        <w:rPr>
          <w:rFonts w:ascii="宋体" w:hAnsi="宋体" w:hint="eastAsia"/>
          <w:b/>
          <w:bCs/>
          <w:color w:val="000000"/>
          <w:kern w:val="0"/>
          <w:sz w:val="24"/>
          <w:szCs w:val="24"/>
        </w:rPr>
        <w:t>存放地点</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广州市天河区珠江新城珠江东路30号广州银行大厦40-43楼。</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8.3 </w:t>
      </w:r>
      <w:r w:rsidRPr="00264E55">
        <w:rPr>
          <w:rFonts w:ascii="宋体" w:hAnsi="宋体" w:hint="eastAsia"/>
          <w:b/>
          <w:bCs/>
          <w:color w:val="000000"/>
          <w:kern w:val="0"/>
          <w:sz w:val="24"/>
          <w:szCs w:val="24"/>
        </w:rPr>
        <w:t>查阅方式</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投资者可在营业时间免费查阅，也可按工本费购买复印件。</w:t>
      </w: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C71497" w:rsidR="00750D48" w:rsidRDefault="00750D48" w:rsidRPr="00264E55">
      <w:pPr>
        <w:spacing w:line="360" w:lineRule="auto"/>
        <w:jc w:val="right"/>
        <w:rPr>
          <w:rFonts w:ascii="宋体" w:hAnsi="宋体"/>
          <w:b/>
          <w:bCs/>
          <w:sz w:val="24"/>
          <w:szCs w:val="24"/>
        </w:rPr>
      </w:pPr>
      <w:r w:rsidRPr="00264E55">
        <w:rPr>
          <w:rFonts w:ascii="宋体"/>
          <w:b/>
          <w:bCs/>
          <w:sz w:val="24"/>
          <w:szCs w:val="24"/>
        </w:rPr>
        <w:t/>
      </w:r>
      <w:proofErr w:type="spellStart"/>
      <w:r w:rsidRPr="00264E55">
        <w:rPr>
          <w:rFonts w:ascii="宋体" w:hAnsi="宋体"/>
          <w:b/>
          <w:bCs/>
          <w:sz w:val="24"/>
          <w:szCs w:val="24"/>
        </w:rPr>
        <w:t/>
      </w:r>
      <w:proofErr w:type="spellEnd"/>
      <w:r w:rsidRPr="00264E55">
        <w:rPr>
          <w:rFonts w:ascii="宋体" w:hAnsi="宋体"/>
          <w:b/>
          <w:bCs/>
          <w:sz w:val="24"/>
          <w:szCs w:val="24"/>
        </w:rPr>
        <w:t>易方达基金管理有限公司</w:t>
      </w:r>
    </w:p>
    <w:p w:rsidP="00191817" w:rsidR="00750D48" w:rsidRDefault="00750D48" w:rsidRPr="00191817">
      <w:pPr>
        <w:spacing w:line="360" w:lineRule="auto"/>
        <w:jc w:val="right"/>
        <w:rPr>
          <w:rFonts w:ascii="宋体" w:hAnsi="宋体"/>
          <w:b/>
          <w:bCs/>
          <w:sz w:val="24"/>
          <w:szCs w:val="24"/>
        </w:rPr>
      </w:pPr>
      <w:r w:rsidRPr="00264E55">
        <w:rPr>
          <w:rFonts w:ascii="宋体" w:hAnsi="宋体"/>
          <w:b/>
          <w:bCs/>
          <w:sz w:val="24"/>
          <w:szCs w:val="24"/>
        </w:rPr>
        <w:t/>
      </w:r>
      <w:proofErr w:type="spellStart"/>
      <w:r w:rsidRPr="00264E55">
        <w:rPr>
          <w:rFonts w:ascii="宋体" w:hAnsi="宋体"/>
          <w:b/>
          <w:bCs/>
          <w:sz w:val="24"/>
          <w:szCs w:val="24"/>
        </w:rPr>
        <w:t/>
      </w:r>
      <w:proofErr w:type="spellEnd"/>
      <w:r w:rsidRPr="00264E55">
        <w:rPr>
          <w:rFonts w:ascii="宋体" w:hAnsi="宋体"/>
          <w:b/>
          <w:bCs/>
          <w:sz w:val="24"/>
          <w:szCs w:val="24"/>
        </w:rPr>
        <w:t>二〇二〇年七月二十一日</w:t>
      </w:r>
    </w:p>
    <w:sectPr w:rsidR="00750D48" w:rsidRPr="00191817" w:rsidSect="00304A12">
      <w:footerReference r:id="rId12" w:type="default"/>
      <w:pgSz w:code="9" w:h="16838" w:w="11906"/>
      <w:pgMar w:bottom="1440" w:footer="992" w:gutter="0" w:header="851" w:left="1797" w:right="1797" w:top="1440"/>
      <w:cols w:space="425"/>
      <w:docGrid w:linePitch="312" w:type="line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5A26" w:rsidRDefault="00BE5A26" w:rsidP="00876D65">
      <w:r>
        <w:separator/>
      </w:r>
    </w:p>
  </w:endnote>
  <w:endnote w:type="continuationSeparator" w:id="0">
    <w:p w:rsidR="00BE5A26" w:rsidRDefault="00BE5A26" w:rsidP="00876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FangSong">
    <w:altName w:val="Arial"/>
    <w:charset w:val="00"/>
    <w:family w:val="auto"/>
    <w:pitch w:val="default"/>
    <w:sig w:usb0="00000003" w:usb1="00000000" w:usb2="00000000" w:usb3="00000000" w:csb0="00000001" w:csb1="00000000"/>
  </w:font>
  <w:font w:name="方正仿宋简体">
    <w:altName w:val="宋体"/>
    <w:charset w:val="86"/>
    <w:family w:val="auto"/>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EF56B5" w:rsidR="003328D9" w:rsidRDefault="003328D9">
    <w:pPr>
      <w:pStyle w:val="a6"/>
      <w:framePr w:hAnchor="margin" w:vAnchor="text" w:wrap="auto"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B371D4">
      <w:rPr>
        <w:rStyle w:val="a7"/>
        <w:noProof/>
      </w:rPr>
      <w:t>1</w:t>
    </w:r>
    <w:r>
      <w:rPr>
        <w:rStyle w:val="a7"/>
      </w:rPr>
      <w:fldChar w:fldCharType="end"/>
    </w:r>
    <w:proofErr w:type="gramStart"/>
    <w:r>
      <w:rPr>
        <w:rStyle w:val="a7"/>
        <w:rFonts w:hint="eastAsia"/>
      </w:rPr>
      <w:t>页共</w:t>
    </w:r>
    <w:proofErr w:type="gramEnd"/>
    <w:r w:rsidR="00764C38">
      <w:fldChar w:fldCharType="begin"/>
    </w:r>
    <w:r w:rsidR="00764C38">
      <w:instrText xml:space="preserve"> NUMPAGES  \* Arabic  \* MERGEFORMAT </w:instrText>
    </w:r>
    <w:r w:rsidR="00764C38">
      <w:fldChar w:fldCharType="separate"/>
    </w:r>
    <w:r w:rsidR="00B371D4" w:rsidRPr="00B371D4">
      <w:rPr>
        <w:rStyle w:val="a7"/>
        <w:noProof/>
      </w:rPr>
      <w:t>27</w:t>
    </w:r>
    <w:r w:rsidR="00764C38">
      <w:rPr>
        <w:rStyle w:val="a7"/>
        <w:noProof/>
      </w:rPr>
      <w:fldChar w:fldCharType="end"/>
    </w:r>
    <w:r>
      <w:rPr>
        <w:rStyle w:val="a7"/>
        <w:rFonts w:hint="eastAsia"/>
      </w:rPr>
      <w:t>页</w:t>
    </w:r>
  </w:p>
  <w:p w:rsidP="00EF56B5" w:rsidR="003328D9" w:rsidRDefault="003328D9" w:rsidRPr="00EF56B5">
    <w:pPr>
      <w:pStyle w:val="a6"/>
    </w:pPr>
  </w:p>
</w:ftr>
</file>

<file path=word/footer2.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3328D9" w:rsidRDefault="003328D9">
    <w:pPr>
      <w:pStyle w:val="a6"/>
      <w:framePr w:hAnchor="margin" w:vAnchor="text" w:wrap="auto"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B371D4">
      <w:rPr>
        <w:rStyle w:val="a7"/>
        <w:noProof/>
      </w:rPr>
      <w:t>18</w:t>
    </w:r>
    <w:r>
      <w:rPr>
        <w:rStyle w:val="a7"/>
      </w:rPr>
      <w:fldChar w:fldCharType="end"/>
    </w:r>
    <w:proofErr w:type="gramStart"/>
    <w:r>
      <w:rPr>
        <w:rStyle w:val="a7"/>
        <w:rFonts w:hint="eastAsia"/>
      </w:rPr>
      <w:t>页共</w:t>
    </w:r>
    <w:proofErr w:type="gramEnd"/>
    <w:fldSimple w:instr=" NUMPAGES  \* Arabic  \* MERGEFORMAT ">
      <w:r w:rsidR="00B371D4" w:rsidRPr="00B371D4">
        <w:rPr>
          <w:rStyle w:val="a7"/>
          <w:noProof/>
        </w:rPr>
        <w:t>27</w:t>
      </w:r>
    </w:fldSimple>
    <w:r>
      <w:rPr>
        <w:rStyle w:val="a7"/>
        <w:rFonts w:hint="eastAsia"/>
      </w:rPr>
      <w:t>页</w:t>
    </w:r>
  </w:p>
  <w:p w:rsidR="003328D9" w:rsidRDefault="003328D9">
    <w:pPr>
      <w:pStyle w:val="a6"/>
    </w:pPr>
  </w:p>
</w:ftr>
</file>

<file path=word/footnotes.xml><?xml version="1.0" encoding="utf-8"?>
<w:footnotes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footnote w:id="-1" w:type="separator">
    <w:p w:rsidP="00876D65" w:rsidR="00BE5A26" w:rsidRDefault="00BE5A26">
      <w:r>
        <w:separator/>
      </w:r>
    </w:p>
  </w:footnote>
  <w:footnote w:id="0" w:type="continuationSeparator">
    <w:p w:rsidP="00876D65" w:rsidR="00BE5A26" w:rsidRDefault="00BE5A26">
      <w:r>
        <w:continuationSeparator/>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090A26" w:rsidR="003328D9" w:rsidRDefault="003328D9" w:rsidRPr="00093704">
    <w:pPr>
      <w:pStyle w:val="a9"/>
      <w:pBdr>
        <w:bottom w:color="auto" w:space="0" w:sz="6" w:val="single"/>
      </w:pBdr>
      <w:jc w:val="right"/>
    </w:pPr>
    <w:r w:rsidRPr="00093704">
      <w:t/>
    </w:r>
    <w:proofErr w:type="spellStart"/>
    <w:proofErr w:type="gramStart"/>
    <w:r w:rsidRPr="00093704">
      <w:t/>
    </w:r>
    <w:proofErr w:type="spellEnd"/>
    <w:proofErr w:type="gramEnd"/>
    <w:r w:rsidRPr="00093704">
      <w:t>易方达新丝路灵活配置混合型证券投资基金</w:t>
    </w:r>
    <w:proofErr w:type="spellStart"/>
    <w:r w:rsidRPr="00093704">
      <w:t/>
    </w:r>
    <w:proofErr w:type="spellEnd"/>
    <w:r w:rsidRPr="00093704">
      <w:t>2020年第2季度报告</w:t>
    </w: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abstractNum w:abstractNumId="0">
    <w:nsid w:val="17055987"/>
    <w:multiLevelType w:val="hybridMultilevel"/>
    <w:tmpl w:val="6DACDB38"/>
    <w:lvl w:ilvl="0" w:tplc="307C87E8">
      <w:start w:val="2006"/>
      <w:numFmt w:val="bullet"/>
      <w:lvlText w:val="●"/>
      <w:lvlJc w:val="left"/>
      <w:pPr>
        <w:tabs>
          <w:tab w:pos="780" w:val="num"/>
        </w:tabs>
        <w:ind w:hanging="360" w:left="780"/>
      </w:pPr>
      <w:rPr>
        <w:rFonts w:ascii="Times New Roman" w:eastAsia="宋体" w:hAnsi="Times New Roman" w:hint="default"/>
      </w:rPr>
    </w:lvl>
    <w:lvl w:ilvl="1" w:tplc="04090003">
      <w:start w:val="1"/>
      <w:numFmt w:val="bullet"/>
      <w:lvlText w:val=""/>
      <w:lvlJc w:val="left"/>
      <w:pPr>
        <w:tabs>
          <w:tab w:pos="1260" w:val="num"/>
        </w:tabs>
        <w:ind w:hanging="420" w:left="1260"/>
      </w:pPr>
      <w:rPr>
        <w:rFonts w:ascii="Wingdings" w:hAnsi="Wingdings" w:hint="default"/>
      </w:rPr>
    </w:lvl>
    <w:lvl w:ilvl="2" w:tplc="04090005">
      <w:start w:val="1"/>
      <w:numFmt w:val="bullet"/>
      <w:lvlText w:val=""/>
      <w:lvlJc w:val="left"/>
      <w:pPr>
        <w:tabs>
          <w:tab w:pos="1680" w:val="num"/>
        </w:tabs>
        <w:ind w:hanging="420" w:left="1680"/>
      </w:pPr>
      <w:rPr>
        <w:rFonts w:ascii="Wingdings" w:hAnsi="Wingdings" w:hint="default"/>
      </w:rPr>
    </w:lvl>
    <w:lvl w:ilvl="3" w:tplc="04090001">
      <w:start w:val="1"/>
      <w:numFmt w:val="bullet"/>
      <w:lvlText w:val=""/>
      <w:lvlJc w:val="left"/>
      <w:pPr>
        <w:tabs>
          <w:tab w:pos="2100" w:val="num"/>
        </w:tabs>
        <w:ind w:hanging="420" w:left="2100"/>
      </w:pPr>
      <w:rPr>
        <w:rFonts w:ascii="Wingdings" w:hAnsi="Wingdings" w:hint="default"/>
      </w:rPr>
    </w:lvl>
    <w:lvl w:ilvl="4" w:tplc="04090003">
      <w:start w:val="1"/>
      <w:numFmt w:val="bullet"/>
      <w:lvlText w:val=""/>
      <w:lvlJc w:val="left"/>
      <w:pPr>
        <w:tabs>
          <w:tab w:pos="2520" w:val="num"/>
        </w:tabs>
        <w:ind w:hanging="420" w:left="2520"/>
      </w:pPr>
      <w:rPr>
        <w:rFonts w:ascii="Wingdings" w:hAnsi="Wingdings" w:hint="default"/>
      </w:rPr>
    </w:lvl>
    <w:lvl w:ilvl="5" w:tplc="04090005">
      <w:start w:val="1"/>
      <w:numFmt w:val="bullet"/>
      <w:lvlText w:val=""/>
      <w:lvlJc w:val="left"/>
      <w:pPr>
        <w:tabs>
          <w:tab w:pos="2940" w:val="num"/>
        </w:tabs>
        <w:ind w:hanging="420" w:left="2940"/>
      </w:pPr>
      <w:rPr>
        <w:rFonts w:ascii="Wingdings" w:hAnsi="Wingdings" w:hint="default"/>
      </w:rPr>
    </w:lvl>
    <w:lvl w:ilvl="6" w:tplc="04090001">
      <w:start w:val="1"/>
      <w:numFmt w:val="bullet"/>
      <w:lvlText w:val=""/>
      <w:lvlJc w:val="left"/>
      <w:pPr>
        <w:tabs>
          <w:tab w:pos="3360" w:val="num"/>
        </w:tabs>
        <w:ind w:hanging="420" w:left="3360"/>
      </w:pPr>
      <w:rPr>
        <w:rFonts w:ascii="Wingdings" w:hAnsi="Wingdings" w:hint="default"/>
      </w:rPr>
    </w:lvl>
    <w:lvl w:ilvl="7" w:tplc="04090003">
      <w:start w:val="1"/>
      <w:numFmt w:val="bullet"/>
      <w:lvlText w:val=""/>
      <w:lvlJc w:val="left"/>
      <w:pPr>
        <w:tabs>
          <w:tab w:pos="3780" w:val="num"/>
        </w:tabs>
        <w:ind w:hanging="420" w:left="3780"/>
      </w:pPr>
      <w:rPr>
        <w:rFonts w:ascii="Wingdings" w:hAnsi="Wingdings" w:hint="default"/>
      </w:rPr>
    </w:lvl>
    <w:lvl w:ilvl="8" w:tplc="04090005">
      <w:start w:val="1"/>
      <w:numFmt w:val="bullet"/>
      <w:lvlText w:val=""/>
      <w:lvlJc w:val="left"/>
      <w:pPr>
        <w:tabs>
          <w:tab w:pos="4200" w:val="num"/>
        </w:tabs>
        <w:ind w:hanging="420" w:left="4200"/>
      </w:pPr>
      <w:rPr>
        <w:rFonts w:ascii="Wingdings" w:hAnsi="Wingdings" w:hint="default"/>
      </w:rPr>
    </w:lvl>
  </w:abstractNum>
  <w:abstractNum w:abstractNumId="1">
    <w:nsid w:val="57E8240C"/>
    <w:multiLevelType w:val="hybridMultilevel"/>
    <w:tmpl w:val="300A7112"/>
    <w:lvl w:ilvl="0" w:tplc="3782FDB8">
      <w:start w:val="1"/>
      <w:numFmt w:val="decimal"/>
      <w:lvlText w:val="（%1）"/>
      <w:lvlJc w:val="left"/>
      <w:pPr>
        <w:tabs>
          <w:tab w:pos="1200" w:val="num"/>
        </w:tabs>
        <w:ind w:hanging="720" w:left="1200"/>
      </w:pPr>
      <w:rPr>
        <w:rFonts w:cs="Times New Roman" w:hint="eastAsia"/>
        <w:sz w:val="24"/>
        <w:szCs w:val="24"/>
      </w:rPr>
    </w:lvl>
    <w:lvl w:ilvl="1" w:tplc="04090019">
      <w:start w:val="1"/>
      <w:numFmt w:val="lowerLetter"/>
      <w:lvlText w:val="%2)"/>
      <w:lvlJc w:val="left"/>
      <w:pPr>
        <w:tabs>
          <w:tab w:pos="1320" w:val="num"/>
        </w:tabs>
        <w:ind w:hanging="420" w:left="1320"/>
      </w:pPr>
      <w:rPr>
        <w:rFonts w:cs="Times New Roman"/>
      </w:rPr>
    </w:lvl>
    <w:lvl w:ilvl="2" w:tplc="0409001B">
      <w:start w:val="1"/>
      <w:numFmt w:val="lowerRoman"/>
      <w:lvlText w:val="%3."/>
      <w:lvlJc w:val="right"/>
      <w:pPr>
        <w:tabs>
          <w:tab w:pos="1740" w:val="num"/>
        </w:tabs>
        <w:ind w:hanging="420" w:left="1740"/>
      </w:pPr>
      <w:rPr>
        <w:rFonts w:cs="Times New Roman"/>
      </w:rPr>
    </w:lvl>
    <w:lvl w:ilvl="3" w:tplc="0409000F">
      <w:start w:val="1"/>
      <w:numFmt w:val="decimal"/>
      <w:lvlText w:val="%4."/>
      <w:lvlJc w:val="left"/>
      <w:pPr>
        <w:tabs>
          <w:tab w:pos="2160" w:val="num"/>
        </w:tabs>
        <w:ind w:hanging="420" w:left="2160"/>
      </w:pPr>
      <w:rPr>
        <w:rFonts w:cs="Times New Roman"/>
      </w:rPr>
    </w:lvl>
    <w:lvl w:ilvl="4" w:tplc="04090019">
      <w:start w:val="1"/>
      <w:numFmt w:val="lowerLetter"/>
      <w:lvlText w:val="%5)"/>
      <w:lvlJc w:val="left"/>
      <w:pPr>
        <w:tabs>
          <w:tab w:pos="2580" w:val="num"/>
        </w:tabs>
        <w:ind w:hanging="420" w:left="2580"/>
      </w:pPr>
      <w:rPr>
        <w:rFonts w:cs="Times New Roman"/>
      </w:rPr>
    </w:lvl>
    <w:lvl w:ilvl="5" w:tplc="0409001B">
      <w:start w:val="1"/>
      <w:numFmt w:val="lowerRoman"/>
      <w:lvlText w:val="%6."/>
      <w:lvlJc w:val="right"/>
      <w:pPr>
        <w:tabs>
          <w:tab w:pos="3000" w:val="num"/>
        </w:tabs>
        <w:ind w:hanging="420" w:left="3000"/>
      </w:pPr>
      <w:rPr>
        <w:rFonts w:cs="Times New Roman"/>
      </w:rPr>
    </w:lvl>
    <w:lvl w:ilvl="6" w:tplc="0409000F">
      <w:start w:val="1"/>
      <w:numFmt w:val="decimal"/>
      <w:lvlText w:val="%7."/>
      <w:lvlJc w:val="left"/>
      <w:pPr>
        <w:tabs>
          <w:tab w:pos="3420" w:val="num"/>
        </w:tabs>
        <w:ind w:hanging="420" w:left="3420"/>
      </w:pPr>
      <w:rPr>
        <w:rFonts w:cs="Times New Roman"/>
      </w:rPr>
    </w:lvl>
    <w:lvl w:ilvl="7" w:tplc="04090019">
      <w:start w:val="1"/>
      <w:numFmt w:val="lowerLetter"/>
      <w:lvlText w:val="%8)"/>
      <w:lvlJc w:val="left"/>
      <w:pPr>
        <w:tabs>
          <w:tab w:pos="3840" w:val="num"/>
        </w:tabs>
        <w:ind w:hanging="420" w:left="3840"/>
      </w:pPr>
      <w:rPr>
        <w:rFonts w:cs="Times New Roman"/>
      </w:rPr>
    </w:lvl>
    <w:lvl w:ilvl="8" w:tplc="0409001B">
      <w:start w:val="1"/>
      <w:numFmt w:val="lowerRoman"/>
      <w:lvlText w:val="%9."/>
      <w:lvlJc w:val="right"/>
      <w:pPr>
        <w:tabs>
          <w:tab w:pos="4260" w:val="num"/>
        </w:tabs>
        <w:ind w:hanging="420" w:left="4260"/>
      </w:pPr>
      <w:rPr>
        <w:rFonts w:cs="Times New Roman"/>
      </w:rPr>
    </w:lvl>
  </w:abstractNum>
  <w:abstractNum w:abstractNumId="2">
    <w:nsid w:val="7EC34207"/>
    <w:multiLevelType w:val="hybridMultilevel"/>
    <w:tmpl w:val="58FC50DE"/>
    <w:lvl w:ilvl="0" w:tplc="788C0680">
      <w:start w:val="1"/>
      <w:numFmt w:val="japaneseCounting"/>
      <w:lvlText w:val="%1、"/>
      <w:lvlJc w:val="left"/>
      <w:pPr>
        <w:tabs>
          <w:tab w:pos="480" w:val="num"/>
        </w:tabs>
        <w:ind w:hanging="480" w:left="480"/>
      </w:pPr>
      <w:rPr>
        <w:rFonts w:cs="Times New Roman" w:eastAsia="宋体" w:hint="eastAsia"/>
        <w:color w:val="auto"/>
      </w:rPr>
    </w:lvl>
    <w:lvl w:ilvl="1" w:tplc="D5ACC954">
      <w:start w:val="1"/>
      <w:numFmt w:val="japaneseCounting"/>
      <w:lvlText w:val="(%2)"/>
      <w:lvlJc w:val="left"/>
      <w:pPr>
        <w:tabs>
          <w:tab w:pos="810" w:val="num"/>
        </w:tabs>
        <w:ind w:hanging="390" w:left="810"/>
      </w:pPr>
      <w:rPr>
        <w:rFonts w:cs="Times New Roman" w:hint="eastAsia"/>
      </w:rPr>
    </w:lvl>
    <w:lvl w:ilvl="2" w:tplc="E2F6B948">
      <w:start w:val="1"/>
      <w:numFmt w:val="decimal"/>
      <w:lvlText w:val="%3、"/>
      <w:lvlJc w:val="left"/>
      <w:pPr>
        <w:tabs>
          <w:tab w:pos="1200" w:val="num"/>
        </w:tabs>
        <w:ind w:hanging="360" w:left="1200"/>
      </w:pPr>
      <w:rPr>
        <w:rFonts w:cs="Times New Roman" w:hint="eastAsia"/>
      </w:rPr>
    </w:lvl>
    <w:lvl w:ilvl="3" w:tplc="0409000F">
      <w:start w:val="1"/>
      <w:numFmt w:val="decimal"/>
      <w:lvlText w:val="%4."/>
      <w:lvlJc w:val="left"/>
      <w:pPr>
        <w:tabs>
          <w:tab w:pos="1680" w:val="num"/>
        </w:tabs>
        <w:ind w:hanging="420" w:left="1680"/>
      </w:pPr>
      <w:rPr>
        <w:rFonts w:cs="Times New Roman"/>
      </w:rPr>
    </w:lvl>
    <w:lvl w:ilvl="4" w:tplc="04090019">
      <w:start w:val="1"/>
      <w:numFmt w:val="lowerLetter"/>
      <w:lvlText w:val="%5)"/>
      <w:lvlJc w:val="left"/>
      <w:pPr>
        <w:tabs>
          <w:tab w:pos="2100" w:val="num"/>
        </w:tabs>
        <w:ind w:hanging="420" w:left="2100"/>
      </w:pPr>
      <w:rPr>
        <w:rFonts w:cs="Times New Roman"/>
      </w:rPr>
    </w:lvl>
    <w:lvl w:ilvl="5" w:tplc="0409001B">
      <w:start w:val="1"/>
      <w:numFmt w:val="lowerRoman"/>
      <w:lvlText w:val="%6."/>
      <w:lvlJc w:val="right"/>
      <w:pPr>
        <w:tabs>
          <w:tab w:pos="2520" w:val="num"/>
        </w:tabs>
        <w:ind w:hanging="420" w:left="2520"/>
      </w:pPr>
      <w:rPr>
        <w:rFonts w:cs="Times New Roman"/>
      </w:rPr>
    </w:lvl>
    <w:lvl w:ilvl="6" w:tplc="0409000F">
      <w:start w:val="1"/>
      <w:numFmt w:val="decimal"/>
      <w:lvlText w:val="%7."/>
      <w:lvlJc w:val="left"/>
      <w:pPr>
        <w:tabs>
          <w:tab w:pos="2940" w:val="num"/>
        </w:tabs>
        <w:ind w:hanging="420" w:left="2940"/>
      </w:pPr>
      <w:rPr>
        <w:rFonts w:cs="Times New Roman"/>
      </w:rPr>
    </w:lvl>
    <w:lvl w:ilvl="7" w:tplc="04090019">
      <w:start w:val="1"/>
      <w:numFmt w:val="lowerLetter"/>
      <w:lvlText w:val="%8)"/>
      <w:lvlJc w:val="left"/>
      <w:pPr>
        <w:tabs>
          <w:tab w:pos="3360" w:val="num"/>
        </w:tabs>
        <w:ind w:hanging="420" w:left="3360"/>
      </w:pPr>
      <w:rPr>
        <w:rFonts w:cs="Times New Roman"/>
      </w:rPr>
    </w:lvl>
    <w:lvl w:ilvl="8" w:tplc="0409001B">
      <w:start w:val="1"/>
      <w:numFmt w:val="lowerRoman"/>
      <w:lvlText w:val="%9."/>
      <w:lvlJc w:val="right"/>
      <w:pPr>
        <w:tabs>
          <w:tab w:pos="3780" w:val="num"/>
        </w:tabs>
        <w:ind w:hanging="420" w:left="3780"/>
      </w:pPr>
      <w:rPr>
        <w:rFonts w:cs="Times New Roman"/>
      </w:rPr>
    </w:lvl>
  </w:abstractNum>
  <w:num w:numId="1">
    <w:abstractNumId w:val="2"/>
  </w:num>
  <w:num w:numId="2">
    <w:abstractNumId w:val="1"/>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mc:Ignorable="w14">
  <w:zoom w:percent="100"/>
  <w:bordersDoNotSurroundHeader/>
  <w:bordersDoNotSurroundFooter/>
  <w:proofState w:grammar="clean" w:spelling="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spidmax="2049" v:ext="edi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4061AC"/>
    <w:rsid w:val="00013E6E"/>
    <w:rsid w:val="00014099"/>
    <w:rsid w:val="000160C5"/>
    <w:rsid w:val="000210E7"/>
    <w:rsid w:val="000212F7"/>
    <w:rsid w:val="00031EBB"/>
    <w:rsid w:val="00033B8D"/>
    <w:rsid w:val="00043852"/>
    <w:rsid w:val="000450DD"/>
    <w:rsid w:val="000463DE"/>
    <w:rsid w:val="000553BD"/>
    <w:rsid w:val="00065E3C"/>
    <w:rsid w:val="0008313A"/>
    <w:rsid w:val="000875EA"/>
    <w:rsid w:val="000907D2"/>
    <w:rsid w:val="00090A26"/>
    <w:rsid w:val="00093704"/>
    <w:rsid w:val="00095F2A"/>
    <w:rsid w:val="000A2B53"/>
    <w:rsid w:val="000A438A"/>
    <w:rsid w:val="000B5257"/>
    <w:rsid w:val="000B624F"/>
    <w:rsid w:val="000B73C6"/>
    <w:rsid w:val="000C190B"/>
    <w:rsid w:val="000C1E17"/>
    <w:rsid w:val="000C493C"/>
    <w:rsid w:val="000C5216"/>
    <w:rsid w:val="000D0E6C"/>
    <w:rsid w:val="000D3ED4"/>
    <w:rsid w:val="000F2DE1"/>
    <w:rsid w:val="000F6CC8"/>
    <w:rsid w:val="00111261"/>
    <w:rsid w:val="00133843"/>
    <w:rsid w:val="00137452"/>
    <w:rsid w:val="00142CAF"/>
    <w:rsid w:val="00144F93"/>
    <w:rsid w:val="00147376"/>
    <w:rsid w:val="00150E7E"/>
    <w:rsid w:val="00154BE1"/>
    <w:rsid w:val="00154C17"/>
    <w:rsid w:val="00160EDC"/>
    <w:rsid w:val="0016180A"/>
    <w:rsid w:val="001675CD"/>
    <w:rsid w:val="00170435"/>
    <w:rsid w:val="00171EF0"/>
    <w:rsid w:val="001761D2"/>
    <w:rsid w:val="001830D7"/>
    <w:rsid w:val="00185A34"/>
    <w:rsid w:val="001878B0"/>
    <w:rsid w:val="0019049E"/>
    <w:rsid w:val="00191817"/>
    <w:rsid w:val="00191BDE"/>
    <w:rsid w:val="00196E6C"/>
    <w:rsid w:val="001A73E8"/>
    <w:rsid w:val="001B0A62"/>
    <w:rsid w:val="001B2F35"/>
    <w:rsid w:val="001B3C1C"/>
    <w:rsid w:val="001B6E7E"/>
    <w:rsid w:val="001C0993"/>
    <w:rsid w:val="001C79F2"/>
    <w:rsid w:val="001C7E00"/>
    <w:rsid w:val="001D0DB0"/>
    <w:rsid w:val="001D5B8F"/>
    <w:rsid w:val="001D63BB"/>
    <w:rsid w:val="001D6A4B"/>
    <w:rsid w:val="001D74DB"/>
    <w:rsid w:val="001E4630"/>
    <w:rsid w:val="001F0964"/>
    <w:rsid w:val="001F0EB2"/>
    <w:rsid w:val="001F30DA"/>
    <w:rsid w:val="001F5DC5"/>
    <w:rsid w:val="001F5F5D"/>
    <w:rsid w:val="00200FAB"/>
    <w:rsid w:val="00213821"/>
    <w:rsid w:val="00217B92"/>
    <w:rsid w:val="002279D3"/>
    <w:rsid w:val="00232B03"/>
    <w:rsid w:val="00240248"/>
    <w:rsid w:val="0024363B"/>
    <w:rsid w:val="00261111"/>
    <w:rsid w:val="00264E55"/>
    <w:rsid w:val="002661ED"/>
    <w:rsid w:val="00266337"/>
    <w:rsid w:val="00275745"/>
    <w:rsid w:val="0027688F"/>
    <w:rsid w:val="00276E44"/>
    <w:rsid w:val="00277FAE"/>
    <w:rsid w:val="00280C9F"/>
    <w:rsid w:val="00286BEF"/>
    <w:rsid w:val="00286FA2"/>
    <w:rsid w:val="002918E3"/>
    <w:rsid w:val="002973A9"/>
    <w:rsid w:val="002B1D1A"/>
    <w:rsid w:val="002C28F2"/>
    <w:rsid w:val="002C5960"/>
    <w:rsid w:val="002D6FB6"/>
    <w:rsid w:val="002E2255"/>
    <w:rsid w:val="002E3B09"/>
    <w:rsid w:val="002E4594"/>
    <w:rsid w:val="002E52B3"/>
    <w:rsid w:val="00303679"/>
    <w:rsid w:val="00304A12"/>
    <w:rsid w:val="00305636"/>
    <w:rsid w:val="00311662"/>
    <w:rsid w:val="00312A9F"/>
    <w:rsid w:val="00312F1C"/>
    <w:rsid w:val="00312F30"/>
    <w:rsid w:val="00315D5D"/>
    <w:rsid w:val="00316484"/>
    <w:rsid w:val="00316E01"/>
    <w:rsid w:val="00317067"/>
    <w:rsid w:val="00320300"/>
    <w:rsid w:val="00324508"/>
    <w:rsid w:val="003259C8"/>
    <w:rsid w:val="0032741D"/>
    <w:rsid w:val="003307FE"/>
    <w:rsid w:val="003328D9"/>
    <w:rsid w:val="003350A8"/>
    <w:rsid w:val="003376B7"/>
    <w:rsid w:val="00342369"/>
    <w:rsid w:val="003470E2"/>
    <w:rsid w:val="00352719"/>
    <w:rsid w:val="00354432"/>
    <w:rsid w:val="00355364"/>
    <w:rsid w:val="00364A60"/>
    <w:rsid w:val="00364CCB"/>
    <w:rsid w:val="0039085F"/>
    <w:rsid w:val="00392044"/>
    <w:rsid w:val="00394069"/>
    <w:rsid w:val="003A6061"/>
    <w:rsid w:val="003B5535"/>
    <w:rsid w:val="003B6FBC"/>
    <w:rsid w:val="003D7406"/>
    <w:rsid w:val="003D7FAF"/>
    <w:rsid w:val="003E62FB"/>
    <w:rsid w:val="003F39DF"/>
    <w:rsid w:val="003F63BE"/>
    <w:rsid w:val="00403A06"/>
    <w:rsid w:val="004061AC"/>
    <w:rsid w:val="00407DBB"/>
    <w:rsid w:val="004149AC"/>
    <w:rsid w:val="00415AEF"/>
    <w:rsid w:val="0042009D"/>
    <w:rsid w:val="00427F58"/>
    <w:rsid w:val="0043199A"/>
    <w:rsid w:val="00433805"/>
    <w:rsid w:val="0046668C"/>
    <w:rsid w:val="00466850"/>
    <w:rsid w:val="00467048"/>
    <w:rsid w:val="00471408"/>
    <w:rsid w:val="004858E0"/>
    <w:rsid w:val="004934E9"/>
    <w:rsid w:val="004943C2"/>
    <w:rsid w:val="004A11A7"/>
    <w:rsid w:val="004A4D5B"/>
    <w:rsid w:val="004B5343"/>
    <w:rsid w:val="004B7A92"/>
    <w:rsid w:val="004C0259"/>
    <w:rsid w:val="004C702F"/>
    <w:rsid w:val="004D28A3"/>
    <w:rsid w:val="004D495A"/>
    <w:rsid w:val="004D75CD"/>
    <w:rsid w:val="004E5975"/>
    <w:rsid w:val="004E790A"/>
    <w:rsid w:val="004F04C1"/>
    <w:rsid w:val="004F50FD"/>
    <w:rsid w:val="004F6891"/>
    <w:rsid w:val="00500A03"/>
    <w:rsid w:val="00501495"/>
    <w:rsid w:val="00507F99"/>
    <w:rsid w:val="00512200"/>
    <w:rsid w:val="005143CD"/>
    <w:rsid w:val="005144F2"/>
    <w:rsid w:val="005242A5"/>
    <w:rsid w:val="005249DD"/>
    <w:rsid w:val="00531BA5"/>
    <w:rsid w:val="00531F10"/>
    <w:rsid w:val="00532E86"/>
    <w:rsid w:val="00540B13"/>
    <w:rsid w:val="00542434"/>
    <w:rsid w:val="00542470"/>
    <w:rsid w:val="00542546"/>
    <w:rsid w:val="005425BA"/>
    <w:rsid w:val="005454FB"/>
    <w:rsid w:val="005602F3"/>
    <w:rsid w:val="005659E4"/>
    <w:rsid w:val="005761EE"/>
    <w:rsid w:val="00582D99"/>
    <w:rsid w:val="0058551C"/>
    <w:rsid w:val="00590656"/>
    <w:rsid w:val="0059076B"/>
    <w:rsid w:val="005973CB"/>
    <w:rsid w:val="00597E49"/>
    <w:rsid w:val="005A0F1F"/>
    <w:rsid w:val="005A2B83"/>
    <w:rsid w:val="005A478E"/>
    <w:rsid w:val="005A6675"/>
    <w:rsid w:val="005B2E9C"/>
    <w:rsid w:val="005B4F93"/>
    <w:rsid w:val="005B73D2"/>
    <w:rsid w:val="005C5E5B"/>
    <w:rsid w:val="005D2B36"/>
    <w:rsid w:val="005E1093"/>
    <w:rsid w:val="005E475E"/>
    <w:rsid w:val="005E78C0"/>
    <w:rsid w:val="005F3996"/>
    <w:rsid w:val="005F6AF6"/>
    <w:rsid w:val="005F7730"/>
    <w:rsid w:val="005F7917"/>
    <w:rsid w:val="005F7E00"/>
    <w:rsid w:val="00604C26"/>
    <w:rsid w:val="006066D2"/>
    <w:rsid w:val="0061286A"/>
    <w:rsid w:val="00613D7A"/>
    <w:rsid w:val="00614CC4"/>
    <w:rsid w:val="0062025E"/>
    <w:rsid w:val="00626998"/>
    <w:rsid w:val="006269FB"/>
    <w:rsid w:val="00631ED8"/>
    <w:rsid w:val="00635B05"/>
    <w:rsid w:val="00636DB7"/>
    <w:rsid w:val="0063783A"/>
    <w:rsid w:val="006423B9"/>
    <w:rsid w:val="00654B0D"/>
    <w:rsid w:val="00655CD8"/>
    <w:rsid w:val="006571DC"/>
    <w:rsid w:val="00660D4B"/>
    <w:rsid w:val="00664ECC"/>
    <w:rsid w:val="00670989"/>
    <w:rsid w:val="006757DC"/>
    <w:rsid w:val="00676095"/>
    <w:rsid w:val="006926A7"/>
    <w:rsid w:val="00693843"/>
    <w:rsid w:val="0069426C"/>
    <w:rsid w:val="00694DFB"/>
    <w:rsid w:val="006A1C62"/>
    <w:rsid w:val="006A48FD"/>
    <w:rsid w:val="006A67F8"/>
    <w:rsid w:val="006A7AF1"/>
    <w:rsid w:val="006B11BB"/>
    <w:rsid w:val="006B4C11"/>
    <w:rsid w:val="006C12B8"/>
    <w:rsid w:val="006C37FC"/>
    <w:rsid w:val="006C56AA"/>
    <w:rsid w:val="006C7EA3"/>
    <w:rsid w:val="006D07F3"/>
    <w:rsid w:val="006D39E9"/>
    <w:rsid w:val="006D3BE3"/>
    <w:rsid w:val="006D7004"/>
    <w:rsid w:val="006D789D"/>
    <w:rsid w:val="006D7FF8"/>
    <w:rsid w:val="006E042A"/>
    <w:rsid w:val="006E322B"/>
    <w:rsid w:val="006F49EE"/>
    <w:rsid w:val="006F5E68"/>
    <w:rsid w:val="00706D60"/>
    <w:rsid w:val="007075E3"/>
    <w:rsid w:val="00707F66"/>
    <w:rsid w:val="007125DB"/>
    <w:rsid w:val="00720D28"/>
    <w:rsid w:val="00722333"/>
    <w:rsid w:val="00722509"/>
    <w:rsid w:val="00727FCD"/>
    <w:rsid w:val="00733DDD"/>
    <w:rsid w:val="00744628"/>
    <w:rsid w:val="0074694E"/>
    <w:rsid w:val="00750CDF"/>
    <w:rsid w:val="00750D48"/>
    <w:rsid w:val="00752BA5"/>
    <w:rsid w:val="00755D86"/>
    <w:rsid w:val="00764C38"/>
    <w:rsid w:val="00767C98"/>
    <w:rsid w:val="00770971"/>
    <w:rsid w:val="00780186"/>
    <w:rsid w:val="0078089C"/>
    <w:rsid w:val="00787D16"/>
    <w:rsid w:val="00796CA8"/>
    <w:rsid w:val="00797305"/>
    <w:rsid w:val="007B035B"/>
    <w:rsid w:val="007B4C04"/>
    <w:rsid w:val="007B5AFB"/>
    <w:rsid w:val="007C1B9B"/>
    <w:rsid w:val="007C54B1"/>
    <w:rsid w:val="007C5862"/>
    <w:rsid w:val="007F31E6"/>
    <w:rsid w:val="008014F9"/>
    <w:rsid w:val="0080358B"/>
    <w:rsid w:val="008059BD"/>
    <w:rsid w:val="00812D46"/>
    <w:rsid w:val="00815999"/>
    <w:rsid w:val="00815A38"/>
    <w:rsid w:val="0082103F"/>
    <w:rsid w:val="008279FE"/>
    <w:rsid w:val="00831259"/>
    <w:rsid w:val="0083208A"/>
    <w:rsid w:val="0083218A"/>
    <w:rsid w:val="00832A00"/>
    <w:rsid w:val="00837845"/>
    <w:rsid w:val="008442C4"/>
    <w:rsid w:val="00846739"/>
    <w:rsid w:val="00853140"/>
    <w:rsid w:val="00854537"/>
    <w:rsid w:val="008606B6"/>
    <w:rsid w:val="008635E6"/>
    <w:rsid w:val="00866CF2"/>
    <w:rsid w:val="008700EC"/>
    <w:rsid w:val="00876D65"/>
    <w:rsid w:val="00891261"/>
    <w:rsid w:val="00895A8A"/>
    <w:rsid w:val="008A09E5"/>
    <w:rsid w:val="008A21B2"/>
    <w:rsid w:val="008B2FDD"/>
    <w:rsid w:val="008C2A4F"/>
    <w:rsid w:val="008C75E7"/>
    <w:rsid w:val="008C7CA8"/>
    <w:rsid w:val="008D09EC"/>
    <w:rsid w:val="008D799F"/>
    <w:rsid w:val="008E07EB"/>
    <w:rsid w:val="008E2DCB"/>
    <w:rsid w:val="008E326D"/>
    <w:rsid w:val="008F5A8D"/>
    <w:rsid w:val="008F5F67"/>
    <w:rsid w:val="008F60F2"/>
    <w:rsid w:val="0090217D"/>
    <w:rsid w:val="00904749"/>
    <w:rsid w:val="00905C5E"/>
    <w:rsid w:val="009078DC"/>
    <w:rsid w:val="00907B61"/>
    <w:rsid w:val="00910586"/>
    <w:rsid w:val="009161AF"/>
    <w:rsid w:val="00921AC7"/>
    <w:rsid w:val="00921BFA"/>
    <w:rsid w:val="00922880"/>
    <w:rsid w:val="00924582"/>
    <w:rsid w:val="00931291"/>
    <w:rsid w:val="00932DC0"/>
    <w:rsid w:val="0093367D"/>
    <w:rsid w:val="00933B24"/>
    <w:rsid w:val="009431FA"/>
    <w:rsid w:val="00943BB5"/>
    <w:rsid w:val="00945AF6"/>
    <w:rsid w:val="009510DE"/>
    <w:rsid w:val="00951C43"/>
    <w:rsid w:val="0095204B"/>
    <w:rsid w:val="0095280A"/>
    <w:rsid w:val="00954A4B"/>
    <w:rsid w:val="009550BE"/>
    <w:rsid w:val="00955531"/>
    <w:rsid w:val="00955BE8"/>
    <w:rsid w:val="00957594"/>
    <w:rsid w:val="00963F40"/>
    <w:rsid w:val="00965CFB"/>
    <w:rsid w:val="0098122D"/>
    <w:rsid w:val="00986596"/>
    <w:rsid w:val="00990685"/>
    <w:rsid w:val="00991411"/>
    <w:rsid w:val="00992238"/>
    <w:rsid w:val="009A0ABE"/>
    <w:rsid w:val="009B2D4B"/>
    <w:rsid w:val="009B3243"/>
    <w:rsid w:val="009C4E99"/>
    <w:rsid w:val="009C5186"/>
    <w:rsid w:val="009C60F7"/>
    <w:rsid w:val="009D0952"/>
    <w:rsid w:val="009D54EA"/>
    <w:rsid w:val="009E285B"/>
    <w:rsid w:val="009E31DA"/>
    <w:rsid w:val="009E402C"/>
    <w:rsid w:val="009E7C6A"/>
    <w:rsid w:val="009F7ED4"/>
    <w:rsid w:val="00A03AAC"/>
    <w:rsid w:val="00A047D1"/>
    <w:rsid w:val="00A22AD0"/>
    <w:rsid w:val="00A22DA8"/>
    <w:rsid w:val="00A234BE"/>
    <w:rsid w:val="00A31671"/>
    <w:rsid w:val="00A45320"/>
    <w:rsid w:val="00A52C6D"/>
    <w:rsid w:val="00A5612C"/>
    <w:rsid w:val="00A5689C"/>
    <w:rsid w:val="00A57AE4"/>
    <w:rsid w:val="00A63F19"/>
    <w:rsid w:val="00A66F3F"/>
    <w:rsid w:val="00A66F42"/>
    <w:rsid w:val="00A727C1"/>
    <w:rsid w:val="00A746EB"/>
    <w:rsid w:val="00A76625"/>
    <w:rsid w:val="00A82CBA"/>
    <w:rsid w:val="00A83500"/>
    <w:rsid w:val="00A90049"/>
    <w:rsid w:val="00A917BF"/>
    <w:rsid w:val="00A96A94"/>
    <w:rsid w:val="00AA257D"/>
    <w:rsid w:val="00AA3A38"/>
    <w:rsid w:val="00AA4F94"/>
    <w:rsid w:val="00AB047E"/>
    <w:rsid w:val="00AC11B0"/>
    <w:rsid w:val="00AC592E"/>
    <w:rsid w:val="00AC6C10"/>
    <w:rsid w:val="00AC7BC6"/>
    <w:rsid w:val="00AD24AA"/>
    <w:rsid w:val="00AE7962"/>
    <w:rsid w:val="00AF5BA0"/>
    <w:rsid w:val="00B014D7"/>
    <w:rsid w:val="00B05049"/>
    <w:rsid w:val="00B12B7D"/>
    <w:rsid w:val="00B16985"/>
    <w:rsid w:val="00B221B8"/>
    <w:rsid w:val="00B227EA"/>
    <w:rsid w:val="00B27206"/>
    <w:rsid w:val="00B32AA7"/>
    <w:rsid w:val="00B3392B"/>
    <w:rsid w:val="00B371D4"/>
    <w:rsid w:val="00B4012D"/>
    <w:rsid w:val="00B40F64"/>
    <w:rsid w:val="00B42A76"/>
    <w:rsid w:val="00B53067"/>
    <w:rsid w:val="00B66B7D"/>
    <w:rsid w:val="00B7378D"/>
    <w:rsid w:val="00B82413"/>
    <w:rsid w:val="00B85352"/>
    <w:rsid w:val="00B87214"/>
    <w:rsid w:val="00B912D0"/>
    <w:rsid w:val="00B92FF5"/>
    <w:rsid w:val="00B959E6"/>
    <w:rsid w:val="00BA0A6A"/>
    <w:rsid w:val="00BA40BB"/>
    <w:rsid w:val="00BA4338"/>
    <w:rsid w:val="00BA604D"/>
    <w:rsid w:val="00BB6813"/>
    <w:rsid w:val="00BC4585"/>
    <w:rsid w:val="00BC50F1"/>
    <w:rsid w:val="00BC73E5"/>
    <w:rsid w:val="00BD7473"/>
    <w:rsid w:val="00BD7703"/>
    <w:rsid w:val="00BE12B4"/>
    <w:rsid w:val="00BE3D2D"/>
    <w:rsid w:val="00BE420D"/>
    <w:rsid w:val="00BE5A26"/>
    <w:rsid w:val="00C11A5E"/>
    <w:rsid w:val="00C21520"/>
    <w:rsid w:val="00C222B2"/>
    <w:rsid w:val="00C225FB"/>
    <w:rsid w:val="00C41870"/>
    <w:rsid w:val="00C46B88"/>
    <w:rsid w:val="00C5218C"/>
    <w:rsid w:val="00C52191"/>
    <w:rsid w:val="00C5642F"/>
    <w:rsid w:val="00C57A3E"/>
    <w:rsid w:val="00C63554"/>
    <w:rsid w:val="00C71497"/>
    <w:rsid w:val="00C72F5B"/>
    <w:rsid w:val="00C73619"/>
    <w:rsid w:val="00C73BCD"/>
    <w:rsid w:val="00C77AEF"/>
    <w:rsid w:val="00C77E37"/>
    <w:rsid w:val="00C86EB7"/>
    <w:rsid w:val="00C87129"/>
    <w:rsid w:val="00C91E1B"/>
    <w:rsid w:val="00CA2BD3"/>
    <w:rsid w:val="00CA4677"/>
    <w:rsid w:val="00CA5FD5"/>
    <w:rsid w:val="00CA7703"/>
    <w:rsid w:val="00CB0F92"/>
    <w:rsid w:val="00CD4E6D"/>
    <w:rsid w:val="00CD5707"/>
    <w:rsid w:val="00CD7702"/>
    <w:rsid w:val="00CD7FC9"/>
    <w:rsid w:val="00CE0716"/>
    <w:rsid w:val="00CE075A"/>
    <w:rsid w:val="00CE29EA"/>
    <w:rsid w:val="00CF47EB"/>
    <w:rsid w:val="00CF6572"/>
    <w:rsid w:val="00CF7885"/>
    <w:rsid w:val="00D02347"/>
    <w:rsid w:val="00D04755"/>
    <w:rsid w:val="00D13737"/>
    <w:rsid w:val="00D15D27"/>
    <w:rsid w:val="00D1638E"/>
    <w:rsid w:val="00D21D10"/>
    <w:rsid w:val="00D21FFF"/>
    <w:rsid w:val="00D272A5"/>
    <w:rsid w:val="00D43AFB"/>
    <w:rsid w:val="00D5071D"/>
    <w:rsid w:val="00D564C7"/>
    <w:rsid w:val="00D57B7C"/>
    <w:rsid w:val="00D62BEE"/>
    <w:rsid w:val="00D65B44"/>
    <w:rsid w:val="00D8099B"/>
    <w:rsid w:val="00D866A8"/>
    <w:rsid w:val="00D87469"/>
    <w:rsid w:val="00D90B03"/>
    <w:rsid w:val="00D92F47"/>
    <w:rsid w:val="00D94B8D"/>
    <w:rsid w:val="00D96C8D"/>
    <w:rsid w:val="00DA2876"/>
    <w:rsid w:val="00DA718D"/>
    <w:rsid w:val="00DB0A8D"/>
    <w:rsid w:val="00DB348F"/>
    <w:rsid w:val="00DC0B51"/>
    <w:rsid w:val="00DD03DC"/>
    <w:rsid w:val="00DD5919"/>
    <w:rsid w:val="00DE27F7"/>
    <w:rsid w:val="00DE38CC"/>
    <w:rsid w:val="00E06069"/>
    <w:rsid w:val="00E115C0"/>
    <w:rsid w:val="00E44E18"/>
    <w:rsid w:val="00E54301"/>
    <w:rsid w:val="00E5483F"/>
    <w:rsid w:val="00E55ABD"/>
    <w:rsid w:val="00E60817"/>
    <w:rsid w:val="00E6412C"/>
    <w:rsid w:val="00E645C0"/>
    <w:rsid w:val="00E8246B"/>
    <w:rsid w:val="00E90C35"/>
    <w:rsid w:val="00EA70F1"/>
    <w:rsid w:val="00EB2516"/>
    <w:rsid w:val="00EB2C07"/>
    <w:rsid w:val="00EB374A"/>
    <w:rsid w:val="00EB3CE7"/>
    <w:rsid w:val="00EB572F"/>
    <w:rsid w:val="00EC1B4D"/>
    <w:rsid w:val="00ED040B"/>
    <w:rsid w:val="00ED62BE"/>
    <w:rsid w:val="00EF17AB"/>
    <w:rsid w:val="00EF56B5"/>
    <w:rsid w:val="00EF6FA5"/>
    <w:rsid w:val="00F078B5"/>
    <w:rsid w:val="00F11104"/>
    <w:rsid w:val="00F126C4"/>
    <w:rsid w:val="00F13122"/>
    <w:rsid w:val="00F16E3F"/>
    <w:rsid w:val="00F171C5"/>
    <w:rsid w:val="00F22499"/>
    <w:rsid w:val="00F22B0F"/>
    <w:rsid w:val="00F234A0"/>
    <w:rsid w:val="00F24B42"/>
    <w:rsid w:val="00F24F73"/>
    <w:rsid w:val="00F27299"/>
    <w:rsid w:val="00F31F6E"/>
    <w:rsid w:val="00F3389C"/>
    <w:rsid w:val="00F375F2"/>
    <w:rsid w:val="00F40868"/>
    <w:rsid w:val="00F54EAE"/>
    <w:rsid w:val="00F66A51"/>
    <w:rsid w:val="00F71057"/>
    <w:rsid w:val="00F71A4B"/>
    <w:rsid w:val="00F728CF"/>
    <w:rsid w:val="00F743D4"/>
    <w:rsid w:val="00F83B17"/>
    <w:rsid w:val="00F87EDA"/>
    <w:rsid w:val="00F932F8"/>
    <w:rsid w:val="00F970EE"/>
    <w:rsid w:val="00FB0BC9"/>
    <w:rsid w:val="00FB0F9B"/>
    <w:rsid w:val="00FB41D3"/>
    <w:rsid w:val="00FB4F70"/>
    <w:rsid w:val="00FB5EFC"/>
    <w:rsid w:val="00FB77BB"/>
    <w:rsid w:val="00FC15AA"/>
    <w:rsid w:val="00FD1375"/>
    <w:rsid w:val="00FD359E"/>
    <w:rsid w:val="00FD5F37"/>
    <w:rsid w:val="00FE0A17"/>
    <w:rsid w:val="00FE179F"/>
    <w:rsid w:val="00FF213A"/>
    <w:rsid w:val="00FF3C2E"/>
    <w:rsid w:val="00FF6E8F"/>
  </w:rsids>
  <m:mathPr>
    <m:mathFont m:val="Cambria Math"/>
    <m:brkBin m:val="before"/>
    <m:brkBinSub m:val="--"/>
    <m:smallFrac/>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doNotIncludeSubdocsInStats/>
  <w:doNotAutoCompressPictures/>
  <w:smartTagType w:name="chsdate" w:namespaceuri="urn:schemas-microsoft-com:office:smarttags"/>
  <w:shapeDefaults>
    <o:shapedefaults spidmax="2049" v:ext="edit"/>
    <o:shapelayout v:ext="edit">
      <o:idmap data="1"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cs="Times New Roman" w:eastAsia="宋体" w:hAnsi="Calibri"/>
        <w:lang w:bidi="ar-SA" w:eastAsia="zh-CN"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nhideWhenUsed="0"/>
    <w:lsdException w:locked="1" w:name="heading 2" w:qFormat="1" w:semiHidden="0" w:uiPriority="0" w:unhideWhenUsed="0"/>
    <w:lsdException w:locked="1" w:name="heading 3" w:qFormat="1" w:semiHidden="0" w:uiPriority="0" w:unhideWhenUsed="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footnote text" w:semiHidden="0" w:uiPriority="0" w:unhideWhenUsed="0"/>
    <w:lsdException w:locked="1" w:name="caption" w:qFormat="1" w:uiPriority="0"/>
    <w:lsdException w:locked="1" w:name="footnote reference" w:semiHidden="0" w:uiPriority="0" w:unhideWhenUsed="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Date" w:semiHidden="0" w:uiPriority="0" w:unhideWhenUsed="0"/>
    <w:lsdException w:locked="1" w:name="Strong" w:qFormat="1" w:semiHidden="0" w:uiPriority="22" w:unhideWhenUsed="0"/>
    <w:lsdException w:locked="1" w:name="Emphasis" w:qFormat="1" w:semiHidden="0" w:uiPriority="0" w:unhideWhenUsed="0"/>
    <w:lsdException w:locked="1" w:name="Table Grid" w:qFormat="1"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a" w:type="paragraph">
    <w:name w:val="Normal"/>
    <w:qFormat/>
    <w:rsid w:val="004061AC"/>
    <w:pPr>
      <w:widowControl w:val="0"/>
      <w:jc w:val="both"/>
    </w:pPr>
    <w:rPr>
      <w:rFonts w:ascii="Times New Roman" w:hAnsi="Times New Roman"/>
      <w:kern w:val="2"/>
      <w:sz w:val="21"/>
      <w:szCs w:val="21"/>
    </w:rPr>
  </w:style>
  <w:style w:styleId="1" w:type="paragraph">
    <w:name w:val="heading 1"/>
    <w:basedOn w:val="a"/>
    <w:next w:val="a"/>
    <w:link w:val="1Char"/>
    <w:uiPriority w:val="99"/>
    <w:qFormat/>
    <w:rsid w:val="004061AC"/>
    <w:pPr>
      <w:keepNext/>
      <w:keepLines/>
      <w:spacing w:after="330" w:before="340" w:line="578" w:lineRule="auto"/>
      <w:outlineLvl w:val="0"/>
    </w:pPr>
    <w:rPr>
      <w:b/>
      <w:bCs/>
      <w:kern w:val="44"/>
      <w:sz w:val="44"/>
      <w:szCs w:val="44"/>
    </w:rPr>
  </w:style>
  <w:style w:styleId="2" w:type="paragraph">
    <w:name w:val="heading 2"/>
    <w:basedOn w:val="a"/>
    <w:next w:val="a0"/>
    <w:link w:val="2Char"/>
    <w:uiPriority w:val="99"/>
    <w:qFormat/>
    <w:rsid w:val="004061AC"/>
    <w:pPr>
      <w:keepNext/>
      <w:keepLines/>
      <w:spacing w:after="260" w:before="260" w:line="360" w:lineRule="auto"/>
      <w:outlineLvl w:val="1"/>
    </w:pPr>
    <w:rPr>
      <w:rFonts w:ascii="Arial" w:hAnsi="Arial"/>
      <w:b/>
      <w:bCs/>
      <w:kern w:val="0"/>
      <w:sz w:val="24"/>
      <w:szCs w:val="24"/>
    </w:rPr>
  </w:style>
  <w:style w:styleId="3" w:type="paragraph">
    <w:name w:val="heading 3"/>
    <w:basedOn w:val="a"/>
    <w:next w:val="a"/>
    <w:link w:val="3Char"/>
    <w:uiPriority w:val="99"/>
    <w:qFormat/>
    <w:rsid w:val="004061AC"/>
    <w:pPr>
      <w:keepNext/>
      <w:keepLines/>
      <w:spacing w:after="260" w:before="260" w:line="416" w:lineRule="auto"/>
      <w:outlineLvl w:val="2"/>
    </w:pPr>
    <w:rPr>
      <w:b/>
      <w:bCs/>
      <w:kern w:val="0"/>
      <w:sz w:val="32"/>
      <w:szCs w:val="32"/>
    </w:rPr>
  </w:style>
  <w:style w:default="1" w:styleId="a1" w:type="character">
    <w:name w:val="Default Paragraph Font"/>
    <w:uiPriority w:val="1"/>
    <w:semiHidden/>
    <w:unhideWhenUsed/>
  </w:style>
  <w:style w:default="1" w:styleId="a2" w:type="table">
    <w:name w:val="Normal Table"/>
    <w:uiPriority w:val="99"/>
    <w:semiHidden/>
    <w:unhideWhenUsed/>
    <w:tblPr>
      <w:tblInd w:type="dxa" w:w="0"/>
      <w:tblCellMar>
        <w:top w:type="dxa" w:w="0"/>
        <w:left w:type="dxa" w:w="108"/>
        <w:bottom w:type="dxa" w:w="0"/>
        <w:right w:type="dxa" w:w="108"/>
      </w:tblCellMar>
    </w:tblPr>
  </w:style>
  <w:style w:default="1" w:styleId="a3" w:type="numbering">
    <w:name w:val="No List"/>
    <w:uiPriority w:val="99"/>
    <w:semiHidden/>
    <w:unhideWhenUsed/>
  </w:style>
  <w:style w:customStyle="1" w:styleId="1Char" w:type="character">
    <w:name w:val="标题 1 Char"/>
    <w:link w:val="1"/>
    <w:uiPriority w:val="99"/>
    <w:locked/>
    <w:rsid w:val="004061AC"/>
    <w:rPr>
      <w:rFonts w:ascii="Times New Roman" w:cs="Times New Roman" w:eastAsia="宋体" w:hAnsi="Times New Roman"/>
      <w:b/>
      <w:bCs/>
      <w:kern w:val="44"/>
      <w:sz w:val="44"/>
      <w:szCs w:val="44"/>
    </w:rPr>
  </w:style>
  <w:style w:customStyle="1" w:styleId="2Char" w:type="character">
    <w:name w:val="标题 2 Char"/>
    <w:link w:val="2"/>
    <w:uiPriority w:val="99"/>
    <w:locked/>
    <w:rsid w:val="004061AC"/>
    <w:rPr>
      <w:rFonts w:ascii="Arial" w:cs="Arial" w:eastAsia="宋体" w:hAnsi="Arial"/>
      <w:b/>
      <w:bCs/>
      <w:sz w:val="24"/>
      <w:szCs w:val="24"/>
    </w:rPr>
  </w:style>
  <w:style w:customStyle="1" w:styleId="3Char" w:type="character">
    <w:name w:val="标题 3 Char"/>
    <w:link w:val="3"/>
    <w:uiPriority w:val="99"/>
    <w:locked/>
    <w:rsid w:val="004061AC"/>
    <w:rPr>
      <w:rFonts w:ascii="Times New Roman" w:cs="Times New Roman" w:eastAsia="宋体" w:hAnsi="Times New Roman"/>
      <w:b/>
      <w:bCs/>
      <w:sz w:val="32"/>
      <w:szCs w:val="32"/>
    </w:rPr>
  </w:style>
  <w:style w:styleId="a0" w:type="paragraph">
    <w:name w:val="Normal Indent"/>
    <w:basedOn w:val="a"/>
    <w:uiPriority w:val="99"/>
    <w:rsid w:val="004061AC"/>
    <w:pPr>
      <w:ind w:firstLine="420" w:firstLineChars="200"/>
    </w:pPr>
  </w:style>
  <w:style w:styleId="a4" w:type="paragraph">
    <w:name w:val="Body Text Indent"/>
    <w:basedOn w:val="a"/>
    <w:link w:val="Char"/>
    <w:uiPriority w:val="99"/>
    <w:rsid w:val="004061AC"/>
    <w:pPr>
      <w:widowControl/>
      <w:spacing w:after="100" w:afterAutospacing="1" w:before="100" w:beforeAutospacing="1"/>
      <w:jc w:val="left"/>
    </w:pPr>
    <w:rPr>
      <w:rFonts w:ascii="Arial Unicode MS" w:eastAsia="Arial Unicode MS" w:hAnsi="Arial Unicode MS"/>
      <w:kern w:val="0"/>
      <w:sz w:val="24"/>
      <w:szCs w:val="24"/>
    </w:rPr>
  </w:style>
  <w:style w:customStyle="1" w:styleId="Char" w:type="character">
    <w:name w:val="正文文本缩进 Char"/>
    <w:link w:val="a4"/>
    <w:uiPriority w:val="99"/>
    <w:locked/>
    <w:rsid w:val="004061AC"/>
    <w:rPr>
      <w:rFonts w:ascii="Arial Unicode MS" w:cs="Arial Unicode MS" w:eastAsia="Arial Unicode MS" w:hAnsi="Arial Unicode MS"/>
      <w:kern w:val="0"/>
      <w:sz w:val="24"/>
      <w:szCs w:val="24"/>
    </w:rPr>
  </w:style>
  <w:style w:styleId="a5" w:type="paragraph">
    <w:name w:val="Plain Text"/>
    <w:basedOn w:val="a"/>
    <w:link w:val="Char0"/>
    <w:uiPriority w:val="99"/>
    <w:rsid w:val="004061AC"/>
    <w:rPr>
      <w:rFonts w:ascii="宋体" w:hAnsi="Courier New"/>
      <w:kern w:val="0"/>
    </w:rPr>
  </w:style>
  <w:style w:customStyle="1" w:styleId="Char0" w:type="character">
    <w:name w:val="纯文本 Char"/>
    <w:link w:val="a5"/>
    <w:uiPriority w:val="99"/>
    <w:locked/>
    <w:rsid w:val="004061AC"/>
    <w:rPr>
      <w:rFonts w:ascii="宋体" w:cs="宋体" w:eastAsia="宋体" w:hAnsi="Courier New"/>
      <w:sz w:val="21"/>
      <w:szCs w:val="21"/>
    </w:rPr>
  </w:style>
  <w:style w:styleId="20" w:type="paragraph">
    <w:name w:val="Body Text Indent 2"/>
    <w:basedOn w:val="a"/>
    <w:link w:val="2Char0"/>
    <w:uiPriority w:val="99"/>
    <w:rsid w:val="004061AC"/>
    <w:pPr>
      <w:spacing w:line="560" w:lineRule="exact"/>
      <w:ind w:firstLine="480" w:firstLineChars="200"/>
    </w:pPr>
    <w:rPr>
      <w:rFonts w:ascii="宋体" w:hAnsi="宋体"/>
      <w:color w:val="FF0000"/>
      <w:kern w:val="0"/>
      <w:sz w:val="24"/>
      <w:szCs w:val="24"/>
    </w:rPr>
  </w:style>
  <w:style w:customStyle="1" w:styleId="2Char0" w:type="character">
    <w:name w:val="正文文本缩进 2 Char"/>
    <w:link w:val="20"/>
    <w:uiPriority w:val="99"/>
    <w:locked/>
    <w:rsid w:val="004061AC"/>
    <w:rPr>
      <w:rFonts w:ascii="宋体" w:cs="宋体" w:eastAsia="宋体" w:hAnsi="宋体"/>
      <w:color w:val="FF0000"/>
      <w:sz w:val="24"/>
      <w:szCs w:val="24"/>
    </w:rPr>
  </w:style>
  <w:style w:styleId="a6" w:type="paragraph">
    <w:name w:val="footer"/>
    <w:basedOn w:val="a"/>
    <w:link w:val="Char1"/>
    <w:uiPriority w:val="99"/>
    <w:rsid w:val="004061AC"/>
    <w:pPr>
      <w:tabs>
        <w:tab w:pos="4153" w:val="center"/>
        <w:tab w:pos="8306" w:val="right"/>
      </w:tabs>
      <w:snapToGrid w:val="0"/>
      <w:jc w:val="left"/>
    </w:pPr>
    <w:rPr>
      <w:kern w:val="0"/>
      <w:sz w:val="18"/>
      <w:szCs w:val="18"/>
    </w:rPr>
  </w:style>
  <w:style w:customStyle="1" w:styleId="Char1" w:type="character">
    <w:name w:val="页脚 Char"/>
    <w:link w:val="a6"/>
    <w:uiPriority w:val="99"/>
    <w:locked/>
    <w:rsid w:val="004061AC"/>
    <w:rPr>
      <w:rFonts w:ascii="Times New Roman" w:cs="Times New Roman" w:eastAsia="宋体" w:hAnsi="Times New Roman"/>
      <w:sz w:val="18"/>
      <w:szCs w:val="18"/>
    </w:rPr>
  </w:style>
  <w:style w:styleId="a7" w:type="character">
    <w:name w:val="page number"/>
    <w:uiPriority w:val="99"/>
    <w:rsid w:val="004061AC"/>
    <w:rPr>
      <w:rFonts w:cs="Times New Roman"/>
    </w:rPr>
  </w:style>
  <w:style w:styleId="a8" w:type="character">
    <w:name w:val="Hyperlink"/>
    <w:uiPriority w:val="99"/>
    <w:rsid w:val="004061AC"/>
    <w:rPr>
      <w:rFonts w:cs="Times New Roman"/>
      <w:color w:val="0000FF"/>
      <w:u w:val="single"/>
    </w:rPr>
  </w:style>
  <w:style w:styleId="30" w:type="paragraph">
    <w:name w:val="Body Text Indent 3"/>
    <w:basedOn w:val="a"/>
    <w:link w:val="3Char0"/>
    <w:uiPriority w:val="99"/>
    <w:rsid w:val="004061AC"/>
    <w:pPr>
      <w:spacing w:line="560" w:lineRule="exact"/>
      <w:ind w:firstLine="420" w:firstLineChars="200"/>
    </w:pPr>
    <w:rPr>
      <w:rFonts w:ascii="Arial" w:hAnsi="Arial"/>
      <w:color w:val="FF0000"/>
      <w:kern w:val="0"/>
    </w:rPr>
  </w:style>
  <w:style w:customStyle="1" w:styleId="3Char0" w:type="character">
    <w:name w:val="正文文本缩进 3 Char"/>
    <w:link w:val="30"/>
    <w:uiPriority w:val="99"/>
    <w:locked/>
    <w:rsid w:val="004061AC"/>
    <w:rPr>
      <w:rFonts w:ascii="Arial" w:cs="Arial" w:eastAsia="宋体" w:hAnsi="Arial"/>
      <w:color w:val="FF0000"/>
      <w:sz w:val="21"/>
      <w:szCs w:val="21"/>
    </w:rPr>
  </w:style>
  <w:style w:styleId="a9" w:type="paragraph">
    <w:name w:val="header"/>
    <w:basedOn w:val="a"/>
    <w:link w:val="Char2"/>
    <w:uiPriority w:val="99"/>
    <w:rsid w:val="004061AC"/>
    <w:pPr>
      <w:pBdr>
        <w:bottom w:color="auto" w:space="1" w:sz="6" w:val="single"/>
      </w:pBdr>
      <w:tabs>
        <w:tab w:pos="4153" w:val="center"/>
        <w:tab w:pos="8306" w:val="right"/>
      </w:tabs>
      <w:snapToGrid w:val="0"/>
      <w:jc w:val="center"/>
    </w:pPr>
    <w:rPr>
      <w:kern w:val="0"/>
      <w:sz w:val="18"/>
      <w:szCs w:val="18"/>
    </w:rPr>
  </w:style>
  <w:style w:customStyle="1" w:styleId="Char2" w:type="character">
    <w:name w:val="页眉 Char"/>
    <w:link w:val="a9"/>
    <w:uiPriority w:val="99"/>
    <w:locked/>
    <w:rsid w:val="004061AC"/>
    <w:rPr>
      <w:rFonts w:ascii="Times New Roman" w:cs="Times New Roman" w:eastAsia="宋体" w:hAnsi="Times New Roman"/>
      <w:sz w:val="18"/>
      <w:szCs w:val="18"/>
    </w:rPr>
  </w:style>
  <w:style w:styleId="aa" w:type="character">
    <w:name w:val="FollowedHyperlink"/>
    <w:uiPriority w:val="99"/>
    <w:rsid w:val="004061AC"/>
    <w:rPr>
      <w:rFonts w:cs="Times New Roman"/>
      <w:color w:val="800080"/>
      <w:u w:val="single"/>
    </w:rPr>
  </w:style>
  <w:style w:styleId="ab" w:type="paragraph">
    <w:name w:val="List"/>
    <w:basedOn w:val="ac"/>
    <w:uiPriority w:val="99"/>
    <w:rsid w:val="004061AC"/>
    <w:pPr>
      <w:spacing w:after="220" w:line="220" w:lineRule="atLeast"/>
      <w:ind w:hanging="360" w:left="1440"/>
    </w:pPr>
  </w:style>
  <w:style w:styleId="ac" w:type="paragraph">
    <w:name w:val="Body Text"/>
    <w:basedOn w:val="a"/>
    <w:link w:val="Char3"/>
    <w:uiPriority w:val="99"/>
    <w:rsid w:val="004061AC"/>
    <w:pPr>
      <w:spacing w:after="120"/>
    </w:pPr>
    <w:rPr>
      <w:kern w:val="0"/>
    </w:rPr>
  </w:style>
  <w:style w:customStyle="1" w:styleId="Char3" w:type="character">
    <w:name w:val="正文文本 Char"/>
    <w:link w:val="ac"/>
    <w:uiPriority w:val="99"/>
    <w:locked/>
    <w:rsid w:val="004061AC"/>
    <w:rPr>
      <w:rFonts w:ascii="Times New Roman" w:cs="Times New Roman" w:eastAsia="宋体" w:hAnsi="Times New Roman"/>
      <w:sz w:val="21"/>
      <w:szCs w:val="21"/>
    </w:rPr>
  </w:style>
  <w:style w:styleId="ad" w:type="paragraph">
    <w:name w:val="Date"/>
    <w:basedOn w:val="a"/>
    <w:next w:val="a"/>
    <w:link w:val="Char4"/>
    <w:uiPriority w:val="99"/>
    <w:rsid w:val="004061AC"/>
    <w:rPr>
      <w:kern w:val="0"/>
      <w:sz w:val="24"/>
      <w:szCs w:val="24"/>
    </w:rPr>
  </w:style>
  <w:style w:customStyle="1" w:styleId="Char4" w:type="character">
    <w:name w:val="日期 Char"/>
    <w:link w:val="ad"/>
    <w:uiPriority w:val="99"/>
    <w:locked/>
    <w:rsid w:val="004061AC"/>
    <w:rPr>
      <w:rFonts w:ascii="Times New Roman" w:cs="Times New Roman" w:eastAsia="宋体" w:hAnsi="Times New Roman"/>
      <w:sz w:val="24"/>
      <w:szCs w:val="24"/>
    </w:rPr>
  </w:style>
  <w:style w:customStyle="1" w:styleId="c1" w:type="character">
    <w:name w:val="c1"/>
    <w:uiPriority w:val="99"/>
    <w:rsid w:val="004061AC"/>
    <w:rPr>
      <w:rFonts w:cs="Times New Roman"/>
      <w:color w:val="000000"/>
      <w:sz w:val="18"/>
      <w:szCs w:val="18"/>
    </w:rPr>
  </w:style>
  <w:style w:styleId="10" w:type="paragraph">
    <w:name w:val="index 1"/>
    <w:basedOn w:val="a"/>
    <w:next w:val="a"/>
    <w:autoRedefine/>
    <w:uiPriority w:val="99"/>
    <w:semiHidden/>
    <w:rsid w:val="004061AC"/>
    <w:pPr>
      <w:jc w:val="right"/>
    </w:pPr>
    <w:rPr>
      <w:color w:val="008000"/>
    </w:rPr>
  </w:style>
  <w:style w:customStyle="1" w:styleId="font5" w:type="paragraph">
    <w:name w:val="font5"/>
    <w:basedOn w:val="a"/>
    <w:uiPriority w:val="99"/>
    <w:rsid w:val="004061AC"/>
    <w:pPr>
      <w:widowControl/>
      <w:spacing w:after="100" w:afterAutospacing="1" w:before="100" w:beforeAutospacing="1"/>
      <w:jc w:val="left"/>
    </w:pPr>
    <w:rPr>
      <w:rFonts w:ascii="宋体" w:cs="宋体" w:hAnsi="宋体"/>
      <w:kern w:val="0"/>
      <w:sz w:val="18"/>
      <w:szCs w:val="18"/>
    </w:rPr>
  </w:style>
  <w:style w:customStyle="1" w:styleId="xl24" w:type="paragraph">
    <w:name w:val="xl24"/>
    <w:basedOn w:val="a"/>
    <w:uiPriority w:val="99"/>
    <w:rsid w:val="004061AC"/>
    <w:pPr>
      <w:widowControl/>
      <w:pBdr>
        <w:top w:color="000000" w:space="0" w:sz="6" w:val="doub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0000FF"/>
      <w:kern w:val="0"/>
      <w:sz w:val="29"/>
      <w:szCs w:val="29"/>
    </w:rPr>
  </w:style>
  <w:style w:customStyle="1" w:styleId="xl25" w:type="paragraph">
    <w:name w:val="xl25"/>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left"/>
    </w:pPr>
    <w:rPr>
      <w:rFonts w:ascii="Arial Unicode MS" w:cs="Arial Unicode MS" w:eastAsia="Arial Unicode MS" w:hAnsi="Arial Unicode MS"/>
      <w:b/>
      <w:bCs/>
      <w:color w:val="000000"/>
      <w:kern w:val="0"/>
      <w:sz w:val="24"/>
      <w:szCs w:val="24"/>
    </w:rPr>
  </w:style>
  <w:style w:customStyle="1" w:styleId="xl26" w:type="paragraph">
    <w:name w:val="xl26"/>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27" w:type="paragraph">
    <w:name w:val="xl27"/>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12"/>
      <w:szCs w:val="12"/>
    </w:rPr>
  </w:style>
  <w:style w:customStyle="1" w:styleId="xl28" w:type="paragraph">
    <w:name w:val="xl28"/>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29" w:type="paragraph">
    <w:name w:val="xl29"/>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30" w:type="paragraph">
    <w:name w:val="xl30"/>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31" w:type="paragraph">
    <w:name w:val="xl31"/>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2" w:type="paragraph">
    <w:name w:val="xl32"/>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3" w:type="paragraph">
    <w:name w:val="xl33"/>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color w:val="000000"/>
      <w:kern w:val="0"/>
      <w:sz w:val="22"/>
      <w:szCs w:val="22"/>
    </w:rPr>
  </w:style>
  <w:style w:customStyle="1" w:styleId="xl34" w:type="paragraph">
    <w:name w:val="xl34"/>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5" w:type="paragraph">
    <w:name w:val="xl35"/>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000000"/>
      <w:kern w:val="0"/>
      <w:sz w:val="23"/>
      <w:szCs w:val="23"/>
    </w:rPr>
  </w:style>
  <w:style w:customStyle="1" w:styleId="xl36" w:type="paragraph">
    <w:name w:val="xl36"/>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customStyle="1" w:styleId="xl37" w:type="paragraph">
    <w:name w:val="xl37"/>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FF0000"/>
      <w:kern w:val="0"/>
      <w:sz w:val="23"/>
      <w:szCs w:val="23"/>
    </w:rPr>
  </w:style>
  <w:style w:customStyle="1" w:styleId="xl38" w:type="paragraph">
    <w:name w:val="xl38"/>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styleId="ae" w:type="paragraph">
    <w:name w:val="Balloon Text"/>
    <w:basedOn w:val="a"/>
    <w:link w:val="Char5"/>
    <w:uiPriority w:val="99"/>
    <w:semiHidden/>
    <w:rsid w:val="004061AC"/>
    <w:rPr>
      <w:kern w:val="0"/>
      <w:sz w:val="18"/>
      <w:szCs w:val="18"/>
    </w:rPr>
  </w:style>
  <w:style w:customStyle="1" w:styleId="Char5" w:type="character">
    <w:name w:val="批注框文本 Char"/>
    <w:link w:val="ae"/>
    <w:uiPriority w:val="99"/>
    <w:semiHidden/>
    <w:locked/>
    <w:rsid w:val="004061AC"/>
    <w:rPr>
      <w:rFonts w:ascii="Times New Roman" w:cs="Times New Roman" w:eastAsia="宋体" w:hAnsi="Times New Roman"/>
      <w:sz w:val="18"/>
      <w:szCs w:val="18"/>
    </w:rPr>
  </w:style>
  <w:style w:styleId="af" w:type="character">
    <w:name w:val="annotation reference"/>
    <w:uiPriority w:val="99"/>
    <w:semiHidden/>
    <w:rsid w:val="004061AC"/>
    <w:rPr>
      <w:rFonts w:cs="Times New Roman"/>
      <w:sz w:val="21"/>
      <w:szCs w:val="21"/>
    </w:rPr>
  </w:style>
  <w:style w:styleId="af0" w:type="paragraph">
    <w:name w:val="annotation text"/>
    <w:basedOn w:val="a"/>
    <w:link w:val="Char6"/>
    <w:uiPriority w:val="99"/>
    <w:semiHidden/>
    <w:rsid w:val="004061AC"/>
    <w:pPr>
      <w:jc w:val="left"/>
    </w:pPr>
    <w:rPr>
      <w:kern w:val="0"/>
    </w:rPr>
  </w:style>
  <w:style w:customStyle="1" w:styleId="Char6" w:type="character">
    <w:name w:val="批注文字 Char"/>
    <w:link w:val="af0"/>
    <w:uiPriority w:val="99"/>
    <w:semiHidden/>
    <w:locked/>
    <w:rsid w:val="004061AC"/>
    <w:rPr>
      <w:rFonts w:ascii="Times New Roman" w:cs="Times New Roman" w:eastAsia="宋体" w:hAnsi="Times New Roman"/>
      <w:sz w:val="21"/>
      <w:szCs w:val="21"/>
    </w:rPr>
  </w:style>
  <w:style w:styleId="af1" w:type="paragraph">
    <w:name w:val="annotation subject"/>
    <w:basedOn w:val="af0"/>
    <w:next w:val="af0"/>
    <w:link w:val="Char7"/>
    <w:uiPriority w:val="99"/>
    <w:semiHidden/>
    <w:rsid w:val="004061AC"/>
    <w:rPr>
      <w:b/>
      <w:bCs/>
    </w:rPr>
  </w:style>
  <w:style w:customStyle="1" w:styleId="Char7" w:type="character">
    <w:name w:val="批注主题 Char"/>
    <w:link w:val="af1"/>
    <w:uiPriority w:val="99"/>
    <w:semiHidden/>
    <w:locked/>
    <w:rsid w:val="004061AC"/>
    <w:rPr>
      <w:rFonts w:ascii="Times New Roman" w:cs="Times New Roman" w:eastAsia="宋体" w:hAnsi="Times New Roman"/>
      <w:b/>
      <w:bCs/>
      <w:sz w:val="21"/>
      <w:szCs w:val="21"/>
    </w:rPr>
  </w:style>
  <w:style w:customStyle="1" w:styleId="Char8" w:type="paragraph">
    <w:name w:val="Char"/>
    <w:basedOn w:val="a"/>
    <w:uiPriority w:val="99"/>
    <w:rsid w:val="004061AC"/>
  </w:style>
  <w:style w:styleId="af2" w:type="paragraph">
    <w:name w:val="Document Map"/>
    <w:basedOn w:val="a"/>
    <w:link w:val="Char9"/>
    <w:uiPriority w:val="99"/>
    <w:semiHidden/>
    <w:rsid w:val="004061AC"/>
    <w:pPr>
      <w:shd w:color="auto" w:fill="000080" w:val="clear"/>
    </w:pPr>
    <w:rPr>
      <w:kern w:val="0"/>
    </w:rPr>
  </w:style>
  <w:style w:customStyle="1" w:styleId="Char9" w:type="character">
    <w:name w:val="文档结构图 Char"/>
    <w:link w:val="af2"/>
    <w:uiPriority w:val="99"/>
    <w:semiHidden/>
    <w:locked/>
    <w:rsid w:val="004061AC"/>
    <w:rPr>
      <w:rFonts w:ascii="Times New Roman" w:cs="Times New Roman" w:eastAsia="宋体" w:hAnsi="Times New Roman"/>
      <w:sz w:val="21"/>
      <w:szCs w:val="21"/>
      <w:shd w:color="auto" w:fill="000080" w:val="clear"/>
    </w:rPr>
  </w:style>
  <w:style w:customStyle="1" w:styleId="af3" w:type="paragraph">
    <w:name w:val="正文 + (符号) 宋体"/>
    <w:aliases w:val="小四,紧缩量  0.2 磅"/>
    <w:basedOn w:val="a"/>
    <w:uiPriority w:val="99"/>
    <w:rsid w:val="004061AC"/>
    <w:pPr>
      <w:autoSpaceDE w:val="0"/>
      <w:autoSpaceDN w:val="0"/>
      <w:adjustRightInd w:val="0"/>
      <w:ind w:firstLine="1229" w:firstLineChars="512" w:right="1409" w:rightChars="671"/>
      <w:jc w:val="distribute"/>
    </w:pPr>
    <w:rPr>
      <w:sz w:val="24"/>
      <w:szCs w:val="24"/>
    </w:rPr>
  </w:style>
  <w:style w:styleId="af4" w:type="paragraph">
    <w:name w:val="footnote text"/>
    <w:basedOn w:val="a"/>
    <w:link w:val="Chara"/>
    <w:uiPriority w:val="99"/>
    <w:rsid w:val="004061AC"/>
    <w:pPr>
      <w:snapToGrid w:val="0"/>
      <w:jc w:val="left"/>
    </w:pPr>
    <w:rPr>
      <w:kern w:val="0"/>
      <w:sz w:val="18"/>
      <w:szCs w:val="18"/>
    </w:rPr>
  </w:style>
  <w:style w:customStyle="1" w:styleId="Chara" w:type="character">
    <w:name w:val="脚注文本 Char"/>
    <w:link w:val="af4"/>
    <w:uiPriority w:val="99"/>
    <w:locked/>
    <w:rsid w:val="004061AC"/>
    <w:rPr>
      <w:rFonts w:ascii="Times New Roman" w:cs="Times New Roman" w:eastAsia="宋体" w:hAnsi="Times New Roman"/>
      <w:sz w:val="18"/>
      <w:szCs w:val="18"/>
    </w:rPr>
  </w:style>
  <w:style w:styleId="af5" w:type="character">
    <w:name w:val="footnote reference"/>
    <w:uiPriority w:val="99"/>
    <w:rsid w:val="004061AC"/>
    <w:rPr>
      <w:rFonts w:cs="Times New Roman"/>
      <w:vertAlign w:val="superscript"/>
    </w:rPr>
  </w:style>
  <w:style w:styleId="af6" w:type="paragraph">
    <w:name w:val="Normal (Web)"/>
    <w:basedOn w:val="a"/>
    <w:uiPriority w:val="99"/>
    <w:rsid w:val="004061AC"/>
    <w:pPr>
      <w:widowControl/>
      <w:spacing w:after="100" w:afterAutospacing="1" w:before="100" w:beforeAutospacing="1"/>
      <w:jc w:val="left"/>
    </w:pPr>
    <w:rPr>
      <w:rFonts w:ascii="宋体" w:cs="宋体" w:hAnsi="宋体"/>
      <w:kern w:val="0"/>
      <w:sz w:val="24"/>
      <w:szCs w:val="24"/>
    </w:rPr>
  </w:style>
  <w:style w:styleId="af7" w:type="table">
    <w:name w:val="Table Grid"/>
    <w:basedOn w:val="a2"/>
    <w:qFormat/>
    <w:rsid w:val="004061AC"/>
    <w:pPr>
      <w:widowControl w:val="0"/>
      <w:jc w:val="both"/>
    </w:pPr>
    <w:rPr>
      <w:rFonts w:ascii="Times New Roman" w:hAnsi="Times New Roman"/>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Char10" w:type="paragraph">
    <w:name w:val="Char1"/>
    <w:basedOn w:val="a"/>
    <w:uiPriority w:val="99"/>
    <w:rsid w:val="004061AC"/>
  </w:style>
  <w:style w:customStyle="1" w:styleId="CharCharCharCharCharChar1CharCharChar" w:type="paragraph">
    <w:name w:val="Char Char Char Char Char Char1 Char Char Char"/>
    <w:basedOn w:val="a"/>
    <w:uiPriority w:val="99"/>
    <w:rsid w:val="004061AC"/>
    <w:pPr>
      <w:autoSpaceDE w:val="0"/>
      <w:autoSpaceDN w:val="0"/>
      <w:adjustRightInd w:val="0"/>
      <w:jc w:val="left"/>
      <w:textAlignment w:val="baseline"/>
    </w:pPr>
    <w:rPr>
      <w:rFonts w:ascii="宋体" w:cs="宋体"/>
      <w:kern w:val="0"/>
      <w:sz w:val="34"/>
      <w:szCs w:val="34"/>
    </w:rPr>
  </w:style>
  <w:style w:customStyle="1" w:styleId="CharCharCharCharCharChar1CharCharChar2" w:type="paragraph">
    <w:name w:val="Char Char Char Char Char Char1 Char Char Char2"/>
    <w:basedOn w:val="a"/>
    <w:uiPriority w:val="99"/>
    <w:rsid w:val="004061AC"/>
    <w:pPr>
      <w:autoSpaceDE w:val="0"/>
      <w:autoSpaceDN w:val="0"/>
      <w:adjustRightInd w:val="0"/>
      <w:jc w:val="left"/>
      <w:textAlignment w:val="baseline"/>
    </w:pPr>
    <w:rPr>
      <w:rFonts w:ascii="宋体" w:cs="宋体"/>
      <w:kern w:val="0"/>
      <w:sz w:val="34"/>
      <w:szCs w:val="34"/>
    </w:rPr>
  </w:style>
  <w:style w:styleId="af8" w:type="paragraph">
    <w:name w:val="Title"/>
    <w:basedOn w:val="a"/>
    <w:next w:val="a"/>
    <w:link w:val="Charb"/>
    <w:uiPriority w:val="99"/>
    <w:qFormat/>
    <w:rsid w:val="004061AC"/>
    <w:pPr>
      <w:spacing w:after="60" w:before="240"/>
      <w:jc w:val="center"/>
      <w:outlineLvl w:val="0"/>
    </w:pPr>
    <w:rPr>
      <w:rFonts w:ascii="Cambria" w:hAnsi="Cambria"/>
      <w:b/>
      <w:bCs/>
      <w:kern w:val="0"/>
      <w:sz w:val="32"/>
      <w:szCs w:val="32"/>
    </w:rPr>
  </w:style>
  <w:style w:customStyle="1" w:styleId="Charb" w:type="character">
    <w:name w:val="标题 Char"/>
    <w:link w:val="af8"/>
    <w:uiPriority w:val="99"/>
    <w:locked/>
    <w:rsid w:val="004061AC"/>
    <w:rPr>
      <w:rFonts w:ascii="Cambria" w:cs="Cambria" w:eastAsia="宋体" w:hAnsi="Cambria"/>
      <w:b/>
      <w:bCs/>
      <w:sz w:val="32"/>
      <w:szCs w:val="32"/>
    </w:rPr>
  </w:style>
  <w:style w:customStyle="1" w:styleId="CharCharCharCharCharChar1CharCharChar1" w:type="paragraph">
    <w:name w:val="Char Char Char Char Char Char1 Char Char Char1"/>
    <w:basedOn w:val="a"/>
    <w:uiPriority w:val="99"/>
    <w:rsid w:val="004061AC"/>
    <w:pPr>
      <w:autoSpaceDE w:val="0"/>
      <w:autoSpaceDN w:val="0"/>
      <w:adjustRightInd w:val="0"/>
      <w:jc w:val="left"/>
      <w:textAlignment w:val="baseline"/>
    </w:pPr>
    <w:rPr>
      <w:rFonts w:ascii="宋体" w:cs="宋体"/>
      <w:kern w:val="0"/>
      <w:sz w:val="34"/>
      <w:szCs w:val="34"/>
    </w:rPr>
  </w:style>
  <w:style w:styleId="af9" w:type="paragraph">
    <w:name w:val="No Spacing"/>
    <w:link w:val="Charc"/>
    <w:uiPriority w:val="99"/>
    <w:qFormat/>
    <w:rsid w:val="004061AC"/>
    <w:rPr>
      <w:rFonts w:cs="Calibri"/>
      <w:sz w:val="22"/>
      <w:szCs w:val="22"/>
    </w:rPr>
  </w:style>
  <w:style w:customStyle="1" w:styleId="Charc" w:type="character">
    <w:name w:val="无间隔 Char"/>
    <w:link w:val="af9"/>
    <w:uiPriority w:val="99"/>
    <w:locked/>
    <w:rsid w:val="004061AC"/>
    <w:rPr>
      <w:rFonts w:cs="Calibri"/>
      <w:sz w:val="22"/>
      <w:szCs w:val="22"/>
      <w:lang w:bidi="ar-SA" w:eastAsia="zh-CN" w:val="en-US"/>
    </w:rPr>
  </w:style>
  <w:style w:customStyle="1" w:styleId="t1" w:type="character">
    <w:name w:val="t1"/>
    <w:uiPriority w:val="99"/>
    <w:rsid w:val="004061AC"/>
    <w:rPr>
      <w:rFonts w:cs="Times New Roman"/>
      <w:color w:val="auto"/>
    </w:rPr>
  </w:style>
  <w:style w:styleId="afa" w:type="paragraph">
    <w:name w:val="List Paragraph"/>
    <w:basedOn w:val="a"/>
    <w:uiPriority w:val="99"/>
    <w:qFormat/>
    <w:rsid w:val="00154BE1"/>
    <w:pPr>
      <w:ind w:firstLine="420" w:firstLineChars="200"/>
    </w:pPr>
  </w:style>
  <w:style w:customStyle="1" w:styleId="Default" w:type="paragraph">
    <w:name w:val="Default"/>
    <w:uiPriority w:val="99"/>
    <w:rsid w:val="00275745"/>
    <w:pPr>
      <w:widowControl w:val="0"/>
      <w:autoSpaceDE w:val="0"/>
      <w:autoSpaceDN w:val="0"/>
      <w:adjustRightInd w:val="0"/>
    </w:pPr>
    <w:rPr>
      <w:rFonts w:ascii="FangSong" w:cs="FangSong" w:hAnsi="FangSong"/>
      <w:color w:val="000000"/>
      <w:sz w:val="24"/>
      <w:szCs w:val="24"/>
    </w:rPr>
  </w:style>
  <w:style w:styleId="afb" w:type="character">
    <w:name w:val="Strong"/>
    <w:uiPriority w:val="22"/>
    <w:qFormat/>
    <w:locked/>
    <w:rsid w:val="00D8746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98932">
      <w:bodyDiv w:val="1"/>
      <w:marLeft w:val="0"/>
      <w:marRight w:val="0"/>
      <w:marTop w:val="0"/>
      <w:marBottom w:val="0"/>
      <w:divBdr>
        <w:top w:val="none" w:sz="0" w:space="0" w:color="auto"/>
        <w:left w:val="none" w:sz="0" w:space="0" w:color="auto"/>
        <w:bottom w:val="none" w:sz="0" w:space="0" w:color="auto"/>
        <w:right w:val="none" w:sz="0" w:space="0" w:color="auto"/>
      </w:divBdr>
    </w:div>
    <w:div w:id="105783393">
      <w:bodyDiv w:val="1"/>
      <w:marLeft w:val="0"/>
      <w:marRight w:val="0"/>
      <w:marTop w:val="0"/>
      <w:marBottom w:val="0"/>
      <w:divBdr>
        <w:top w:val="none" w:sz="0" w:space="0" w:color="auto"/>
        <w:left w:val="none" w:sz="0" w:space="0" w:color="auto"/>
        <w:bottom w:val="none" w:sz="0" w:space="0" w:color="auto"/>
        <w:right w:val="none" w:sz="0" w:space="0" w:color="auto"/>
      </w:divBdr>
    </w:div>
    <w:div w:id="1494878767">
      <w:marLeft w:val="0"/>
      <w:marRight w:val="0"/>
      <w:marTop w:val="0"/>
      <w:marBottom w:val="0"/>
      <w:divBdr>
        <w:top w:val="none" w:sz="0" w:space="0" w:color="auto"/>
        <w:left w:val="none" w:sz="0" w:space="0" w:color="auto"/>
        <w:bottom w:val="none" w:sz="0" w:space="0" w:color="auto"/>
        <w:right w:val="none" w:sz="0" w:space="0" w:color="auto"/>
      </w:divBdr>
    </w:div>
    <w:div w:id="1494878768">
      <w:marLeft w:val="0"/>
      <w:marRight w:val="0"/>
      <w:marTop w:val="0"/>
      <w:marBottom w:val="0"/>
      <w:divBdr>
        <w:top w:val="none" w:sz="0" w:space="0" w:color="auto"/>
        <w:left w:val="none" w:sz="0" w:space="0" w:color="auto"/>
        <w:bottom w:val="none" w:sz="0" w:space="0" w:color="auto"/>
        <w:right w:val="none" w:sz="0" w:space="0" w:color="auto"/>
      </w:divBdr>
    </w:div>
    <w:div w:id="1830948889">
      <w:bodyDiv w:val="1"/>
      <w:marLeft w:val="0"/>
      <w:marRight w:val="0"/>
      <w:marTop w:val="0"/>
      <w:marBottom w:val="0"/>
      <w:divBdr>
        <w:top w:val="none" w:sz="0" w:space="0" w:color="auto"/>
        <w:left w:val="none" w:sz="0" w:space="0" w:color="auto"/>
        <w:bottom w:val="none" w:sz="0" w:space="0" w:color="auto"/>
        <w:right w:val="none" w:sz="0" w:space="0" w:color="auto"/>
      </w:divBdr>
    </w:div>
    <w:div w:id="2017924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10" Target="footer1.xml" Type="http://schemas.openxmlformats.org/officeDocument/2006/relationships/footer"/>
<Relationship Id="rId11" Target="media/image1.jpeg" Type="http://schemas.openxmlformats.org/officeDocument/2006/relationships/image"/>
<Relationship Id="rId12" Target="footer2.xml" Type="http://schemas.openxmlformats.org/officeDocument/2006/relationships/footer"/>
<Relationship Id="rId13" Target="fontTable.xml" Type="http://schemas.openxmlformats.org/officeDocument/2006/relationships/fontTable"/>
<Relationship Id="rId14"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tylesWithEffects.xml" Type="http://schemas.microsoft.com/office/2007/relationships/stylesWithEffects"/>
<Relationship Id="rId5" Target="settings.xml" Type="http://schemas.openxmlformats.org/officeDocument/2006/relationships/settings"/>
<Relationship Id="rId6" Target="webSettings.xml" Type="http://schemas.openxmlformats.org/officeDocument/2006/relationships/webSettings"/>
<Relationship Id="rId7" Target="footnotes.xml" Type="http://schemas.openxmlformats.org/officeDocument/2006/relationships/footnotes"/>
<Relationship Id="rId8" Target="endnotes.xml" Type="http://schemas.openxmlformats.org/officeDocument/2006/relationships/endnotes"/>
<Relationship Id="rId9" Target="header1.xml" Type="http://schemas.openxmlformats.org/officeDocument/2006/relationships/header"/>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6385AF-767C-48D7-B7B5-A5BAB9648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1799</TotalTime>
  <Pages>27</Pages>
  <Words>3847</Words>
  <Characters>21932</Characters>
  <Application>Microsoft Office Word</Application>
  <DocSecurity>0</DocSecurity>
  <Lines>182</Lines>
  <Paragraphs>51</Paragraphs>
  <ScaleCrop>false</ScaleCrop>
  <Company/>
  <LinksUpToDate>false</LinksUpToDate>
  <CharactersWithSpaces>25728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2012-10-16T06:07:00Z</dcterms:created>
  <cp:lastModifiedBy>sirong han</cp:lastModifiedBy>
  <dcterms:modified xsi:type="dcterms:W3CDTF">2020-07-09T03:00:00Z</dcterms:modified>
  <cp:revision>343</cp:revision>
</cp:coreProperties>
</file>