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易方达沪深300医药卫生交易型开放式指数证券投资基金联接基金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中国建设银行股份有限公司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易方达沪深300医药ETF联接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001344</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2017年11月22日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201,030,110.77</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沪深300医药卫生ETF（以下简称“目标ETF”）的联接基金，目标ETF是主要采用完全复制法实现对沪深300医药卫生指数紧密跟踪的全被动指数基金，本基金主要通过投资于目标ETF实现对业绩比较基准的紧密跟踪，力争将年化跟踪误差控制在4%以内。本基金将在综合考虑合规、风险、效率、成本等因素的基础上，决定采用申购、赎回的方式或证券二级市场交易的方式进行目标ETF的投资。本基金还可适度参与目标ETF基金份额交易和申购、赎回之间的套利，以增强基金收益。本基金可以投资股指期货和其他经中国证监会允许的衍生金融产品，如期权、权证以及其他与标的指数或标的指数成份股、备选成份股相关的衍生工具，但必须根据风险管理的原则，以套期保值为目的。</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沪深300医药卫生指数收益率×95%+活期存款利率(税后) ×5%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本基金是ETF联接基金，理论上其风险收益水平高于混合型基金、债券基金和货币市场基金。本基金主要通过投资于沪深300医药卫生ETF实现对业绩比较基准的紧密跟踪，具有与业绩比较基准相似的风险收益特征。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中国建设银行股份有限公司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易方达沪深300医药ETF联接A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易方达沪深300医药ETF联接C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001344</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007883</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129,916,185.59</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71,113,925.18</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注：自2019年8月20日起，本基金增设C类份额类别，份额首次确认日为2019年8月21日。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易方达沪深300医药卫生交易型开放式指数证券投资基金 </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512010 </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2013年9月23日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上海证券交易所 </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2013年10月28日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中国建设银行股份有限公司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沪深300医药卫生指数 </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易方达沪深300医药ETF联接A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易方达沪深300医药ETF联接C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8,217,176.46</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3,413,781.68</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43,742,927.31</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18,778,683.53</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0.3177</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0.3314</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197,605,964.14</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108,051,609.94</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1.5210</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1.5194</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易方达沪深300医药ETF联接A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26.68%</w:t>
            </w:r>
          </w:p>
        </w:tc>
        <w:tc>
          <w:tcPr>
            <w:vAlign w:val="center"/>
          </w:tcPr>
          <w:p>
            <w:pPr>
              <w:jc w:val="right"/>
            </w:pPr>
            <w:r>
              <w:rPr>
                <w:rFonts w:eastAsiaTheme="minorEastAsia"/>
                <w:color w:themeColor="text1" w:val="000000"/>
                <w:sz w:val="24"/>
              </w:rPr>
              <w:t>1.33%</w:t>
            </w:r>
          </w:p>
        </w:tc>
        <w:tc>
          <w:tcPr>
            <w:vAlign w:val="center"/>
          </w:tcPr>
          <w:p>
            <w:pPr>
              <w:jc w:val="right"/>
            </w:pPr>
            <w:r>
              <w:rPr>
                <w:rFonts w:eastAsiaTheme="minorEastAsia"/>
                <w:color w:themeColor="text1" w:val="000000"/>
                <w:sz w:val="24"/>
              </w:rPr>
              <w:t>26.88%</w:t>
            </w:r>
          </w:p>
        </w:tc>
        <w:tc>
          <w:tcPr>
            <w:vAlign w:val="center"/>
          </w:tcPr>
          <w:p>
            <w:pPr>
              <w:jc w:val="right"/>
            </w:pPr>
            <w:r>
              <w:rPr>
                <w:rFonts w:eastAsiaTheme="minorEastAsia"/>
                <w:color w:themeColor="text1" w:val="000000"/>
                <w:sz w:val="24"/>
              </w:rPr>
              <w:t>1.35%</w:t>
            </w:r>
          </w:p>
        </w:tc>
        <w:tc>
          <w:tcPr>
            <w:vAlign w:val="center"/>
          </w:tcPr>
          <w:p>
            <w:pPr>
              <w:jc w:val="right"/>
            </w:pPr>
            <w:r>
              <w:rPr>
                <w:rFonts w:eastAsiaTheme="minorEastAsia"/>
                <w:color w:themeColor="text1" w:val="000000"/>
                <w:sz w:val="24"/>
              </w:rPr>
              <w:t>-0.20%</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30.93%</w:t>
            </w:r>
          </w:p>
        </w:tc>
        <w:tc>
          <w:tcPr>
            <w:vAlign w:val="center"/>
          </w:tcPr>
          <w:p>
            <w:pPr>
              <w:jc w:val="right"/>
            </w:pPr>
            <w:r>
              <w:rPr>
                <w:rFonts w:eastAsiaTheme="minorEastAsia"/>
                <w:color w:themeColor="text1" w:val="000000"/>
                <w:sz w:val="24"/>
              </w:rPr>
              <w:t>1.54%</w:t>
            </w:r>
          </w:p>
        </w:tc>
        <w:tc>
          <w:tcPr>
            <w:vAlign w:val="center"/>
          </w:tcPr>
          <w:p>
            <w:pPr>
              <w:jc w:val="right"/>
            </w:pPr>
            <w:r>
              <w:rPr>
                <w:rFonts w:eastAsiaTheme="minorEastAsia"/>
                <w:color w:themeColor="text1" w:val="000000"/>
                <w:sz w:val="24"/>
              </w:rPr>
              <w:t>30.70%</w:t>
            </w:r>
          </w:p>
        </w:tc>
        <w:tc>
          <w:tcPr>
            <w:vAlign w:val="center"/>
          </w:tcPr>
          <w:p>
            <w:pPr>
              <w:jc w:val="right"/>
            </w:pPr>
            <w:r>
              <w:rPr>
                <w:rFonts w:eastAsiaTheme="minorEastAsia"/>
                <w:color w:themeColor="text1" w:val="000000"/>
                <w:sz w:val="24"/>
              </w:rPr>
              <w:t>1.58%</w:t>
            </w:r>
          </w:p>
        </w:tc>
        <w:tc>
          <w:tcPr>
            <w:vAlign w:val="center"/>
          </w:tcPr>
          <w:p>
            <w:pPr>
              <w:jc w:val="right"/>
            </w:pPr>
            <w:r>
              <w:rPr>
                <w:rFonts w:eastAsiaTheme="minorEastAsia"/>
                <w:color w:themeColor="text1" w:val="000000"/>
                <w:sz w:val="24"/>
              </w:rPr>
              <w:t>0.23%</w:t>
            </w:r>
          </w:p>
        </w:tc>
        <w:tc>
          <w:tcPr>
            <w:vAlign w:val="center"/>
          </w:tcPr>
          <w:p>
            <w:pPr>
              <w:jc w:val="right"/>
            </w:pPr>
            <w:r>
              <w:rPr>
                <w:rFonts w:eastAsiaTheme="minorEastAsia"/>
                <w:color w:themeColor="text1" w:val="000000"/>
                <w:sz w:val="24"/>
              </w:rPr>
              <w:t>-0.04%</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50.50%</w:t>
            </w:r>
          </w:p>
        </w:tc>
        <w:tc>
          <w:tcPr>
            <w:vAlign w:val="center"/>
          </w:tcPr>
          <w:p>
            <w:pPr>
              <w:jc w:val="right"/>
            </w:pPr>
            <w:r>
              <w:rPr>
                <w:rFonts w:eastAsiaTheme="minorEastAsia"/>
                <w:color w:themeColor="text1" w:val="000000"/>
                <w:sz w:val="24"/>
              </w:rPr>
              <w:t>1.33%</w:t>
            </w:r>
          </w:p>
        </w:tc>
        <w:tc>
          <w:tcPr>
            <w:vAlign w:val="center"/>
          </w:tcPr>
          <w:p>
            <w:pPr>
              <w:jc w:val="right"/>
            </w:pPr>
            <w:r>
              <w:rPr>
                <w:rFonts w:eastAsiaTheme="minorEastAsia"/>
                <w:color w:themeColor="text1" w:val="000000"/>
                <w:sz w:val="24"/>
              </w:rPr>
              <w:t>49.29%</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1.21%</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52.10%</w:t>
            </w:r>
          </w:p>
        </w:tc>
        <w:tc>
          <w:tcPr>
            <w:vAlign w:val="center"/>
          </w:tcPr>
          <w:p>
            <w:pPr>
              <w:jc w:val="right"/>
            </w:pPr>
            <w:r>
              <w:rPr>
                <w:rFonts w:eastAsiaTheme="minorEastAsia"/>
                <w:color w:themeColor="text1" w:val="000000"/>
                <w:sz w:val="24"/>
              </w:rPr>
              <w:t>1.53%</w:t>
            </w:r>
          </w:p>
        </w:tc>
        <w:tc>
          <w:tcPr>
            <w:vAlign w:val="center"/>
          </w:tcPr>
          <w:p>
            <w:pPr>
              <w:jc w:val="right"/>
            </w:pPr>
            <w:r>
              <w:rPr>
                <w:rFonts w:eastAsiaTheme="minorEastAsia"/>
                <w:color w:themeColor="text1" w:val="000000"/>
                <w:sz w:val="24"/>
              </w:rPr>
              <w:t>38.03%</w:t>
            </w:r>
          </w:p>
        </w:tc>
        <w:tc>
          <w:tcPr>
            <w:vAlign w:val="center"/>
          </w:tcPr>
          <w:p>
            <w:pPr>
              <w:jc w:val="right"/>
            </w:pPr>
            <w:r>
              <w:rPr>
                <w:rFonts w:eastAsiaTheme="minorEastAsia"/>
                <w:color w:themeColor="text1" w:val="000000"/>
                <w:sz w:val="24"/>
              </w:rPr>
              <w:t>1.58%</w:t>
            </w:r>
          </w:p>
        </w:tc>
        <w:tc>
          <w:tcPr>
            <w:vAlign w:val="center"/>
          </w:tcPr>
          <w:p>
            <w:pPr>
              <w:jc w:val="right"/>
            </w:pPr>
            <w:r>
              <w:rPr>
                <w:rFonts w:eastAsiaTheme="minorEastAsia"/>
                <w:color w:themeColor="text1" w:val="000000"/>
                <w:sz w:val="24"/>
              </w:rPr>
              <w:t>14.07%</w:t>
            </w:r>
          </w:p>
        </w:tc>
        <w:tc>
          <w:tcPr>
            <w:vAlign w:val="center"/>
          </w:tcPr>
          <w:p>
            <w:pPr>
              <w:jc w:val="right"/>
            </w:pPr>
            <w:r>
              <w:rPr>
                <w:rFonts w:eastAsiaTheme="minorEastAsia"/>
                <w:color w:themeColor="text1" w:val="000000"/>
                <w:sz w:val="24"/>
              </w:rPr>
              <w:t>-0.05%</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易方达沪深300医药ETF联接C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26.64%</w:t>
            </w:r>
          </w:p>
        </w:tc>
        <w:tc>
          <w:tcPr>
            <w:vAlign w:val="center"/>
          </w:tcPr>
          <w:p>
            <w:pPr>
              <w:jc w:val="right"/>
            </w:pPr>
            <w:r>
              <w:rPr>
                <w:rFonts w:eastAsiaTheme="minorEastAsia"/>
                <w:color w:themeColor="text1" w:val="000000"/>
                <w:sz w:val="24"/>
              </w:rPr>
              <w:t>1.33%</w:t>
            </w:r>
          </w:p>
        </w:tc>
        <w:tc>
          <w:tcPr>
            <w:vAlign w:val="center"/>
          </w:tcPr>
          <w:p>
            <w:pPr>
              <w:jc w:val="right"/>
            </w:pPr>
            <w:r>
              <w:rPr>
                <w:rFonts w:eastAsiaTheme="minorEastAsia"/>
                <w:color w:themeColor="text1" w:val="000000"/>
                <w:sz w:val="24"/>
              </w:rPr>
              <w:t>26.88%</w:t>
            </w:r>
          </w:p>
        </w:tc>
        <w:tc>
          <w:tcPr>
            <w:vAlign w:val="center"/>
          </w:tcPr>
          <w:p>
            <w:pPr>
              <w:jc w:val="right"/>
            </w:pPr>
            <w:r>
              <w:rPr>
                <w:rFonts w:eastAsiaTheme="minorEastAsia"/>
                <w:color w:themeColor="text1" w:val="000000"/>
                <w:sz w:val="24"/>
              </w:rPr>
              <w:t>1.35%</w:t>
            </w:r>
          </w:p>
        </w:tc>
        <w:tc>
          <w:tcPr>
            <w:vAlign w:val="center"/>
          </w:tcPr>
          <w:p>
            <w:pPr>
              <w:jc w:val="right"/>
            </w:pPr>
            <w:r>
              <w:rPr>
                <w:rFonts w:eastAsiaTheme="minorEastAsia"/>
                <w:color w:themeColor="text1" w:val="000000"/>
                <w:sz w:val="24"/>
              </w:rPr>
              <w:t>-0.24%</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30.86%</w:t>
            </w:r>
          </w:p>
        </w:tc>
        <w:tc>
          <w:tcPr>
            <w:vAlign w:val="center"/>
          </w:tcPr>
          <w:p>
            <w:pPr>
              <w:jc w:val="right"/>
            </w:pPr>
            <w:r>
              <w:rPr>
                <w:rFonts w:eastAsiaTheme="minorEastAsia"/>
                <w:color w:themeColor="text1" w:val="000000"/>
                <w:sz w:val="24"/>
              </w:rPr>
              <w:t>1.54%</w:t>
            </w:r>
          </w:p>
        </w:tc>
        <w:tc>
          <w:tcPr>
            <w:vAlign w:val="center"/>
          </w:tcPr>
          <w:p>
            <w:pPr>
              <w:jc w:val="right"/>
            </w:pPr>
            <w:r>
              <w:rPr>
                <w:rFonts w:eastAsiaTheme="minorEastAsia"/>
                <w:color w:themeColor="text1" w:val="000000"/>
                <w:sz w:val="24"/>
              </w:rPr>
              <w:t>30.70%</w:t>
            </w:r>
          </w:p>
        </w:tc>
        <w:tc>
          <w:tcPr>
            <w:vAlign w:val="center"/>
          </w:tcPr>
          <w:p>
            <w:pPr>
              <w:jc w:val="right"/>
            </w:pPr>
            <w:r>
              <w:rPr>
                <w:rFonts w:eastAsiaTheme="minorEastAsia"/>
                <w:color w:themeColor="text1" w:val="000000"/>
                <w:sz w:val="24"/>
              </w:rPr>
              <w:t>1.58%</w:t>
            </w:r>
          </w:p>
        </w:tc>
        <w:tc>
          <w:tcPr>
            <w:vAlign w:val="center"/>
          </w:tcPr>
          <w:p>
            <w:pPr>
              <w:jc w:val="right"/>
            </w:pPr>
            <w:r>
              <w:rPr>
                <w:rFonts w:eastAsiaTheme="minorEastAsia"/>
                <w:color w:themeColor="text1" w:val="000000"/>
                <w:sz w:val="24"/>
              </w:rPr>
              <w:t>0.16%</w:t>
            </w:r>
          </w:p>
        </w:tc>
        <w:tc>
          <w:tcPr>
            <w:vAlign w:val="center"/>
          </w:tcPr>
          <w:p>
            <w:pPr>
              <w:jc w:val="right"/>
            </w:pPr>
            <w:r>
              <w:rPr>
                <w:rFonts w:eastAsiaTheme="minorEastAsia"/>
                <w:color w:themeColor="text1" w:val="000000"/>
                <w:sz w:val="24"/>
              </w:rPr>
              <w:t>-0.04%</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44.97%</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44.66%</w:t>
            </w:r>
          </w:p>
        </w:tc>
        <w:tc>
          <w:tcPr>
            <w:vAlign w:val="center"/>
          </w:tcPr>
          <w:p>
            <w:pPr>
              <w:jc w:val="right"/>
            </w:pPr>
            <w:r>
              <w:rPr>
                <w:rFonts w:eastAsiaTheme="minorEastAsia"/>
                <w:color w:themeColor="text1" w:val="000000"/>
                <w:sz w:val="24"/>
              </w:rPr>
              <w:t>1.40%</w:t>
            </w:r>
          </w:p>
        </w:tc>
        <w:tc>
          <w:tcPr>
            <w:vAlign w:val="center"/>
          </w:tcPr>
          <w:p>
            <w:pPr>
              <w:jc w:val="right"/>
            </w:pPr>
            <w:r>
              <w:rPr>
                <w:rFonts w:eastAsiaTheme="minorEastAsia"/>
                <w:color w:themeColor="text1" w:val="000000"/>
                <w:sz w:val="24"/>
              </w:rPr>
              <w:t>0.31%</w:t>
            </w:r>
          </w:p>
        </w:tc>
        <w:tc>
          <w:tcPr>
            <w:vAlign w:val="center"/>
          </w:tcPr>
          <w:p>
            <w:pPr>
              <w:jc w:val="right"/>
            </w:pPr>
            <w:r>
              <w:rPr>
                <w:rFonts w:eastAsiaTheme="minorEastAsia"/>
                <w:color w:themeColor="text1" w:val="000000"/>
                <w:sz w:val="24"/>
              </w:rPr>
              <w:t>-0.03%</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易方达沪深300医药卫生交易型开放式指数证券投资基金联接基金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易方达沪深300医药ETF联接A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（2017年11月22日至2020年6月30日）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易方达沪深300医药ETF联接C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（2019年8月21日至2020年6月30日）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注：1.自2019年8月20日起，本基金增设C类份额类别，份额首次确认日为2019年8月21日，增设当期的相关数据和指标按实际存续期计算。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 xml:space="preserve">2.自基金合同生效至报告期末，A类基金份额净值增长率为52.10%，同期业绩比较基准收益率为38.03%。C类基金份额净值增长率为44.97%，同期业绩比较基准收益率为44.66%。 </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黄金交易型开放式证券投资基金的基金经理、易方达黄金交易型开放式证券投资基金联接基金的基金经理、易方达恒生中国企业交易型开放式指数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2017-11-22</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沪深300医药指数上涨28.43%。</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沪深300医药卫生ETF的联接基金，主要投资于沪深300医药卫生ETF。报告期内本基金为正常运作期，在操作中，我们严格遵守基金合同，依据基金申购赎回变动的情况进行日常操作，控制跟踪误差和跟踪偏离度在较低水平上。</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1.5210元，本报告期份额净值增长率为26.68%，同期业绩比较基准收益率为26.88%；C类基金份额净值为1.5194元，本报告期份额净值增长率为26.64%，同期业绩比较基准收益率为26.88%。</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报告期内本基金日跟踪偏离度的均值为0.03%，年化跟踪误差为0.844%，各项指标均在合同规定的目标控制范围之内。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289,562,546.81</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91.49</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16,801,037.63</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5.31</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10,132,357.59</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3.20</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316,495,942.03</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易方达沪深300医药卫生交易型开放式指数证券投资基金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289,562,546.81</w:t>
            </w:r>
          </w:p>
        </w:tc>
        <w:tc>
          <w:tcPr>
            <w:vAlign w:val="center"/>
          </w:tcPr>
          <w:p>
            <w:pPr>
              <w:jc w:val="right"/>
            </w:pPr>
            <w:r>
              <w:rPr>
                <w:rFonts w:eastAsiaTheme="minorEastAsia"/>
                <w:color w:themeColor="text1" w:val="000000"/>
                <w:sz w:val="24"/>
              </w:rPr>
              <w:t>94.73</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本基金本报告期末未持有境内股票。</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本基金本报告期末未持有股票。</w:t>
      </w:r>
    </w:p>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本基金本报告期末未持有股票，不存在投资的前十名股票超出基金合同规定的备选股票库情况。</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45,986.15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1,651,316.49</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3,266.84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7,637,774.28</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794,013.83</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10,132,357.59</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本基金本报告期末未持有股票。</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易方达沪深300医药ETF联接A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易方达沪深300医药ETF联接C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164,597,202.19</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58,332,513.38</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55,574,745.24</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61,449,343.02</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90,255,761.84</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48,667,931.22</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129,916,185.59</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71,113,925.18</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1.中国证监会准予易方达沪深300医药卫生交易型开放式指数证券投资基金联接基金注册的文件；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2.《易方达沪深300医药卫生交易型开放式指数证券投资基金联接基金基金合同》；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3.《易方达沪深300医药卫生交易型开放式指数证券投资基金联接基金托管协议》；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易方达沪深300医药卫生交易型开放式指数证券投资基金联接基金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