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易方达新享灵活配置混合型证券投资基金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浙商银行股份有限公司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基金托管人浙商银行股份有限公司根据本基金合同规定，于2020年7月17日复核了本报告中的财务指标、净值表现和投资组合报告等内容，保证复核内容不存在虚假记载、误导性陈述或者重大遗漏。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易方达新享混合</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001342</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2015年5月29日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493,379,190.06</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本基金在控制风险的前提下，追求基金资产的稳健增值。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本基金通过定量与定性相结合的宏观及市场分析，确定组合中股票、债券、货币市场工具等资产类别的配置比例，严格遵守低估值的股票投资逻辑，以绝对收益为目标，力争获得稳健、持续的投资收益。</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一年期人民币定期存款利率（税后）+2%</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浙商银行股份有限公司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易方达新享混合A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易方达新享混合C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001342</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001343</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382,779,089.22</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110,600,100.84</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易方达新享混合A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易方达新享混合C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10,332,217.49</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1,500,206.53</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11,080,949.92</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1,245,577.68</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0.0350</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0.0195</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610,636,652.70</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132,078,173.80</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1.595</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1.194</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易方达新享混合A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2.21%</w:t>
            </w:r>
          </w:p>
        </w:tc>
        <w:tc>
          <w:tcPr>
            <w:vAlign w:val="center"/>
          </w:tcPr>
          <w:p>
            <w:pPr>
              <w:jc w:val="center"/>
            </w:pPr>
            <w:r>
              <w:rPr>
                <w:color w:val="000000"/>
                <w:sz w:val="24"/>
              </w:rPr>
              <w:t>0.16%</w:t>
            </w:r>
          </w:p>
        </w:tc>
        <w:tc>
          <w:tcPr>
            <w:vAlign w:val="center"/>
          </w:tcPr>
          <w:p>
            <w:pPr>
              <w:jc w:val="center"/>
            </w:pPr>
            <w:r>
              <w:rPr>
                <w:color w:val="000000"/>
                <w:sz w:val="24"/>
              </w:rPr>
              <w:t>0.88%</w:t>
            </w:r>
          </w:p>
        </w:tc>
        <w:tc>
          <w:tcPr>
            <w:vAlign w:val="center"/>
          </w:tcPr>
          <w:p>
            <w:pPr>
              <w:jc w:val="center"/>
            </w:pPr>
            <w:r>
              <w:rPr>
                <w:color w:val="000000"/>
                <w:sz w:val="24"/>
              </w:rPr>
              <w:t>0.01%</w:t>
            </w:r>
          </w:p>
        </w:tc>
        <w:tc>
          <w:tcPr>
            <w:vAlign w:val="center"/>
          </w:tcPr>
          <w:p>
            <w:pPr>
              <w:jc w:val="center"/>
            </w:pPr>
            <w:r>
              <w:rPr>
                <w:color w:val="000000"/>
                <w:sz w:val="24"/>
              </w:rPr>
              <w:t>1.33%</w:t>
            </w:r>
          </w:p>
        </w:tc>
        <w:tc>
          <w:tcPr>
            <w:vAlign w:val="center"/>
          </w:tcPr>
          <w:p>
            <w:pPr>
              <w:jc w:val="center"/>
            </w:pPr>
            <w:r>
              <w:rPr>
                <w:color w:val="000000"/>
                <w:sz w:val="24"/>
              </w:rPr>
              <w:t>0.15%</w:t>
            </w:r>
          </w:p>
        </w:tc>
      </w:tr>
      <w:tr>
        <w:tc>
          <w:tcPr>
            <w:vAlign w:val="center"/>
          </w:tcPr>
          <w:p>
            <w:pPr>
              <w:jc w:val="left"/>
            </w:pPr>
            <w:r>
              <w:rPr>
                <w:color w:val="000000"/>
                <w:sz w:val="24"/>
              </w:rPr>
              <w:t>过去六个月</w:t>
            </w:r>
          </w:p>
        </w:tc>
        <w:tc>
          <w:tcPr>
            <w:vAlign w:val="center"/>
          </w:tcPr>
          <w:p>
            <w:pPr>
              <w:jc w:val="center"/>
            </w:pPr>
            <w:r>
              <w:rPr>
                <w:color w:val="000000"/>
                <w:sz w:val="24"/>
              </w:rPr>
              <w:t>4.17%</w:t>
            </w:r>
          </w:p>
        </w:tc>
        <w:tc>
          <w:tcPr>
            <w:vAlign w:val="center"/>
          </w:tcPr>
          <w:p>
            <w:pPr>
              <w:jc w:val="center"/>
            </w:pPr>
            <w:r>
              <w:rPr>
                <w:color w:val="000000"/>
                <w:sz w:val="24"/>
              </w:rPr>
              <w:t>0.23%</w:t>
            </w:r>
          </w:p>
        </w:tc>
        <w:tc>
          <w:tcPr>
            <w:vAlign w:val="center"/>
          </w:tcPr>
          <w:p>
            <w:pPr>
              <w:jc w:val="center"/>
            </w:pPr>
            <w:r>
              <w:rPr>
                <w:color w:val="000000"/>
                <w:sz w:val="24"/>
              </w:rPr>
              <w:t>1.77%</w:t>
            </w:r>
          </w:p>
        </w:tc>
        <w:tc>
          <w:tcPr>
            <w:vAlign w:val="center"/>
          </w:tcPr>
          <w:p>
            <w:pPr>
              <w:jc w:val="center"/>
            </w:pPr>
            <w:r>
              <w:rPr>
                <w:color w:val="000000"/>
                <w:sz w:val="24"/>
              </w:rPr>
              <w:t>0.01%</w:t>
            </w:r>
          </w:p>
        </w:tc>
        <w:tc>
          <w:tcPr>
            <w:vAlign w:val="center"/>
          </w:tcPr>
          <w:p>
            <w:pPr>
              <w:jc w:val="center"/>
            </w:pPr>
            <w:r>
              <w:rPr>
                <w:color w:val="000000"/>
                <w:sz w:val="24"/>
              </w:rPr>
              <w:t>2.40%</w:t>
            </w:r>
          </w:p>
        </w:tc>
        <w:tc>
          <w:tcPr>
            <w:vAlign w:val="center"/>
          </w:tcPr>
          <w:p>
            <w:pPr>
              <w:jc w:val="center"/>
            </w:pPr>
            <w:r>
              <w:rPr>
                <w:color w:val="000000"/>
                <w:sz w:val="24"/>
              </w:rPr>
              <w:t>0.22%</w:t>
            </w:r>
          </w:p>
        </w:tc>
      </w:tr>
      <w:tr>
        <w:tc>
          <w:tcPr>
            <w:vAlign w:val="center"/>
          </w:tcPr>
          <w:p>
            <w:pPr>
              <w:jc w:val="left"/>
            </w:pPr>
            <w:r>
              <w:rPr>
                <w:color w:val="000000"/>
                <w:sz w:val="24"/>
              </w:rPr>
              <w:t>过去一年</w:t>
            </w:r>
          </w:p>
        </w:tc>
        <w:tc>
          <w:tcPr>
            <w:vAlign w:val="center"/>
          </w:tcPr>
          <w:p>
            <w:pPr>
              <w:jc w:val="center"/>
            </w:pPr>
            <w:r>
              <w:rPr>
                <w:color w:val="000000"/>
                <w:sz w:val="24"/>
              </w:rPr>
              <w:t>12.53%</w:t>
            </w:r>
          </w:p>
        </w:tc>
        <w:tc>
          <w:tcPr>
            <w:vAlign w:val="center"/>
          </w:tcPr>
          <w:p>
            <w:pPr>
              <w:jc w:val="center"/>
            </w:pPr>
            <w:r>
              <w:rPr>
                <w:color w:val="000000"/>
                <w:sz w:val="24"/>
              </w:rPr>
              <w:t>0.26%</w:t>
            </w:r>
          </w:p>
        </w:tc>
        <w:tc>
          <w:tcPr>
            <w:vAlign w:val="center"/>
          </w:tcPr>
          <w:p>
            <w:pPr>
              <w:jc w:val="center"/>
            </w:pPr>
            <w:r>
              <w:rPr>
                <w:color w:val="000000"/>
                <w:sz w:val="24"/>
              </w:rPr>
              <w:t>3.56%</w:t>
            </w:r>
          </w:p>
        </w:tc>
        <w:tc>
          <w:tcPr>
            <w:vAlign w:val="center"/>
          </w:tcPr>
          <w:p>
            <w:pPr>
              <w:jc w:val="center"/>
            </w:pPr>
            <w:r>
              <w:rPr>
                <w:color w:val="000000"/>
                <w:sz w:val="24"/>
              </w:rPr>
              <w:t>0.01%</w:t>
            </w:r>
          </w:p>
        </w:tc>
        <w:tc>
          <w:tcPr>
            <w:vAlign w:val="center"/>
          </w:tcPr>
          <w:p>
            <w:pPr>
              <w:jc w:val="center"/>
            </w:pPr>
            <w:r>
              <w:rPr>
                <w:color w:val="000000"/>
                <w:sz w:val="24"/>
              </w:rPr>
              <w:t>8.97%</w:t>
            </w:r>
          </w:p>
        </w:tc>
        <w:tc>
          <w:tcPr>
            <w:vAlign w:val="center"/>
          </w:tcPr>
          <w:p>
            <w:pPr>
              <w:jc w:val="center"/>
            </w:pPr>
            <w:r>
              <w:rPr>
                <w:color w:val="000000"/>
                <w:sz w:val="24"/>
              </w:rPr>
              <w:t>0.25%</w:t>
            </w:r>
          </w:p>
        </w:tc>
      </w:tr>
      <w:tr>
        <w:tc>
          <w:tcPr>
            <w:vAlign w:val="center"/>
          </w:tcPr>
          <w:p>
            <w:pPr>
              <w:jc w:val="left"/>
            </w:pPr>
            <w:r>
              <w:rPr>
                <w:color w:val="000000"/>
                <w:sz w:val="24"/>
              </w:rPr>
              <w:t>过去三年</w:t>
            </w:r>
          </w:p>
        </w:tc>
        <w:tc>
          <w:tcPr>
            <w:vAlign w:val="center"/>
          </w:tcPr>
          <w:p>
            <w:pPr>
              <w:jc w:val="center"/>
            </w:pPr>
            <w:r>
              <w:rPr>
                <w:color w:val="000000"/>
                <w:sz w:val="24"/>
              </w:rPr>
              <w:t>24.67%</w:t>
            </w:r>
          </w:p>
        </w:tc>
        <w:tc>
          <w:tcPr>
            <w:vAlign w:val="center"/>
          </w:tcPr>
          <w:p>
            <w:pPr>
              <w:jc w:val="center"/>
            </w:pPr>
            <w:r>
              <w:rPr>
                <w:color w:val="000000"/>
                <w:sz w:val="24"/>
              </w:rPr>
              <w:t>0.45%</w:t>
            </w:r>
          </w:p>
        </w:tc>
        <w:tc>
          <w:tcPr>
            <w:vAlign w:val="center"/>
          </w:tcPr>
          <w:p>
            <w:pPr>
              <w:jc w:val="center"/>
            </w:pPr>
            <w:r>
              <w:rPr>
                <w:color w:val="000000"/>
                <w:sz w:val="24"/>
              </w:rPr>
              <w:t>10.66%</w:t>
            </w:r>
          </w:p>
        </w:tc>
        <w:tc>
          <w:tcPr>
            <w:vAlign w:val="center"/>
          </w:tcPr>
          <w:p>
            <w:pPr>
              <w:jc w:val="center"/>
            </w:pPr>
            <w:r>
              <w:rPr>
                <w:color w:val="000000"/>
                <w:sz w:val="24"/>
              </w:rPr>
              <w:t>0.01%</w:t>
            </w:r>
          </w:p>
        </w:tc>
        <w:tc>
          <w:tcPr>
            <w:vAlign w:val="center"/>
          </w:tcPr>
          <w:p>
            <w:pPr>
              <w:jc w:val="center"/>
            </w:pPr>
            <w:r>
              <w:rPr>
                <w:color w:val="000000"/>
                <w:sz w:val="24"/>
              </w:rPr>
              <w:t>14.01%</w:t>
            </w:r>
          </w:p>
        </w:tc>
        <w:tc>
          <w:tcPr>
            <w:vAlign w:val="center"/>
          </w:tcPr>
          <w:p>
            <w:pPr>
              <w:jc w:val="center"/>
            </w:pPr>
            <w:r>
              <w:rPr>
                <w:color w:val="000000"/>
                <w:sz w:val="24"/>
              </w:rPr>
              <w:t>0.44%</w:t>
            </w:r>
          </w:p>
        </w:tc>
      </w:tr>
      <w:tr>
        <w:tc>
          <w:tcPr>
            <w:vAlign w:val="center"/>
          </w:tcPr>
          <w:p>
            <w:pPr>
              <w:jc w:val="left"/>
            </w:pPr>
            <w:r>
              <w:rPr>
                <w:color w:val="000000"/>
                <w:sz w:val="24"/>
              </w:rPr>
              <w:t>过去五年</w:t>
            </w:r>
          </w:p>
        </w:tc>
        <w:tc>
          <w:tcPr>
            <w:vAlign w:val="center"/>
          </w:tcPr>
          <w:p>
            <w:pPr>
              <w:jc w:val="center"/>
            </w:pPr>
            <w:r>
              <w:rPr>
                <w:color w:val="000000"/>
                <w:sz w:val="24"/>
              </w:rPr>
              <w:t>88.99%</w:t>
            </w:r>
          </w:p>
        </w:tc>
        <w:tc>
          <w:tcPr>
            <w:vAlign w:val="center"/>
          </w:tcPr>
          <w:p>
            <w:pPr>
              <w:jc w:val="center"/>
            </w:pPr>
            <w:r>
              <w:rPr>
                <w:color w:val="000000"/>
                <w:sz w:val="24"/>
              </w:rPr>
              <w:t>1.11%</w:t>
            </w:r>
          </w:p>
        </w:tc>
        <w:tc>
          <w:tcPr>
            <w:vAlign w:val="center"/>
          </w:tcPr>
          <w:p>
            <w:pPr>
              <w:jc w:val="center"/>
            </w:pPr>
            <w:r>
              <w:rPr>
                <w:color w:val="000000"/>
                <w:sz w:val="24"/>
              </w:rPr>
              <w:t>17.88%</w:t>
            </w:r>
          </w:p>
        </w:tc>
        <w:tc>
          <w:tcPr>
            <w:vAlign w:val="center"/>
          </w:tcPr>
          <w:p>
            <w:pPr>
              <w:jc w:val="center"/>
            </w:pPr>
            <w:r>
              <w:rPr>
                <w:color w:val="000000"/>
                <w:sz w:val="24"/>
              </w:rPr>
              <w:t>0.01%</w:t>
            </w:r>
          </w:p>
        </w:tc>
        <w:tc>
          <w:tcPr>
            <w:vAlign w:val="center"/>
          </w:tcPr>
          <w:p>
            <w:pPr>
              <w:jc w:val="center"/>
            </w:pPr>
            <w:r>
              <w:rPr>
                <w:color w:val="000000"/>
                <w:sz w:val="24"/>
              </w:rPr>
              <w:t>71.11%</w:t>
            </w:r>
          </w:p>
        </w:tc>
        <w:tc>
          <w:tcPr>
            <w:vAlign w:val="center"/>
          </w:tcPr>
          <w:p>
            <w:pPr>
              <w:jc w:val="center"/>
            </w:pPr>
            <w:r>
              <w:rPr>
                <w:color w:val="000000"/>
                <w:sz w:val="24"/>
              </w:rPr>
              <w:t>1.10%</w:t>
            </w:r>
          </w:p>
        </w:tc>
      </w:tr>
      <w:tr>
        <w:tc>
          <w:tcPr>
            <w:vAlign w:val="center"/>
          </w:tcPr>
          <w:p>
            <w:pPr>
              <w:jc w:val="left"/>
            </w:pPr>
            <w:r>
              <w:rPr>
                <w:color w:val="000000"/>
                <w:sz w:val="24"/>
              </w:rPr>
              <w:t>自基金合同生效起至今</w:t>
            </w:r>
          </w:p>
        </w:tc>
        <w:tc>
          <w:tcPr>
            <w:vAlign w:val="center"/>
          </w:tcPr>
          <w:p>
            <w:pPr>
              <w:jc w:val="center"/>
            </w:pPr>
            <w:r>
              <w:rPr>
                <w:color w:val="000000"/>
                <w:sz w:val="24"/>
              </w:rPr>
              <w:t>88.99%</w:t>
            </w:r>
          </w:p>
        </w:tc>
        <w:tc>
          <w:tcPr>
            <w:vAlign w:val="center"/>
          </w:tcPr>
          <w:p>
            <w:pPr>
              <w:jc w:val="center"/>
            </w:pPr>
            <w:r>
              <w:rPr>
                <w:color w:val="000000"/>
                <w:sz w:val="24"/>
              </w:rPr>
              <w:t>1.10%</w:t>
            </w:r>
          </w:p>
        </w:tc>
        <w:tc>
          <w:tcPr>
            <w:vAlign w:val="center"/>
          </w:tcPr>
          <w:p>
            <w:pPr>
              <w:jc w:val="center"/>
            </w:pPr>
            <w:r>
              <w:rPr>
                <w:color w:val="000000"/>
                <w:sz w:val="24"/>
              </w:rPr>
              <w:t>18.27%</w:t>
            </w:r>
          </w:p>
        </w:tc>
        <w:tc>
          <w:tcPr>
            <w:vAlign w:val="center"/>
          </w:tcPr>
          <w:p>
            <w:pPr>
              <w:jc w:val="center"/>
            </w:pPr>
            <w:r>
              <w:rPr>
                <w:color w:val="000000"/>
                <w:sz w:val="24"/>
              </w:rPr>
              <w:t>0.01%</w:t>
            </w:r>
          </w:p>
        </w:tc>
        <w:tc>
          <w:tcPr>
            <w:vAlign w:val="center"/>
          </w:tcPr>
          <w:p>
            <w:pPr>
              <w:jc w:val="center"/>
            </w:pPr>
            <w:r>
              <w:rPr>
                <w:color w:val="000000"/>
                <w:sz w:val="24"/>
              </w:rPr>
              <w:t>70.72%</w:t>
            </w:r>
          </w:p>
        </w:tc>
        <w:tc>
          <w:tcPr>
            <w:vAlign w:val="center"/>
          </w:tcPr>
          <w:p>
            <w:pPr>
              <w:jc w:val="center"/>
            </w:pPr>
            <w:r>
              <w:rPr>
                <w:color w:val="000000"/>
                <w:sz w:val="24"/>
              </w:rPr>
              <w:t>1.09%</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易方达新享混合C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2.13%</w:t>
            </w:r>
          </w:p>
        </w:tc>
        <w:tc>
          <w:tcPr>
            <w:vAlign w:val="center"/>
          </w:tcPr>
          <w:p>
            <w:pPr>
              <w:jc w:val="center"/>
            </w:pPr>
            <w:r>
              <w:rPr>
                <w:color w:val="000000"/>
                <w:sz w:val="24"/>
              </w:rPr>
              <w:t>0.16%</w:t>
            </w:r>
          </w:p>
        </w:tc>
        <w:tc>
          <w:tcPr>
            <w:vAlign w:val="center"/>
          </w:tcPr>
          <w:p>
            <w:pPr>
              <w:jc w:val="center"/>
            </w:pPr>
            <w:r>
              <w:rPr>
                <w:color w:val="000000"/>
                <w:sz w:val="24"/>
              </w:rPr>
              <w:t>0.88%</w:t>
            </w:r>
          </w:p>
        </w:tc>
        <w:tc>
          <w:tcPr>
            <w:vAlign w:val="center"/>
          </w:tcPr>
          <w:p>
            <w:pPr>
              <w:jc w:val="center"/>
            </w:pPr>
            <w:r>
              <w:rPr>
                <w:color w:val="000000"/>
                <w:sz w:val="24"/>
              </w:rPr>
              <w:t>0.01%</w:t>
            </w:r>
          </w:p>
        </w:tc>
        <w:tc>
          <w:tcPr>
            <w:vAlign w:val="center"/>
          </w:tcPr>
          <w:p>
            <w:pPr>
              <w:jc w:val="center"/>
            </w:pPr>
            <w:r>
              <w:rPr>
                <w:color w:val="000000"/>
                <w:sz w:val="24"/>
              </w:rPr>
              <w:t>1.25%</w:t>
            </w:r>
          </w:p>
        </w:tc>
        <w:tc>
          <w:tcPr>
            <w:vAlign w:val="center"/>
          </w:tcPr>
          <w:p>
            <w:pPr>
              <w:jc w:val="center"/>
            </w:pPr>
            <w:r>
              <w:rPr>
                <w:color w:val="000000"/>
                <w:sz w:val="24"/>
              </w:rPr>
              <w:t>0.15%</w:t>
            </w:r>
          </w:p>
        </w:tc>
      </w:tr>
      <w:tr>
        <w:tc>
          <w:tcPr>
            <w:vAlign w:val="center"/>
          </w:tcPr>
          <w:p>
            <w:pPr>
              <w:jc w:val="left"/>
            </w:pPr>
            <w:r>
              <w:rPr>
                <w:color w:val="000000"/>
                <w:sz w:val="24"/>
              </w:rPr>
              <w:t>过去六个月</w:t>
            </w:r>
          </w:p>
        </w:tc>
        <w:tc>
          <w:tcPr>
            <w:vAlign w:val="center"/>
          </w:tcPr>
          <w:p>
            <w:pPr>
              <w:jc w:val="center"/>
            </w:pPr>
            <w:r>
              <w:rPr>
                <w:color w:val="000000"/>
                <w:sz w:val="24"/>
              </w:rPr>
              <w:t>4.05%</w:t>
            </w:r>
          </w:p>
        </w:tc>
        <w:tc>
          <w:tcPr>
            <w:vAlign w:val="center"/>
          </w:tcPr>
          <w:p>
            <w:pPr>
              <w:jc w:val="center"/>
            </w:pPr>
            <w:r>
              <w:rPr>
                <w:color w:val="000000"/>
                <w:sz w:val="24"/>
              </w:rPr>
              <w:t>0.23%</w:t>
            </w:r>
          </w:p>
        </w:tc>
        <w:tc>
          <w:tcPr>
            <w:vAlign w:val="center"/>
          </w:tcPr>
          <w:p>
            <w:pPr>
              <w:jc w:val="center"/>
            </w:pPr>
            <w:r>
              <w:rPr>
                <w:color w:val="000000"/>
                <w:sz w:val="24"/>
              </w:rPr>
              <w:t>1.77%</w:t>
            </w:r>
          </w:p>
        </w:tc>
        <w:tc>
          <w:tcPr>
            <w:vAlign w:val="center"/>
          </w:tcPr>
          <w:p>
            <w:pPr>
              <w:jc w:val="center"/>
            </w:pPr>
            <w:r>
              <w:rPr>
                <w:color w:val="000000"/>
                <w:sz w:val="24"/>
              </w:rPr>
              <w:t>0.01%</w:t>
            </w:r>
          </w:p>
        </w:tc>
        <w:tc>
          <w:tcPr>
            <w:vAlign w:val="center"/>
          </w:tcPr>
          <w:p>
            <w:pPr>
              <w:jc w:val="center"/>
            </w:pPr>
            <w:r>
              <w:rPr>
                <w:color w:val="000000"/>
                <w:sz w:val="24"/>
              </w:rPr>
              <w:t>2.28%</w:t>
            </w:r>
          </w:p>
        </w:tc>
        <w:tc>
          <w:tcPr>
            <w:vAlign w:val="center"/>
          </w:tcPr>
          <w:p>
            <w:pPr>
              <w:jc w:val="center"/>
            </w:pPr>
            <w:r>
              <w:rPr>
                <w:color w:val="000000"/>
                <w:sz w:val="24"/>
              </w:rPr>
              <w:t>0.22%</w:t>
            </w:r>
          </w:p>
        </w:tc>
      </w:tr>
      <w:tr>
        <w:tc>
          <w:tcPr>
            <w:vAlign w:val="center"/>
          </w:tcPr>
          <w:p>
            <w:pPr>
              <w:jc w:val="left"/>
            </w:pPr>
            <w:r>
              <w:rPr>
                <w:color w:val="000000"/>
                <w:sz w:val="24"/>
              </w:rPr>
              <w:t>过去一年</w:t>
            </w:r>
          </w:p>
        </w:tc>
        <w:tc>
          <w:tcPr>
            <w:vAlign w:val="center"/>
          </w:tcPr>
          <w:p>
            <w:pPr>
              <w:jc w:val="center"/>
            </w:pPr>
            <w:r>
              <w:rPr>
                <w:color w:val="000000"/>
                <w:sz w:val="24"/>
              </w:rPr>
              <w:t>12.29%</w:t>
            </w:r>
          </w:p>
        </w:tc>
        <w:tc>
          <w:tcPr>
            <w:vAlign w:val="center"/>
          </w:tcPr>
          <w:p>
            <w:pPr>
              <w:jc w:val="center"/>
            </w:pPr>
            <w:r>
              <w:rPr>
                <w:color w:val="000000"/>
                <w:sz w:val="24"/>
              </w:rPr>
              <w:t>0.26%</w:t>
            </w:r>
          </w:p>
        </w:tc>
        <w:tc>
          <w:tcPr>
            <w:vAlign w:val="center"/>
          </w:tcPr>
          <w:p>
            <w:pPr>
              <w:jc w:val="center"/>
            </w:pPr>
            <w:r>
              <w:rPr>
                <w:color w:val="000000"/>
                <w:sz w:val="24"/>
              </w:rPr>
              <w:t>3.56%</w:t>
            </w:r>
          </w:p>
        </w:tc>
        <w:tc>
          <w:tcPr>
            <w:vAlign w:val="center"/>
          </w:tcPr>
          <w:p>
            <w:pPr>
              <w:jc w:val="center"/>
            </w:pPr>
            <w:r>
              <w:rPr>
                <w:color w:val="000000"/>
                <w:sz w:val="24"/>
              </w:rPr>
              <w:t>0.01%</w:t>
            </w:r>
          </w:p>
        </w:tc>
        <w:tc>
          <w:tcPr>
            <w:vAlign w:val="center"/>
          </w:tcPr>
          <w:p>
            <w:pPr>
              <w:jc w:val="center"/>
            </w:pPr>
            <w:r>
              <w:rPr>
                <w:color w:val="000000"/>
                <w:sz w:val="24"/>
              </w:rPr>
              <w:t>8.73%</w:t>
            </w:r>
          </w:p>
        </w:tc>
        <w:tc>
          <w:tcPr>
            <w:vAlign w:val="center"/>
          </w:tcPr>
          <w:p>
            <w:pPr>
              <w:jc w:val="center"/>
            </w:pPr>
            <w:r>
              <w:rPr>
                <w:color w:val="000000"/>
                <w:sz w:val="24"/>
              </w:rPr>
              <w:t>0.25%</w:t>
            </w:r>
          </w:p>
        </w:tc>
      </w:tr>
      <w:tr>
        <w:tc>
          <w:tcPr>
            <w:vAlign w:val="center"/>
          </w:tcPr>
          <w:p>
            <w:pPr>
              <w:jc w:val="left"/>
            </w:pPr>
            <w:r>
              <w:rPr>
                <w:color w:val="000000"/>
                <w:sz w:val="24"/>
              </w:rPr>
              <w:t>过去三年</w:t>
            </w:r>
          </w:p>
        </w:tc>
        <w:tc>
          <w:tcPr>
            <w:vAlign w:val="center"/>
          </w:tcPr>
          <w:p>
            <w:pPr>
              <w:jc w:val="center"/>
            </w:pPr>
            <w:r>
              <w:rPr>
                <w:color w:val="000000"/>
                <w:sz w:val="24"/>
              </w:rPr>
              <w:t>23.78%</w:t>
            </w:r>
          </w:p>
        </w:tc>
        <w:tc>
          <w:tcPr>
            <w:vAlign w:val="center"/>
          </w:tcPr>
          <w:p>
            <w:pPr>
              <w:jc w:val="center"/>
            </w:pPr>
            <w:r>
              <w:rPr>
                <w:color w:val="000000"/>
                <w:sz w:val="24"/>
              </w:rPr>
              <w:t>0.45%</w:t>
            </w:r>
          </w:p>
        </w:tc>
        <w:tc>
          <w:tcPr>
            <w:vAlign w:val="center"/>
          </w:tcPr>
          <w:p>
            <w:pPr>
              <w:jc w:val="center"/>
            </w:pPr>
            <w:r>
              <w:rPr>
                <w:color w:val="000000"/>
                <w:sz w:val="24"/>
              </w:rPr>
              <w:t>10.66%</w:t>
            </w:r>
          </w:p>
        </w:tc>
        <w:tc>
          <w:tcPr>
            <w:vAlign w:val="center"/>
          </w:tcPr>
          <w:p>
            <w:pPr>
              <w:jc w:val="center"/>
            </w:pPr>
            <w:r>
              <w:rPr>
                <w:color w:val="000000"/>
                <w:sz w:val="24"/>
              </w:rPr>
              <w:t>0.01%</w:t>
            </w:r>
          </w:p>
        </w:tc>
        <w:tc>
          <w:tcPr>
            <w:vAlign w:val="center"/>
          </w:tcPr>
          <w:p>
            <w:pPr>
              <w:jc w:val="center"/>
            </w:pPr>
            <w:r>
              <w:rPr>
                <w:color w:val="000000"/>
                <w:sz w:val="24"/>
              </w:rPr>
              <w:t>13.12%</w:t>
            </w:r>
          </w:p>
        </w:tc>
        <w:tc>
          <w:tcPr>
            <w:vAlign w:val="center"/>
          </w:tcPr>
          <w:p>
            <w:pPr>
              <w:jc w:val="center"/>
            </w:pPr>
            <w:r>
              <w:rPr>
                <w:color w:val="000000"/>
                <w:sz w:val="24"/>
              </w:rPr>
              <w:t>0.44%</w:t>
            </w:r>
          </w:p>
        </w:tc>
      </w:tr>
      <w:tr>
        <w:tc>
          <w:tcPr>
            <w:vAlign w:val="center"/>
          </w:tcPr>
          <w:p>
            <w:pPr>
              <w:jc w:val="left"/>
            </w:pPr>
            <w:r>
              <w:rPr>
                <w:color w:val="000000"/>
                <w:sz w:val="24"/>
              </w:rPr>
              <w:t>过去五年</w:t>
            </w:r>
          </w:p>
        </w:tc>
        <w:tc>
          <w:tcPr>
            <w:vAlign w:val="center"/>
          </w:tcPr>
          <w:p>
            <w:pPr>
              <w:jc w:val="center"/>
            </w:pPr>
            <w:r>
              <w:rPr>
                <w:color w:val="000000"/>
                <w:sz w:val="24"/>
              </w:rPr>
              <w:t>37.03%</w:t>
            </w:r>
          </w:p>
        </w:tc>
        <w:tc>
          <w:tcPr>
            <w:vAlign w:val="center"/>
          </w:tcPr>
          <w:p>
            <w:pPr>
              <w:jc w:val="center"/>
            </w:pPr>
            <w:r>
              <w:rPr>
                <w:color w:val="000000"/>
                <w:sz w:val="24"/>
              </w:rPr>
              <w:t>0.36%</w:t>
            </w:r>
          </w:p>
        </w:tc>
        <w:tc>
          <w:tcPr>
            <w:vAlign w:val="center"/>
          </w:tcPr>
          <w:p>
            <w:pPr>
              <w:jc w:val="center"/>
            </w:pPr>
            <w:r>
              <w:rPr>
                <w:color w:val="000000"/>
                <w:sz w:val="24"/>
              </w:rPr>
              <w:t>17.88%</w:t>
            </w:r>
          </w:p>
        </w:tc>
        <w:tc>
          <w:tcPr>
            <w:vAlign w:val="center"/>
          </w:tcPr>
          <w:p>
            <w:pPr>
              <w:jc w:val="center"/>
            </w:pPr>
            <w:r>
              <w:rPr>
                <w:color w:val="000000"/>
                <w:sz w:val="24"/>
              </w:rPr>
              <w:t>0.01%</w:t>
            </w:r>
          </w:p>
        </w:tc>
        <w:tc>
          <w:tcPr>
            <w:vAlign w:val="center"/>
          </w:tcPr>
          <w:p>
            <w:pPr>
              <w:jc w:val="center"/>
            </w:pPr>
            <w:r>
              <w:rPr>
                <w:color w:val="000000"/>
                <w:sz w:val="24"/>
              </w:rPr>
              <w:t>19.15%</w:t>
            </w:r>
          </w:p>
        </w:tc>
        <w:tc>
          <w:tcPr>
            <w:vAlign w:val="center"/>
          </w:tcPr>
          <w:p>
            <w:pPr>
              <w:jc w:val="center"/>
            </w:pPr>
            <w:r>
              <w:rPr>
                <w:color w:val="000000"/>
                <w:sz w:val="24"/>
              </w:rPr>
              <w:t>0.35%</w:t>
            </w:r>
          </w:p>
        </w:tc>
      </w:tr>
      <w:tr>
        <w:tc>
          <w:tcPr>
            <w:vAlign w:val="center"/>
          </w:tcPr>
          <w:p>
            <w:pPr>
              <w:jc w:val="left"/>
            </w:pPr>
            <w:r>
              <w:rPr>
                <w:color w:val="000000"/>
                <w:sz w:val="24"/>
              </w:rPr>
              <w:t>自基金合同生效起至今</w:t>
            </w:r>
          </w:p>
        </w:tc>
        <w:tc>
          <w:tcPr>
            <w:vAlign w:val="center"/>
          </w:tcPr>
          <w:p>
            <w:pPr>
              <w:jc w:val="center"/>
            </w:pPr>
            <w:r>
              <w:rPr>
                <w:color w:val="000000"/>
                <w:sz w:val="24"/>
              </w:rPr>
              <w:t>37.03%</w:t>
            </w:r>
          </w:p>
        </w:tc>
        <w:tc>
          <w:tcPr>
            <w:vAlign w:val="center"/>
          </w:tcPr>
          <w:p>
            <w:pPr>
              <w:jc w:val="center"/>
            </w:pPr>
            <w:r>
              <w:rPr>
                <w:color w:val="000000"/>
                <w:sz w:val="24"/>
              </w:rPr>
              <w:t>0.36%</w:t>
            </w:r>
          </w:p>
        </w:tc>
        <w:tc>
          <w:tcPr>
            <w:vAlign w:val="center"/>
          </w:tcPr>
          <w:p>
            <w:pPr>
              <w:jc w:val="center"/>
            </w:pPr>
            <w:r>
              <w:rPr>
                <w:color w:val="000000"/>
                <w:sz w:val="24"/>
              </w:rPr>
              <w:t>18.27%</w:t>
            </w:r>
          </w:p>
        </w:tc>
        <w:tc>
          <w:tcPr>
            <w:vAlign w:val="center"/>
          </w:tcPr>
          <w:p>
            <w:pPr>
              <w:jc w:val="center"/>
            </w:pPr>
            <w:r>
              <w:rPr>
                <w:color w:val="000000"/>
                <w:sz w:val="24"/>
              </w:rPr>
              <w:t>0.01%</w:t>
            </w:r>
          </w:p>
        </w:tc>
        <w:tc>
          <w:tcPr>
            <w:vAlign w:val="center"/>
          </w:tcPr>
          <w:p>
            <w:pPr>
              <w:jc w:val="center"/>
            </w:pPr>
            <w:r>
              <w:rPr>
                <w:color w:val="000000"/>
                <w:sz w:val="24"/>
              </w:rPr>
              <w:t>18.76%</w:t>
            </w:r>
          </w:p>
        </w:tc>
        <w:tc>
          <w:tcPr>
            <w:vAlign w:val="center"/>
          </w:tcPr>
          <w:p>
            <w:pPr>
              <w:jc w:val="center"/>
            </w:pPr>
            <w:r>
              <w:rPr>
                <w:color w:val="000000"/>
                <w:sz w:val="24"/>
              </w:rPr>
              <w:t>0.35%</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易方达新享灵活配置混合型证券投资基金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（2015年5月29日至2020年6月30日）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易方达新享混合A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易方达新享混合C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注：自基金合同生效至报告期末，A类基金份额净值增长率为88.99%，C类基金份额净值增长率为37.03%，同期业绩比较基准收益率为18.27%。</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韩阅川</w:t>
            </w:r>
          </w:p>
        </w:tc>
        <w:tc>
          <w:tcPr>
            <w:vAlign w:val="center"/>
          </w:tcPr>
          <w:p>
            <w:pPr>
              <w:jc w:val="left"/>
            </w:pPr>
            <w:r>
              <w:rPr>
                <w:color w:val="000000"/>
                <w:sz w:val="24"/>
              </w:rPr>
              <w:t>本基金的基金经理、易方达新鑫灵活配置混合型证券投资基金的基金经理、易方达瑞景灵活配置混合型证券投资基金的基金经理、易方达新利灵活配置混合型证券投资基金的基金经理、易方达瑞智灵活配置混合型证券投资基金的基金经理、易方达瑞兴灵活配置混合型证券投资基金的基金经理、易方达瑞祥灵活配置混合型证券投资基金的基金经理、易方达瑞选灵活配置混合型证券投资基金的基金经理、易方达新益灵活配置混合型证券投资基金的基金经理、易方达裕鑫债券型证券投资基金的基金经理、易方达瑞祺灵活配置混合型证券投资基金的基金经理、易方达鑫转招利混合型证券投资基金的基金经理、易方达鑫转添利混合型证券投资基金的基金经理、易方达瑞和灵活配置混合型证券投资基金的基金经理、易方达瑞信灵活配置混合型证券投资基金的基金经理、易方达瑞川灵活配置混合型发起式证券投资基金的基金经理、易方达丰惠混合型证券投资基金的基金经理、易方达新收益灵活配置混合型证券投资基金的基金经理助理</w:t>
            </w:r>
          </w:p>
        </w:tc>
        <w:tc>
          <w:tcPr>
            <w:vAlign w:val="center"/>
          </w:tcPr>
          <w:p>
            <w:pPr>
              <w:jc w:val="center"/>
            </w:pPr>
            <w:r>
              <w:rPr>
                <w:color w:val="000000"/>
                <w:sz w:val="24"/>
              </w:rPr>
              <w:t>2019-06-26</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组合在二季度均以自下而上策略为主，精选高分红、低估值、较高ROE的优质个股并长期持有。债券方面，组合继续维持较高的杠杆和中性的久期水平，整体仍按照票息策略的偏绝对收益操作思路为主。此外，组合仍积极参与科创版打新。</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截至报告期末，本基金A类基金份额净值为1.595元，本报告期份额净值增长率为2.21%，同期业绩比较基准收益率为0.88%；C类基金份额净值为1.194元，本报告期份额净值增长率为2.13%，同期业绩比较基准收益率为0.88%。</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135,738,005.11</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15.43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135,738,005.11</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15.43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727,213,565.00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82.65</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697,145,565.00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79.23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30,068,000.00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3.42</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7,002,422.14</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0.80</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9,947,951.19</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879,901,943.44</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8,313,466.57</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1.12</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71,210,634.93</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9.59</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6,287,354.72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0.85</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2,630,655.00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0.35</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18,600,815.12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2.50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190,731.77</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0.03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13,910,721.00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1.87</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14,593,626.00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1.96</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135,738,005.11</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18.28</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601816</w:t>
            </w:r>
          </w:p>
        </w:tc>
        <w:tc>
          <w:tcPr>
            <w:vAlign w:val="center"/>
          </w:tcPr>
          <w:p>
            <w:pPr>
              <w:jc w:val="center"/>
            </w:pPr>
            <w:r>
              <w:rPr>
                <w:color w:val="000000"/>
                <w:sz w:val="24"/>
              </w:rPr>
              <w:t>京沪高铁</w:t>
            </w:r>
          </w:p>
        </w:tc>
        <w:tc>
          <w:tcPr>
            <w:vAlign w:val="center"/>
          </w:tcPr>
          <w:p>
            <w:pPr>
              <w:jc w:val="right"/>
            </w:pPr>
            <w:r>
              <w:rPr>
                <w:color w:val="000000"/>
                <w:sz w:val="24"/>
              </w:rPr>
              <w:t>906,536</w:t>
            </w:r>
          </w:p>
        </w:tc>
        <w:tc>
          <w:tcPr>
            <w:vAlign w:val="center"/>
          </w:tcPr>
          <w:p>
            <w:pPr>
              <w:jc w:val="right"/>
            </w:pPr>
            <w:r>
              <w:rPr>
                <w:color w:val="000000"/>
                <w:sz w:val="24"/>
              </w:rPr>
              <w:t>5,593,327.12</w:t>
            </w:r>
          </w:p>
        </w:tc>
        <w:tc>
          <w:tcPr>
            <w:vAlign w:val="center"/>
          </w:tcPr>
          <w:p>
            <w:pPr>
              <w:jc w:val="right"/>
            </w:pPr>
            <w:r>
              <w:rPr>
                <w:color w:val="000000"/>
                <w:sz w:val="24"/>
              </w:rPr>
              <w:t>0.75</w:t>
            </w:r>
          </w:p>
        </w:tc>
      </w:tr>
      <w:tr>
        <w:tc>
          <w:tcPr>
            <w:vAlign w:val="center"/>
          </w:tcPr>
          <w:p>
            <w:pPr>
              <w:jc w:val="center"/>
            </w:pPr>
            <w:r>
              <w:rPr>
                <w:color w:val="000000"/>
                <w:sz w:val="24"/>
              </w:rPr>
              <w:t>2</w:t>
            </w:r>
          </w:p>
        </w:tc>
        <w:tc>
          <w:tcPr>
            <w:vAlign w:val="center"/>
          </w:tcPr>
          <w:p>
            <w:pPr>
              <w:jc w:val="center"/>
            </w:pPr>
            <w:r>
              <w:rPr>
                <w:color w:val="000000"/>
                <w:sz w:val="24"/>
              </w:rPr>
              <w:t>600585</w:t>
            </w:r>
          </w:p>
        </w:tc>
        <w:tc>
          <w:tcPr>
            <w:vAlign w:val="center"/>
          </w:tcPr>
          <w:p>
            <w:pPr>
              <w:jc w:val="center"/>
            </w:pPr>
            <w:r>
              <w:rPr>
                <w:color w:val="000000"/>
                <w:sz w:val="24"/>
              </w:rPr>
              <w:t>海螺水泥</w:t>
            </w:r>
          </w:p>
        </w:tc>
        <w:tc>
          <w:tcPr>
            <w:vAlign w:val="center"/>
          </w:tcPr>
          <w:p>
            <w:pPr>
              <w:jc w:val="right"/>
            </w:pPr>
            <w:r>
              <w:rPr>
                <w:color w:val="000000"/>
                <w:sz w:val="24"/>
              </w:rPr>
              <w:t>82,400</w:t>
            </w:r>
          </w:p>
        </w:tc>
        <w:tc>
          <w:tcPr>
            <w:vAlign w:val="center"/>
          </w:tcPr>
          <w:p>
            <w:pPr>
              <w:jc w:val="right"/>
            </w:pPr>
            <w:r>
              <w:rPr>
                <w:color w:val="000000"/>
                <w:sz w:val="24"/>
              </w:rPr>
              <w:t>4,359,784.00</w:t>
            </w:r>
          </w:p>
        </w:tc>
        <w:tc>
          <w:tcPr>
            <w:vAlign w:val="center"/>
          </w:tcPr>
          <w:p>
            <w:pPr>
              <w:jc w:val="right"/>
            </w:pPr>
            <w:r>
              <w:rPr>
                <w:color w:val="000000"/>
                <w:sz w:val="24"/>
              </w:rPr>
              <w:t>0.59</w:t>
            </w:r>
          </w:p>
        </w:tc>
      </w:tr>
      <w:tr>
        <w:tc>
          <w:tcPr>
            <w:vAlign w:val="center"/>
          </w:tcPr>
          <w:p>
            <w:pPr>
              <w:jc w:val="center"/>
            </w:pPr>
            <w:r>
              <w:rPr>
                <w:color w:val="000000"/>
                <w:sz w:val="24"/>
              </w:rPr>
              <w:t>3</w:t>
            </w:r>
          </w:p>
        </w:tc>
        <w:tc>
          <w:tcPr>
            <w:vAlign w:val="center"/>
          </w:tcPr>
          <w:p>
            <w:pPr>
              <w:jc w:val="center"/>
            </w:pPr>
            <w:r>
              <w:rPr>
                <w:color w:val="000000"/>
                <w:sz w:val="24"/>
              </w:rPr>
              <w:t>600383</w:t>
            </w:r>
          </w:p>
        </w:tc>
        <w:tc>
          <w:tcPr>
            <w:vAlign w:val="center"/>
          </w:tcPr>
          <w:p>
            <w:pPr>
              <w:jc w:val="center"/>
            </w:pPr>
            <w:r>
              <w:rPr>
                <w:color w:val="000000"/>
                <w:sz w:val="24"/>
              </w:rPr>
              <w:t>金地集团</w:t>
            </w:r>
          </w:p>
        </w:tc>
        <w:tc>
          <w:tcPr>
            <w:vAlign w:val="center"/>
          </w:tcPr>
          <w:p>
            <w:pPr>
              <w:jc w:val="right"/>
            </w:pPr>
            <w:r>
              <w:rPr>
                <w:color w:val="000000"/>
                <w:sz w:val="24"/>
              </w:rPr>
              <w:t>262,800</w:t>
            </w:r>
          </w:p>
        </w:tc>
        <w:tc>
          <w:tcPr>
            <w:vAlign w:val="center"/>
          </w:tcPr>
          <w:p>
            <w:pPr>
              <w:jc w:val="right"/>
            </w:pPr>
            <w:r>
              <w:rPr>
                <w:color w:val="000000"/>
                <w:sz w:val="24"/>
              </w:rPr>
              <w:t>3,600,360.00</w:t>
            </w:r>
          </w:p>
        </w:tc>
        <w:tc>
          <w:tcPr>
            <w:vAlign w:val="center"/>
          </w:tcPr>
          <w:p>
            <w:pPr>
              <w:jc w:val="right"/>
            </w:pPr>
            <w:r>
              <w:rPr>
                <w:color w:val="000000"/>
                <w:sz w:val="24"/>
              </w:rPr>
              <w:t>0.48</w:t>
            </w:r>
          </w:p>
        </w:tc>
      </w:tr>
      <w:tr>
        <w:tc>
          <w:tcPr>
            <w:vAlign w:val="center"/>
          </w:tcPr>
          <w:p>
            <w:pPr>
              <w:jc w:val="center"/>
            </w:pPr>
            <w:r>
              <w:rPr>
                <w:color w:val="000000"/>
                <w:sz w:val="24"/>
              </w:rPr>
              <w:t>4</w:t>
            </w:r>
          </w:p>
        </w:tc>
        <w:tc>
          <w:tcPr>
            <w:vAlign w:val="center"/>
          </w:tcPr>
          <w:p>
            <w:pPr>
              <w:jc w:val="center"/>
            </w:pPr>
            <w:r>
              <w:rPr>
                <w:color w:val="000000"/>
                <w:sz w:val="24"/>
              </w:rPr>
              <w:t>600900</w:t>
            </w:r>
          </w:p>
        </w:tc>
        <w:tc>
          <w:tcPr>
            <w:vAlign w:val="center"/>
          </w:tcPr>
          <w:p>
            <w:pPr>
              <w:jc w:val="center"/>
            </w:pPr>
            <w:r>
              <w:rPr>
                <w:color w:val="000000"/>
                <w:sz w:val="24"/>
              </w:rPr>
              <w:t>长江电力</w:t>
            </w:r>
          </w:p>
        </w:tc>
        <w:tc>
          <w:tcPr>
            <w:vAlign w:val="center"/>
          </w:tcPr>
          <w:p>
            <w:pPr>
              <w:jc w:val="right"/>
            </w:pPr>
            <w:r>
              <w:rPr>
                <w:color w:val="000000"/>
                <w:sz w:val="24"/>
              </w:rPr>
              <w:t>187,900</w:t>
            </w:r>
          </w:p>
        </w:tc>
        <w:tc>
          <w:tcPr>
            <w:vAlign w:val="center"/>
          </w:tcPr>
          <w:p>
            <w:pPr>
              <w:jc w:val="right"/>
            </w:pPr>
            <w:r>
              <w:rPr>
                <w:color w:val="000000"/>
                <w:sz w:val="24"/>
              </w:rPr>
              <w:t>3,558,826.00</w:t>
            </w:r>
          </w:p>
        </w:tc>
        <w:tc>
          <w:tcPr>
            <w:vAlign w:val="center"/>
          </w:tcPr>
          <w:p>
            <w:pPr>
              <w:jc w:val="right"/>
            </w:pPr>
            <w:r>
              <w:rPr>
                <w:color w:val="000000"/>
                <w:sz w:val="24"/>
              </w:rPr>
              <w:t>0.48</w:t>
            </w:r>
          </w:p>
        </w:tc>
      </w:tr>
      <w:tr>
        <w:tc>
          <w:tcPr>
            <w:vAlign w:val="center"/>
          </w:tcPr>
          <w:p>
            <w:pPr>
              <w:jc w:val="center"/>
            </w:pPr>
            <w:r>
              <w:rPr>
                <w:color w:val="000000"/>
                <w:sz w:val="24"/>
              </w:rPr>
              <w:t>5</w:t>
            </w:r>
          </w:p>
        </w:tc>
        <w:tc>
          <w:tcPr>
            <w:vAlign w:val="center"/>
          </w:tcPr>
          <w:p>
            <w:pPr>
              <w:jc w:val="center"/>
            </w:pPr>
            <w:r>
              <w:rPr>
                <w:color w:val="000000"/>
                <w:sz w:val="24"/>
              </w:rPr>
              <w:t>002242</w:t>
            </w:r>
          </w:p>
        </w:tc>
        <w:tc>
          <w:tcPr>
            <w:vAlign w:val="center"/>
          </w:tcPr>
          <w:p>
            <w:pPr>
              <w:jc w:val="center"/>
            </w:pPr>
            <w:r>
              <w:rPr>
                <w:color w:val="000000"/>
                <w:sz w:val="24"/>
              </w:rPr>
              <w:t>九阳股份</w:t>
            </w:r>
          </w:p>
        </w:tc>
        <w:tc>
          <w:tcPr>
            <w:vAlign w:val="center"/>
          </w:tcPr>
          <w:p>
            <w:pPr>
              <w:jc w:val="right"/>
            </w:pPr>
            <w:r>
              <w:rPr>
                <w:color w:val="000000"/>
                <w:sz w:val="24"/>
              </w:rPr>
              <w:t>93,800</w:t>
            </w:r>
          </w:p>
        </w:tc>
        <w:tc>
          <w:tcPr>
            <w:vAlign w:val="center"/>
          </w:tcPr>
          <w:p>
            <w:pPr>
              <w:jc w:val="right"/>
            </w:pPr>
            <w:r>
              <w:rPr>
                <w:color w:val="000000"/>
                <w:sz w:val="24"/>
              </w:rPr>
              <w:t>3,495,926.00</w:t>
            </w:r>
          </w:p>
        </w:tc>
        <w:tc>
          <w:tcPr>
            <w:vAlign w:val="center"/>
          </w:tcPr>
          <w:p>
            <w:pPr>
              <w:jc w:val="right"/>
            </w:pPr>
            <w:r>
              <w:rPr>
                <w:color w:val="000000"/>
                <w:sz w:val="24"/>
              </w:rPr>
              <w:t>0.47</w:t>
            </w:r>
          </w:p>
        </w:tc>
      </w:tr>
      <w:tr>
        <w:tc>
          <w:tcPr>
            <w:vAlign w:val="center"/>
          </w:tcPr>
          <w:p>
            <w:pPr>
              <w:jc w:val="center"/>
            </w:pPr>
            <w:r>
              <w:rPr>
                <w:color w:val="000000"/>
                <w:sz w:val="24"/>
              </w:rPr>
              <w:t>6</w:t>
            </w:r>
          </w:p>
        </w:tc>
        <w:tc>
          <w:tcPr>
            <w:vAlign w:val="center"/>
          </w:tcPr>
          <w:p>
            <w:pPr>
              <w:jc w:val="center"/>
            </w:pPr>
            <w:r>
              <w:rPr>
                <w:color w:val="000000"/>
                <w:sz w:val="24"/>
              </w:rPr>
              <w:t>600377</w:t>
            </w:r>
          </w:p>
        </w:tc>
        <w:tc>
          <w:tcPr>
            <w:vAlign w:val="center"/>
          </w:tcPr>
          <w:p>
            <w:pPr>
              <w:jc w:val="center"/>
            </w:pPr>
            <w:r>
              <w:rPr>
                <w:color w:val="000000"/>
                <w:sz w:val="24"/>
              </w:rPr>
              <w:t>宁沪高速</w:t>
            </w:r>
          </w:p>
        </w:tc>
        <w:tc>
          <w:tcPr>
            <w:vAlign w:val="center"/>
          </w:tcPr>
          <w:p>
            <w:pPr>
              <w:jc w:val="right"/>
            </w:pPr>
            <w:r>
              <w:rPr>
                <w:color w:val="000000"/>
                <w:sz w:val="24"/>
              </w:rPr>
              <w:t>355,900</w:t>
            </w:r>
          </w:p>
        </w:tc>
        <w:tc>
          <w:tcPr>
            <w:vAlign w:val="center"/>
          </w:tcPr>
          <w:p>
            <w:pPr>
              <w:jc w:val="right"/>
            </w:pPr>
            <w:r>
              <w:rPr>
                <w:color w:val="000000"/>
                <w:sz w:val="24"/>
              </w:rPr>
              <w:t>3,491,379.00</w:t>
            </w:r>
          </w:p>
        </w:tc>
        <w:tc>
          <w:tcPr>
            <w:vAlign w:val="center"/>
          </w:tcPr>
          <w:p>
            <w:pPr>
              <w:jc w:val="right"/>
            </w:pPr>
            <w:r>
              <w:rPr>
                <w:color w:val="000000"/>
                <w:sz w:val="24"/>
              </w:rPr>
              <w:t>0.47</w:t>
            </w:r>
          </w:p>
        </w:tc>
      </w:tr>
      <w:tr>
        <w:tc>
          <w:tcPr>
            <w:vAlign w:val="center"/>
          </w:tcPr>
          <w:p>
            <w:pPr>
              <w:jc w:val="center"/>
            </w:pPr>
            <w:r>
              <w:rPr>
                <w:color w:val="000000"/>
                <w:sz w:val="24"/>
              </w:rPr>
              <w:t>7</w:t>
            </w:r>
          </w:p>
        </w:tc>
        <w:tc>
          <w:tcPr>
            <w:vAlign w:val="center"/>
          </w:tcPr>
          <w:p>
            <w:pPr>
              <w:jc w:val="center"/>
            </w:pPr>
            <w:r>
              <w:rPr>
                <w:color w:val="000000"/>
                <w:sz w:val="24"/>
              </w:rPr>
              <w:t>601877</w:t>
            </w:r>
          </w:p>
        </w:tc>
        <w:tc>
          <w:tcPr>
            <w:vAlign w:val="center"/>
          </w:tcPr>
          <w:p>
            <w:pPr>
              <w:jc w:val="center"/>
            </w:pPr>
            <w:r>
              <w:rPr>
                <w:color w:val="000000"/>
                <w:sz w:val="24"/>
              </w:rPr>
              <w:t>正泰电器</w:t>
            </w:r>
          </w:p>
        </w:tc>
        <w:tc>
          <w:tcPr>
            <w:vAlign w:val="center"/>
          </w:tcPr>
          <w:p>
            <w:pPr>
              <w:jc w:val="right"/>
            </w:pPr>
            <w:r>
              <w:rPr>
                <w:color w:val="000000"/>
                <w:sz w:val="24"/>
              </w:rPr>
              <w:t>129,022</w:t>
            </w:r>
          </w:p>
        </w:tc>
        <w:tc>
          <w:tcPr>
            <w:vAlign w:val="center"/>
          </w:tcPr>
          <w:p>
            <w:pPr>
              <w:jc w:val="right"/>
            </w:pPr>
            <w:r>
              <w:rPr>
                <w:color w:val="000000"/>
                <w:sz w:val="24"/>
              </w:rPr>
              <w:t>3,399,729.70</w:t>
            </w:r>
          </w:p>
        </w:tc>
        <w:tc>
          <w:tcPr>
            <w:vAlign w:val="center"/>
          </w:tcPr>
          <w:p>
            <w:pPr>
              <w:jc w:val="right"/>
            </w:pPr>
            <w:r>
              <w:rPr>
                <w:color w:val="000000"/>
                <w:sz w:val="24"/>
              </w:rPr>
              <w:t>0.46</w:t>
            </w:r>
          </w:p>
        </w:tc>
      </w:tr>
      <w:tr>
        <w:tc>
          <w:tcPr>
            <w:vAlign w:val="center"/>
          </w:tcPr>
          <w:p>
            <w:pPr>
              <w:jc w:val="center"/>
            </w:pPr>
            <w:r>
              <w:rPr>
                <w:color w:val="000000"/>
                <w:sz w:val="24"/>
              </w:rPr>
              <w:t>8</w:t>
            </w:r>
          </w:p>
        </w:tc>
        <w:tc>
          <w:tcPr>
            <w:vAlign w:val="center"/>
          </w:tcPr>
          <w:p>
            <w:pPr>
              <w:jc w:val="center"/>
            </w:pPr>
            <w:r>
              <w:rPr>
                <w:color w:val="000000"/>
                <w:sz w:val="24"/>
              </w:rPr>
              <w:t>002352</w:t>
            </w:r>
          </w:p>
        </w:tc>
        <w:tc>
          <w:tcPr>
            <w:vAlign w:val="center"/>
          </w:tcPr>
          <w:p>
            <w:pPr>
              <w:jc w:val="center"/>
            </w:pPr>
            <w:r>
              <w:rPr>
                <w:color w:val="000000"/>
                <w:sz w:val="24"/>
              </w:rPr>
              <w:t>顺丰控股</w:t>
            </w:r>
          </w:p>
        </w:tc>
        <w:tc>
          <w:tcPr>
            <w:vAlign w:val="center"/>
          </w:tcPr>
          <w:p>
            <w:pPr>
              <w:jc w:val="right"/>
            </w:pPr>
            <w:r>
              <w:rPr>
                <w:color w:val="000000"/>
                <w:sz w:val="24"/>
              </w:rPr>
              <w:t>61,800</w:t>
            </w:r>
          </w:p>
        </w:tc>
        <w:tc>
          <w:tcPr>
            <w:vAlign w:val="center"/>
          </w:tcPr>
          <w:p>
            <w:pPr>
              <w:jc w:val="right"/>
            </w:pPr>
            <w:r>
              <w:rPr>
                <w:color w:val="000000"/>
                <w:sz w:val="24"/>
              </w:rPr>
              <w:t>3,380,460.00</w:t>
            </w:r>
          </w:p>
        </w:tc>
        <w:tc>
          <w:tcPr>
            <w:vAlign w:val="center"/>
          </w:tcPr>
          <w:p>
            <w:pPr>
              <w:jc w:val="right"/>
            </w:pPr>
            <w:r>
              <w:rPr>
                <w:color w:val="000000"/>
                <w:sz w:val="24"/>
              </w:rPr>
              <w:t>0.46</w:t>
            </w:r>
          </w:p>
        </w:tc>
      </w:tr>
      <w:tr>
        <w:tc>
          <w:tcPr>
            <w:vAlign w:val="center"/>
          </w:tcPr>
          <w:p>
            <w:pPr>
              <w:jc w:val="center"/>
            </w:pPr>
            <w:r>
              <w:rPr>
                <w:color w:val="000000"/>
                <w:sz w:val="24"/>
              </w:rPr>
              <w:t>9</w:t>
            </w:r>
          </w:p>
        </w:tc>
        <w:tc>
          <w:tcPr>
            <w:vAlign w:val="center"/>
          </w:tcPr>
          <w:p>
            <w:pPr>
              <w:jc w:val="center"/>
            </w:pPr>
            <w:r>
              <w:rPr>
                <w:color w:val="000000"/>
                <w:sz w:val="24"/>
              </w:rPr>
              <w:t>600048</w:t>
            </w:r>
          </w:p>
        </w:tc>
        <w:tc>
          <w:tcPr>
            <w:vAlign w:val="center"/>
          </w:tcPr>
          <w:p>
            <w:pPr>
              <w:jc w:val="center"/>
            </w:pPr>
            <w:r>
              <w:rPr>
                <w:color w:val="000000"/>
                <w:sz w:val="24"/>
              </w:rPr>
              <w:t>保利地产</w:t>
            </w:r>
          </w:p>
        </w:tc>
        <w:tc>
          <w:tcPr>
            <w:vAlign w:val="center"/>
          </w:tcPr>
          <w:p>
            <w:pPr>
              <w:jc w:val="right"/>
            </w:pPr>
            <w:r>
              <w:rPr>
                <w:color w:val="000000"/>
                <w:sz w:val="24"/>
              </w:rPr>
              <w:t>227,900</w:t>
            </w:r>
          </w:p>
        </w:tc>
        <w:tc>
          <w:tcPr>
            <w:vAlign w:val="center"/>
          </w:tcPr>
          <w:p>
            <w:pPr>
              <w:jc w:val="right"/>
            </w:pPr>
            <w:r>
              <w:rPr>
                <w:color w:val="000000"/>
                <w:sz w:val="24"/>
              </w:rPr>
              <w:t>3,368,362.00</w:t>
            </w:r>
          </w:p>
        </w:tc>
        <w:tc>
          <w:tcPr>
            <w:vAlign w:val="center"/>
          </w:tcPr>
          <w:p>
            <w:pPr>
              <w:jc w:val="right"/>
            </w:pPr>
            <w:r>
              <w:rPr>
                <w:color w:val="000000"/>
                <w:sz w:val="24"/>
              </w:rPr>
              <w:t>0.45</w:t>
            </w:r>
          </w:p>
        </w:tc>
      </w:tr>
      <w:tr>
        <w:tc>
          <w:tcPr>
            <w:vAlign w:val="center"/>
          </w:tcPr>
          <w:p>
            <w:pPr>
              <w:jc w:val="center"/>
            </w:pPr>
            <w:r>
              <w:rPr>
                <w:color w:val="000000"/>
                <w:sz w:val="24"/>
              </w:rPr>
              <w:t>10</w:t>
            </w:r>
          </w:p>
        </w:tc>
        <w:tc>
          <w:tcPr>
            <w:vAlign w:val="center"/>
          </w:tcPr>
          <w:p>
            <w:pPr>
              <w:jc w:val="center"/>
            </w:pPr>
            <w:r>
              <w:rPr>
                <w:color w:val="000000"/>
                <w:sz w:val="24"/>
              </w:rPr>
              <w:t>002601</w:t>
            </w:r>
          </w:p>
        </w:tc>
        <w:tc>
          <w:tcPr>
            <w:vAlign w:val="center"/>
          </w:tcPr>
          <w:p>
            <w:pPr>
              <w:jc w:val="center"/>
            </w:pPr>
            <w:r>
              <w:rPr>
                <w:color w:val="000000"/>
                <w:sz w:val="24"/>
              </w:rPr>
              <w:t>龙蟒佰利</w:t>
            </w:r>
          </w:p>
        </w:tc>
        <w:tc>
          <w:tcPr>
            <w:vAlign w:val="center"/>
          </w:tcPr>
          <w:p>
            <w:pPr>
              <w:jc w:val="right"/>
            </w:pPr>
            <w:r>
              <w:rPr>
                <w:color w:val="000000"/>
                <w:sz w:val="24"/>
              </w:rPr>
              <w:t>178,300</w:t>
            </w:r>
          </w:p>
        </w:tc>
        <w:tc>
          <w:tcPr>
            <w:vAlign w:val="center"/>
          </w:tcPr>
          <w:p>
            <w:pPr>
              <w:jc w:val="right"/>
            </w:pPr>
            <w:r>
              <w:rPr>
                <w:color w:val="000000"/>
                <w:sz w:val="24"/>
              </w:rPr>
              <w:t>3,298,550.00</w:t>
            </w:r>
          </w:p>
        </w:tc>
        <w:tc>
          <w:tcPr>
            <w:vAlign w:val="center"/>
          </w:tcPr>
          <w:p>
            <w:pPr>
              <w:jc w:val="right"/>
            </w:pPr>
            <w:r>
              <w:rPr>
                <w:color w:val="000000"/>
                <w:sz w:val="24"/>
              </w:rPr>
              <w:t>0.44</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2,301,150.00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0.31</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35,391,500.00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4.77</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35,391,500.00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4.77</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130,391,573.80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17.56</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50,080,000.00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6.74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477,933,000.00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64.35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1,048,341.20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0.14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697,145,565.00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93.86</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101476003</w:t>
            </w:r>
          </w:p>
        </w:tc>
        <w:tc>
          <w:tcPr>
            <w:vAlign w:val="center"/>
          </w:tcPr>
          <w:p>
            <w:pPr>
              <w:jc w:val="center"/>
            </w:pPr>
            <w:r>
              <w:rPr>
                <w:color w:val="000000"/>
                <w:sz w:val="24"/>
              </w:rPr>
              <w:t>14山西交投MTN001</w:t>
            </w:r>
          </w:p>
        </w:tc>
        <w:tc>
          <w:tcPr>
            <w:vAlign w:val="center"/>
          </w:tcPr>
          <w:p>
            <w:pPr>
              <w:jc w:val="right"/>
            </w:pPr>
            <w:r>
              <w:rPr>
                <w:color w:val="000000"/>
                <w:sz w:val="24"/>
              </w:rPr>
              <w:t>300,000</w:t>
            </w:r>
          </w:p>
        </w:tc>
        <w:tc>
          <w:tcPr>
            <w:vAlign w:val="center"/>
          </w:tcPr>
          <w:p>
            <w:pPr>
              <w:jc w:val="right"/>
            </w:pPr>
            <w:r>
              <w:rPr>
                <w:color w:val="000000"/>
                <w:sz w:val="24"/>
              </w:rPr>
              <w:t>30,987,000.00</w:t>
            </w:r>
          </w:p>
        </w:tc>
        <w:tc>
          <w:tcPr>
            <w:vAlign w:val="center"/>
          </w:tcPr>
          <w:p>
            <w:pPr>
              <w:jc w:val="right"/>
            </w:pPr>
            <w:r>
              <w:rPr>
                <w:color w:val="000000"/>
                <w:sz w:val="24"/>
              </w:rPr>
              <w:t>4.17</w:t>
            </w:r>
          </w:p>
        </w:tc>
      </w:tr>
      <w:tr>
        <w:tc>
          <w:tcPr>
            <w:vAlign w:val="center"/>
          </w:tcPr>
          <w:p>
            <w:pPr>
              <w:jc w:val="center"/>
            </w:pPr>
            <w:r>
              <w:rPr>
                <w:color w:val="000000"/>
                <w:sz w:val="24"/>
              </w:rPr>
              <w:t>2</w:t>
            </w:r>
          </w:p>
        </w:tc>
        <w:tc>
          <w:tcPr>
            <w:vAlign w:val="center"/>
          </w:tcPr>
          <w:p>
            <w:pPr>
              <w:jc w:val="center"/>
            </w:pPr>
            <w:r>
              <w:rPr>
                <w:color w:val="000000"/>
                <w:sz w:val="24"/>
              </w:rPr>
              <w:t>101654013</w:t>
            </w:r>
          </w:p>
        </w:tc>
        <w:tc>
          <w:tcPr>
            <w:vAlign w:val="center"/>
          </w:tcPr>
          <w:p>
            <w:pPr>
              <w:jc w:val="center"/>
            </w:pPr>
            <w:r>
              <w:rPr>
                <w:color w:val="000000"/>
                <w:sz w:val="24"/>
              </w:rPr>
              <w:t>16神华MTN002</w:t>
            </w:r>
          </w:p>
        </w:tc>
        <w:tc>
          <w:tcPr>
            <w:vAlign w:val="center"/>
          </w:tcPr>
          <w:p>
            <w:pPr>
              <w:jc w:val="right"/>
            </w:pPr>
            <w:r>
              <w:rPr>
                <w:color w:val="000000"/>
                <w:sz w:val="24"/>
              </w:rPr>
              <w:t>300,000</w:t>
            </w:r>
          </w:p>
        </w:tc>
        <w:tc>
          <w:tcPr>
            <w:vAlign w:val="center"/>
          </w:tcPr>
          <w:p>
            <w:pPr>
              <w:jc w:val="right"/>
            </w:pPr>
            <w:r>
              <w:rPr>
                <w:color w:val="000000"/>
                <w:sz w:val="24"/>
              </w:rPr>
              <w:t>30,600,000.00</w:t>
            </w:r>
          </w:p>
        </w:tc>
        <w:tc>
          <w:tcPr>
            <w:vAlign w:val="center"/>
          </w:tcPr>
          <w:p>
            <w:pPr>
              <w:jc w:val="right"/>
            </w:pPr>
            <w:r>
              <w:rPr>
                <w:color w:val="000000"/>
                <w:sz w:val="24"/>
              </w:rPr>
              <w:t>4.12</w:t>
            </w:r>
          </w:p>
        </w:tc>
      </w:tr>
      <w:tr>
        <w:tc>
          <w:tcPr>
            <w:vAlign w:val="center"/>
          </w:tcPr>
          <w:p>
            <w:pPr>
              <w:jc w:val="center"/>
            </w:pPr>
            <w:r>
              <w:rPr>
                <w:color w:val="000000"/>
                <w:sz w:val="24"/>
              </w:rPr>
              <w:t>3</w:t>
            </w:r>
          </w:p>
        </w:tc>
        <w:tc>
          <w:tcPr>
            <w:vAlign w:val="center"/>
          </w:tcPr>
          <w:p>
            <w:pPr>
              <w:jc w:val="center"/>
            </w:pPr>
            <w:r>
              <w:rPr>
                <w:color w:val="000000"/>
                <w:sz w:val="24"/>
              </w:rPr>
              <w:t>180208</w:t>
            </w:r>
          </w:p>
        </w:tc>
        <w:tc>
          <w:tcPr>
            <w:vAlign w:val="center"/>
          </w:tcPr>
          <w:p>
            <w:pPr>
              <w:jc w:val="center"/>
            </w:pPr>
            <w:r>
              <w:rPr>
                <w:color w:val="000000"/>
                <w:sz w:val="24"/>
              </w:rPr>
              <w:t>18国开08</w:t>
            </w:r>
          </w:p>
        </w:tc>
        <w:tc>
          <w:tcPr>
            <w:vAlign w:val="center"/>
          </w:tcPr>
          <w:p>
            <w:pPr>
              <w:jc w:val="right"/>
            </w:pPr>
            <w:r>
              <w:rPr>
                <w:color w:val="000000"/>
                <w:sz w:val="24"/>
              </w:rPr>
              <w:t>250,000</w:t>
            </w:r>
          </w:p>
        </w:tc>
        <w:tc>
          <w:tcPr>
            <w:vAlign w:val="center"/>
          </w:tcPr>
          <w:p>
            <w:pPr>
              <w:jc w:val="right"/>
            </w:pPr>
            <w:r>
              <w:rPr>
                <w:color w:val="000000"/>
                <w:sz w:val="24"/>
              </w:rPr>
              <w:t>25,377,500.00</w:t>
            </w:r>
          </w:p>
        </w:tc>
        <w:tc>
          <w:tcPr>
            <w:vAlign w:val="center"/>
          </w:tcPr>
          <w:p>
            <w:pPr>
              <w:jc w:val="right"/>
            </w:pPr>
            <w:r>
              <w:rPr>
                <w:color w:val="000000"/>
                <w:sz w:val="24"/>
              </w:rPr>
              <w:t>3.42</w:t>
            </w:r>
          </w:p>
        </w:tc>
      </w:tr>
      <w:tr>
        <w:tc>
          <w:tcPr>
            <w:vAlign w:val="center"/>
          </w:tcPr>
          <w:p>
            <w:pPr>
              <w:jc w:val="center"/>
            </w:pPr>
            <w:r>
              <w:rPr>
                <w:color w:val="000000"/>
                <w:sz w:val="24"/>
              </w:rPr>
              <w:t>4</w:t>
            </w:r>
          </w:p>
        </w:tc>
        <w:tc>
          <w:tcPr>
            <w:vAlign w:val="center"/>
          </w:tcPr>
          <w:p>
            <w:pPr>
              <w:jc w:val="center"/>
            </w:pPr>
            <w:r>
              <w:rPr>
                <w:color w:val="000000"/>
                <w:sz w:val="24"/>
              </w:rPr>
              <w:t>101800773</w:t>
            </w:r>
          </w:p>
        </w:tc>
        <w:tc>
          <w:tcPr>
            <w:vAlign w:val="center"/>
          </w:tcPr>
          <w:p>
            <w:pPr>
              <w:jc w:val="center"/>
            </w:pPr>
            <w:r>
              <w:rPr>
                <w:color w:val="000000"/>
                <w:sz w:val="24"/>
              </w:rPr>
              <w:t>18首钢MTN002</w:t>
            </w:r>
          </w:p>
        </w:tc>
        <w:tc>
          <w:tcPr>
            <w:vAlign w:val="center"/>
          </w:tcPr>
          <w:p>
            <w:pPr>
              <w:jc w:val="right"/>
            </w:pPr>
            <w:r>
              <w:rPr>
                <w:color w:val="000000"/>
                <w:sz w:val="24"/>
              </w:rPr>
              <w:t>200,000</w:t>
            </w:r>
          </w:p>
        </w:tc>
        <w:tc>
          <w:tcPr>
            <w:vAlign w:val="center"/>
          </w:tcPr>
          <w:p>
            <w:pPr>
              <w:jc w:val="right"/>
            </w:pPr>
            <w:r>
              <w:rPr>
                <w:color w:val="000000"/>
                <w:sz w:val="24"/>
              </w:rPr>
              <w:t>20,540,000.00</w:t>
            </w:r>
          </w:p>
        </w:tc>
        <w:tc>
          <w:tcPr>
            <w:vAlign w:val="center"/>
          </w:tcPr>
          <w:p>
            <w:pPr>
              <w:jc w:val="right"/>
            </w:pPr>
            <w:r>
              <w:rPr>
                <w:color w:val="000000"/>
                <w:sz w:val="24"/>
              </w:rPr>
              <w:t>2.77</w:t>
            </w:r>
          </w:p>
        </w:tc>
      </w:tr>
      <w:tr>
        <w:tc>
          <w:tcPr>
            <w:vAlign w:val="center"/>
          </w:tcPr>
          <w:p>
            <w:pPr>
              <w:jc w:val="center"/>
            </w:pPr>
            <w:r>
              <w:rPr>
                <w:color w:val="000000"/>
                <w:sz w:val="24"/>
              </w:rPr>
              <w:t>5</w:t>
            </w:r>
          </w:p>
        </w:tc>
        <w:tc>
          <w:tcPr>
            <w:vAlign w:val="center"/>
          </w:tcPr>
          <w:p>
            <w:pPr>
              <w:jc w:val="center"/>
            </w:pPr>
            <w:r>
              <w:rPr>
                <w:color w:val="000000"/>
                <w:sz w:val="24"/>
              </w:rPr>
              <w:t>101800202</w:t>
            </w:r>
          </w:p>
        </w:tc>
        <w:tc>
          <w:tcPr>
            <w:vAlign w:val="center"/>
          </w:tcPr>
          <w:p>
            <w:pPr>
              <w:jc w:val="center"/>
            </w:pPr>
            <w:r>
              <w:rPr>
                <w:color w:val="000000"/>
                <w:sz w:val="24"/>
              </w:rPr>
              <w:t>18天恒置业MTN001</w:t>
            </w:r>
          </w:p>
        </w:tc>
        <w:tc>
          <w:tcPr>
            <w:vAlign w:val="center"/>
          </w:tcPr>
          <w:p>
            <w:pPr>
              <w:jc w:val="right"/>
            </w:pPr>
            <w:r>
              <w:rPr>
                <w:color w:val="000000"/>
                <w:sz w:val="24"/>
              </w:rPr>
              <w:t>200,000</w:t>
            </w:r>
          </w:p>
        </w:tc>
        <w:tc>
          <w:tcPr>
            <w:vAlign w:val="center"/>
          </w:tcPr>
          <w:p>
            <w:pPr>
              <w:jc w:val="right"/>
            </w:pPr>
            <w:r>
              <w:rPr>
                <w:color w:val="000000"/>
                <w:sz w:val="24"/>
              </w:rPr>
              <w:t>20,514,000.00</w:t>
            </w:r>
          </w:p>
        </w:tc>
        <w:tc>
          <w:tcPr>
            <w:vAlign w:val="center"/>
          </w:tcPr>
          <w:p>
            <w:pPr>
              <w:jc w:val="right"/>
            </w:pPr>
            <w:r>
              <w:rPr>
                <w:color w:val="000000"/>
                <w:sz w:val="24"/>
              </w:rPr>
              <w:t>2.76</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139873</w:t>
            </w:r>
          </w:p>
        </w:tc>
        <w:tc>
          <w:tcPr>
            <w:vAlign w:val="center"/>
          </w:tcPr>
          <w:p>
            <w:pPr>
              <w:jc w:val="center"/>
            </w:pPr>
            <w:r>
              <w:rPr>
                <w:color w:val="000000"/>
                <w:sz w:val="24"/>
              </w:rPr>
              <w:t>永熙优10</w:t>
            </w:r>
          </w:p>
        </w:tc>
        <w:tc>
          <w:tcPr>
            <w:vAlign w:val="center"/>
          </w:tcPr>
          <w:p>
            <w:pPr>
              <w:jc w:val="right"/>
            </w:pPr>
            <w:r>
              <w:rPr>
                <w:color w:val="000000"/>
                <w:sz w:val="24"/>
              </w:rPr>
              <w:t>100,000</w:t>
            </w:r>
          </w:p>
        </w:tc>
        <w:tc>
          <w:tcPr>
            <w:vAlign w:val="center"/>
          </w:tcPr>
          <w:p>
            <w:pPr>
              <w:jc w:val="right"/>
            </w:pPr>
            <w:r>
              <w:rPr>
                <w:color w:val="000000"/>
                <w:sz w:val="24"/>
              </w:rPr>
              <w:t>10,068,000.00</w:t>
            </w:r>
          </w:p>
        </w:tc>
        <w:tc>
          <w:tcPr>
            <w:vAlign w:val="center"/>
          </w:tcPr>
          <w:p>
            <w:pPr>
              <w:jc w:val="right"/>
            </w:pPr>
            <w:r>
              <w:rPr>
                <w:color w:val="000000"/>
                <w:sz w:val="24"/>
              </w:rPr>
              <w:t>1.36</w:t>
            </w:r>
          </w:p>
        </w:tc>
      </w:tr>
      <w:tr>
        <w:tc>
          <w:tcPr>
            <w:vAlign w:val="center"/>
          </w:tcPr>
          <w:p>
            <w:pPr>
              <w:jc w:val="center"/>
            </w:pPr>
            <w:r>
              <w:rPr>
                <w:color w:val="000000"/>
                <w:sz w:val="24"/>
              </w:rPr>
              <w:t>2</w:t>
            </w:r>
          </w:p>
        </w:tc>
        <w:tc>
          <w:tcPr>
            <w:vAlign w:val="center"/>
          </w:tcPr>
          <w:p>
            <w:pPr>
              <w:jc w:val="center"/>
            </w:pPr>
            <w:r>
              <w:rPr>
                <w:color w:val="000000"/>
                <w:sz w:val="24"/>
              </w:rPr>
              <w:t>168620</w:t>
            </w:r>
          </w:p>
        </w:tc>
        <w:tc>
          <w:tcPr>
            <w:vAlign w:val="center"/>
          </w:tcPr>
          <w:p>
            <w:pPr>
              <w:jc w:val="center"/>
            </w:pPr>
            <w:r>
              <w:rPr>
                <w:color w:val="000000"/>
                <w:sz w:val="24"/>
              </w:rPr>
              <w:t>益行03A1</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1.35</w:t>
            </w:r>
          </w:p>
        </w:tc>
      </w:tr>
      <w:tr>
        <w:tc>
          <w:tcPr>
            <w:vAlign w:val="center"/>
          </w:tcPr>
          <w:p>
            <w:pPr>
              <w:jc w:val="center"/>
            </w:pPr>
            <w:r>
              <w:rPr>
                <w:color w:val="000000"/>
                <w:sz w:val="24"/>
              </w:rPr>
              <w:t>2</w:t>
            </w:r>
          </w:p>
        </w:tc>
        <w:tc>
          <w:tcPr>
            <w:vAlign w:val="center"/>
          </w:tcPr>
          <w:p>
            <w:pPr>
              <w:jc w:val="center"/>
            </w:pPr>
            <w:r>
              <w:rPr>
                <w:color w:val="000000"/>
                <w:sz w:val="24"/>
              </w:rPr>
              <w:t>168733</w:t>
            </w:r>
          </w:p>
        </w:tc>
        <w:tc>
          <w:tcPr>
            <w:vAlign w:val="center"/>
          </w:tcPr>
          <w:p>
            <w:pPr>
              <w:jc w:val="center"/>
            </w:pPr>
            <w:r>
              <w:rPr>
                <w:color w:val="000000"/>
                <w:sz w:val="24"/>
              </w:rPr>
              <w:t>申程01优</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1.35</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2019年11月18日，北京市规划委员会石景山分局对首钢集团有限公司“因设计失误造成实测建筑面积超出规划许可建筑面积”的行为罚款额58765.25元。</w:t>
      </w:r>
    </w:p>
    <w:p>
      <w:pPr>
        <w:widowControl/>
        <w:spacing w:line="360" w:lineRule="auto"/>
        <w:rPr>
          <w:color w:val="000000"/>
          <w:sz w:val="24"/>
        </w:rPr>
      </w:pPr>
      <w:r>
        <w:rPr>
          <w:color w:val="000000"/>
          <w:sz w:val="24"/>
        </w:rPr>
        <w:t>本基金投资18首钢MTN002的投资决策程序符合公司投资制度的规定。</w:t>
      </w:r>
    </w:p>
    <w:p>
      <w:pPr>
        <w:widowControl/>
        <w:spacing w:line="360" w:lineRule="auto"/>
        <w:rPr>
          <w:color w:val="000000"/>
          <w:sz w:val="24"/>
        </w:rPr>
      </w:pPr>
      <w:r>
        <w:rPr>
          <w:color w:val="000000"/>
          <w:sz w:val="24"/>
        </w:rPr>
        <w:t>除18首钢MTN002外，本基金投资的前十名证券的发行主体本期没有出现被监管部门立案调查，或在报告编制日前一年内受到公开谴责、处罚的情形。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47,906.76</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9,699,923.43</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200,121.00</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9,947,951.19</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F016DD" w:rsidRPr="00E85E29" w:rsidTr="00F4518C">
        <w:tc>
          <w:tcPr>
            <w:tcW w:type="dxa" w:w="108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302"/>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301"/>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805"/>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流通受限部分的公允价值</w:t>
            </w:r>
            <w:r w:rsidRPr="00FA472B">
              <w:rPr>
                <w:color w:val="000000"/>
                <w:sz w:val="24"/>
              </w:rPr>
              <w:t>(</w:t>
            </w:r>
            <w:r w:rsidRPr="00FA472B">
              <w:rPr>
                <w:color w:val="000000"/>
                <w:sz w:val="24"/>
              </w:rPr>
              <w:t>元</w:t>
            </w:r>
            <w:r w:rsidRPr="00FA472B">
              <w:rPr>
                <w:color w:val="000000"/>
                <w:sz w:val="24"/>
              </w:rPr>
              <w:t>)</w:t>
            </w:r>
          </w:p>
        </w:tc>
        <w:tc>
          <w:tcPr>
            <w:tcW w:type="dxa" w:w="1655"/>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p>
        </w:tc>
        <w:tc>
          <w:tcPr>
            <w:tcW w:type="dxa" w:w="1367"/>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流通受限情况说明</w:t>
            </w:r>
          </w:p>
        </w:tc>
      </w:tr>
      <w:tr>
        <w:tc>
          <w:tcPr>
            <w:vAlign w:val="center"/>
          </w:tcPr>
          <w:p>
            <w:pPr>
              <w:jc w:val="center"/>
            </w:pPr>
            <w:r>
              <w:rPr>
                <w:color w:val="000000"/>
                <w:sz w:val="24"/>
              </w:rPr>
              <w:t>1</w:t>
            </w:r>
          </w:p>
        </w:tc>
        <w:tc>
          <w:tcPr>
            <w:vAlign w:val="center"/>
          </w:tcPr>
          <w:p>
            <w:pPr>
              <w:jc w:val="center"/>
            </w:pPr>
            <w:r>
              <w:rPr>
                <w:color w:val="000000"/>
                <w:sz w:val="24"/>
              </w:rPr>
              <w:t>601816</w:t>
            </w:r>
          </w:p>
        </w:tc>
        <w:tc>
          <w:tcPr>
            <w:vAlign w:val="center"/>
          </w:tcPr>
          <w:p>
            <w:pPr>
              <w:jc w:val="center"/>
            </w:pPr>
            <w:r>
              <w:rPr>
                <w:color w:val="000000"/>
                <w:sz w:val="24"/>
              </w:rPr>
              <w:t>京沪高铁</w:t>
            </w:r>
          </w:p>
        </w:tc>
        <w:tc>
          <w:tcPr>
            <w:vAlign w:val="center"/>
          </w:tcPr>
          <w:p>
            <w:pPr>
              <w:jc w:val="right"/>
            </w:pPr>
            <w:r>
              <w:rPr>
                <w:color w:val="000000"/>
                <w:sz w:val="24"/>
              </w:rPr>
              <w:t>5,593,327.12</w:t>
            </w:r>
          </w:p>
        </w:tc>
        <w:tc>
          <w:tcPr>
            <w:vAlign w:val="center"/>
          </w:tcPr>
          <w:p>
            <w:pPr>
              <w:jc w:val="right"/>
            </w:pPr>
            <w:r>
              <w:rPr>
                <w:color w:val="000000"/>
                <w:sz w:val="24"/>
              </w:rPr>
              <w:t>0.75</w:t>
            </w:r>
          </w:p>
        </w:tc>
        <w:tc>
          <w:tcPr>
            <w:vAlign w:val="center"/>
          </w:tcPr>
          <w:p>
            <w:pPr>
              <w:jc w:val="right"/>
            </w:pPr>
            <w:r>
              <w:rPr>
                <w:color w:val="000000"/>
                <w:sz w:val="24"/>
              </w:rPr>
              <w:t>新股流通受限</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易方达新享混合A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易方达新享混合C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271,489,940.44</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32,392,461.48</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145,704,239.71</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79,282,194.69</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34,415,090.93</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1,074,555.33</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382,779,089.22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110,600,100.84</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1.中国证监会准予易方达新享灵活配置混合型证券投资基金注册的文件；</w:t>
      </w:r>
    </w:p>
    <w:p>
      <w:pPr>
        <w:spacing w:line="360" w:lineRule="auto"/>
        <w:ind w:firstLine="480" w:firstLineChars="200"/>
        <w:rPr>
          <w:color w:val="000000"/>
          <w:sz w:val="24"/>
        </w:rPr>
      </w:pPr>
      <w:r>
        <w:rPr>
          <w:color w:val="000000"/>
          <w:sz w:val="24"/>
        </w:rPr>
        <w:t>2.《易方达新享灵活配置混合型证券投资基金基金合同》；</w:t>
      </w:r>
    </w:p>
    <w:p>
      <w:pPr>
        <w:spacing w:line="360" w:lineRule="auto"/>
        <w:ind w:firstLine="480" w:firstLineChars="200"/>
        <w:rPr>
          <w:color w:val="000000"/>
          <w:sz w:val="24"/>
        </w:rPr>
      </w:pPr>
      <w:r>
        <w:rPr>
          <w:color w:val="000000"/>
          <w:sz w:val="24"/>
        </w:rPr>
        <w:t>3.《易方达新享灵活配置混合型证券投资基金托管协议》；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易方达新享灵活配置混合型证券投资基金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