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易方达新益灵活配置混合型证券投资基金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中国邮政储蓄银行股份有限公司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基金托管人中国邮政储蓄银行股份有限公司根据本基金合同规定，于2020年7月17日复核了本报告中的财务指标、净值表现和投资组合报告等内容，保证复核内容不存在虚假记载、误导性陈述或者重大遗漏。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易方达新益混合</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001314</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2015年6月16日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384,277,779.86</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本基金在控制风险的前提下，追求基金资产的稳健增值。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本基金通过定量与定性相结合的宏观及市场分析，确定组合中股票、债券、货币市场工具等资产类别的配置比例，严格遵守低估值的股票投资逻辑，以绝对收益为目标，力争获得稳健、持续的投资收益。</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一年期人民币定期存款利率（税后）+2%</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中国邮政储蓄银行股份有限公司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易方达新益混合I</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易方达新益混合E</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001314</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001315</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301,385,563.25</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82,892,216.61</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易方达新益混合I</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易方达新益混合E</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11,162,836.41</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2,931,071.86</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34,408,044.99</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9,842,487.55</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0.1281</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0.1735</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558,992,203.86</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204,281,389.91</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1.855</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2.464</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易方达新益混合I</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7.23%</w:t>
            </w:r>
          </w:p>
        </w:tc>
        <w:tc>
          <w:tcPr>
            <w:vAlign w:val="center"/>
          </w:tcPr>
          <w:p>
            <w:pPr>
              <w:jc w:val="center"/>
            </w:pPr>
            <w:r>
              <w:rPr>
                <w:color w:val="000000"/>
                <w:sz w:val="24"/>
              </w:rPr>
              <w:t>0.37%</w:t>
            </w:r>
          </w:p>
        </w:tc>
        <w:tc>
          <w:tcPr>
            <w:vAlign w:val="center"/>
          </w:tcPr>
          <w:p>
            <w:pPr>
              <w:jc w:val="center"/>
            </w:pPr>
            <w:r>
              <w:rPr>
                <w:color w:val="000000"/>
                <w:sz w:val="24"/>
              </w:rPr>
              <w:t>0.88%</w:t>
            </w:r>
          </w:p>
        </w:tc>
        <w:tc>
          <w:tcPr>
            <w:vAlign w:val="center"/>
          </w:tcPr>
          <w:p>
            <w:pPr>
              <w:jc w:val="center"/>
            </w:pPr>
            <w:r>
              <w:rPr>
                <w:color w:val="000000"/>
                <w:sz w:val="24"/>
              </w:rPr>
              <w:t>0.01%</w:t>
            </w:r>
          </w:p>
        </w:tc>
        <w:tc>
          <w:tcPr>
            <w:vAlign w:val="center"/>
          </w:tcPr>
          <w:p>
            <w:pPr>
              <w:jc w:val="center"/>
            </w:pPr>
            <w:r>
              <w:rPr>
                <w:color w:val="000000"/>
                <w:sz w:val="24"/>
              </w:rPr>
              <w:t>6.35%</w:t>
            </w:r>
          </w:p>
        </w:tc>
        <w:tc>
          <w:tcPr>
            <w:vAlign w:val="center"/>
          </w:tcPr>
          <w:p>
            <w:pPr>
              <w:jc w:val="center"/>
            </w:pPr>
            <w:r>
              <w:rPr>
                <w:color w:val="000000"/>
                <w:sz w:val="24"/>
              </w:rPr>
              <w:t>0.36%</w:t>
            </w:r>
          </w:p>
        </w:tc>
      </w:tr>
      <w:tr>
        <w:tc>
          <w:tcPr>
            <w:vAlign w:val="center"/>
          </w:tcPr>
          <w:p>
            <w:pPr>
              <w:jc w:val="left"/>
            </w:pPr>
            <w:r>
              <w:rPr>
                <w:color w:val="000000"/>
                <w:sz w:val="24"/>
              </w:rPr>
              <w:t>过去六个月</w:t>
            </w:r>
          </w:p>
        </w:tc>
        <w:tc>
          <w:tcPr>
            <w:vAlign w:val="center"/>
          </w:tcPr>
          <w:p>
            <w:pPr>
              <w:jc w:val="center"/>
            </w:pPr>
            <w:r>
              <w:rPr>
                <w:color w:val="000000"/>
                <w:sz w:val="24"/>
              </w:rPr>
              <w:t>12.22%</w:t>
            </w:r>
          </w:p>
        </w:tc>
        <w:tc>
          <w:tcPr>
            <w:vAlign w:val="center"/>
          </w:tcPr>
          <w:p>
            <w:pPr>
              <w:jc w:val="center"/>
            </w:pPr>
            <w:r>
              <w:rPr>
                <w:color w:val="000000"/>
                <w:sz w:val="24"/>
              </w:rPr>
              <w:t>0.63%</w:t>
            </w:r>
          </w:p>
        </w:tc>
        <w:tc>
          <w:tcPr>
            <w:vAlign w:val="center"/>
          </w:tcPr>
          <w:p>
            <w:pPr>
              <w:jc w:val="center"/>
            </w:pPr>
            <w:r>
              <w:rPr>
                <w:color w:val="000000"/>
                <w:sz w:val="24"/>
              </w:rPr>
              <w:t>1.77%</w:t>
            </w:r>
          </w:p>
        </w:tc>
        <w:tc>
          <w:tcPr>
            <w:vAlign w:val="center"/>
          </w:tcPr>
          <w:p>
            <w:pPr>
              <w:jc w:val="center"/>
            </w:pPr>
            <w:r>
              <w:rPr>
                <w:color w:val="000000"/>
                <w:sz w:val="24"/>
              </w:rPr>
              <w:t>0.01%</w:t>
            </w:r>
          </w:p>
        </w:tc>
        <w:tc>
          <w:tcPr>
            <w:vAlign w:val="center"/>
          </w:tcPr>
          <w:p>
            <w:pPr>
              <w:jc w:val="center"/>
            </w:pPr>
            <w:r>
              <w:rPr>
                <w:color w:val="000000"/>
                <w:sz w:val="24"/>
              </w:rPr>
              <w:t>10.45%</w:t>
            </w:r>
          </w:p>
        </w:tc>
        <w:tc>
          <w:tcPr>
            <w:vAlign w:val="center"/>
          </w:tcPr>
          <w:p>
            <w:pPr>
              <w:jc w:val="center"/>
            </w:pPr>
            <w:r>
              <w:rPr>
                <w:color w:val="000000"/>
                <w:sz w:val="24"/>
              </w:rPr>
              <w:t>0.62%</w:t>
            </w:r>
          </w:p>
        </w:tc>
      </w:tr>
      <w:tr>
        <w:tc>
          <w:tcPr>
            <w:vAlign w:val="center"/>
          </w:tcPr>
          <w:p>
            <w:pPr>
              <w:jc w:val="left"/>
            </w:pPr>
            <w:r>
              <w:rPr>
                <w:color w:val="000000"/>
                <w:sz w:val="24"/>
              </w:rPr>
              <w:t>过去一年</w:t>
            </w:r>
          </w:p>
        </w:tc>
        <w:tc>
          <w:tcPr>
            <w:vAlign w:val="center"/>
          </w:tcPr>
          <w:p>
            <w:pPr>
              <w:jc w:val="center"/>
            </w:pPr>
            <w:r>
              <w:rPr>
                <w:color w:val="000000"/>
                <w:sz w:val="24"/>
              </w:rPr>
              <w:t>21.80%</w:t>
            </w:r>
          </w:p>
        </w:tc>
        <w:tc>
          <w:tcPr>
            <w:vAlign w:val="center"/>
          </w:tcPr>
          <w:p>
            <w:pPr>
              <w:jc w:val="center"/>
            </w:pPr>
            <w:r>
              <w:rPr>
                <w:color w:val="000000"/>
                <w:sz w:val="24"/>
              </w:rPr>
              <w:t>0.48%</w:t>
            </w:r>
          </w:p>
        </w:tc>
        <w:tc>
          <w:tcPr>
            <w:vAlign w:val="center"/>
          </w:tcPr>
          <w:p>
            <w:pPr>
              <w:jc w:val="center"/>
            </w:pPr>
            <w:r>
              <w:rPr>
                <w:color w:val="000000"/>
                <w:sz w:val="24"/>
              </w:rPr>
              <w:t>3.56%</w:t>
            </w:r>
          </w:p>
        </w:tc>
        <w:tc>
          <w:tcPr>
            <w:vAlign w:val="center"/>
          </w:tcPr>
          <w:p>
            <w:pPr>
              <w:jc w:val="center"/>
            </w:pPr>
            <w:r>
              <w:rPr>
                <w:color w:val="000000"/>
                <w:sz w:val="24"/>
              </w:rPr>
              <w:t>0.01%</w:t>
            </w:r>
          </w:p>
        </w:tc>
        <w:tc>
          <w:tcPr>
            <w:vAlign w:val="center"/>
          </w:tcPr>
          <w:p>
            <w:pPr>
              <w:jc w:val="center"/>
            </w:pPr>
            <w:r>
              <w:rPr>
                <w:color w:val="000000"/>
                <w:sz w:val="24"/>
              </w:rPr>
              <w:t>18.24%</w:t>
            </w:r>
          </w:p>
        </w:tc>
        <w:tc>
          <w:tcPr>
            <w:vAlign w:val="center"/>
          </w:tcPr>
          <w:p>
            <w:pPr>
              <w:jc w:val="center"/>
            </w:pPr>
            <w:r>
              <w:rPr>
                <w:color w:val="000000"/>
                <w:sz w:val="24"/>
              </w:rPr>
              <w:t>0.47%</w:t>
            </w:r>
          </w:p>
        </w:tc>
      </w:tr>
      <w:tr>
        <w:tc>
          <w:tcPr>
            <w:vAlign w:val="center"/>
          </w:tcPr>
          <w:p>
            <w:pPr>
              <w:jc w:val="left"/>
            </w:pPr>
            <w:r>
              <w:rPr>
                <w:color w:val="000000"/>
                <w:sz w:val="24"/>
              </w:rPr>
              <w:t>过去三年</w:t>
            </w:r>
          </w:p>
        </w:tc>
        <w:tc>
          <w:tcPr>
            <w:vAlign w:val="center"/>
          </w:tcPr>
          <w:p>
            <w:pPr>
              <w:jc w:val="center"/>
            </w:pPr>
            <w:r>
              <w:rPr>
                <w:color w:val="000000"/>
                <w:sz w:val="24"/>
              </w:rPr>
              <w:t>44.58%</w:t>
            </w:r>
          </w:p>
        </w:tc>
        <w:tc>
          <w:tcPr>
            <w:vAlign w:val="center"/>
          </w:tcPr>
          <w:p>
            <w:pPr>
              <w:jc w:val="center"/>
            </w:pPr>
            <w:r>
              <w:rPr>
                <w:color w:val="000000"/>
                <w:sz w:val="24"/>
              </w:rPr>
              <w:t>0.42%</w:t>
            </w:r>
          </w:p>
        </w:tc>
        <w:tc>
          <w:tcPr>
            <w:vAlign w:val="center"/>
          </w:tcPr>
          <w:p>
            <w:pPr>
              <w:jc w:val="center"/>
            </w:pPr>
            <w:r>
              <w:rPr>
                <w:color w:val="000000"/>
                <w:sz w:val="24"/>
              </w:rPr>
              <w:t>10.66%</w:t>
            </w:r>
          </w:p>
        </w:tc>
        <w:tc>
          <w:tcPr>
            <w:vAlign w:val="center"/>
          </w:tcPr>
          <w:p>
            <w:pPr>
              <w:jc w:val="center"/>
            </w:pPr>
            <w:r>
              <w:rPr>
                <w:color w:val="000000"/>
                <w:sz w:val="24"/>
              </w:rPr>
              <w:t>0.01%</w:t>
            </w:r>
          </w:p>
        </w:tc>
        <w:tc>
          <w:tcPr>
            <w:vAlign w:val="center"/>
          </w:tcPr>
          <w:p>
            <w:pPr>
              <w:jc w:val="center"/>
            </w:pPr>
            <w:r>
              <w:rPr>
                <w:color w:val="000000"/>
                <w:sz w:val="24"/>
              </w:rPr>
              <w:t>33.92%</w:t>
            </w:r>
          </w:p>
        </w:tc>
        <w:tc>
          <w:tcPr>
            <w:vAlign w:val="center"/>
          </w:tcPr>
          <w:p>
            <w:pPr>
              <w:jc w:val="center"/>
            </w:pPr>
            <w:r>
              <w:rPr>
                <w:color w:val="000000"/>
                <w:sz w:val="24"/>
              </w:rPr>
              <w:t>0.41%</w:t>
            </w:r>
          </w:p>
        </w:tc>
      </w:tr>
      <w:tr>
        <w:tc>
          <w:tcPr>
            <w:vAlign w:val="center"/>
          </w:tcPr>
          <w:p>
            <w:pPr>
              <w:jc w:val="left"/>
            </w:pPr>
            <w:r>
              <w:rPr>
                <w:color w:val="000000"/>
                <w:sz w:val="24"/>
              </w:rPr>
              <w:t>过去五年</w:t>
            </w:r>
          </w:p>
        </w:tc>
        <w:tc>
          <w:tcPr>
            <w:vAlign w:val="center"/>
          </w:tcPr>
          <w:p>
            <w:pPr>
              <w:jc w:val="center"/>
            </w:pPr>
            <w:r>
              <w:rPr>
                <w:color w:val="000000"/>
                <w:sz w:val="24"/>
              </w:rPr>
              <w:t>85.31%</w:t>
            </w:r>
          </w:p>
        </w:tc>
        <w:tc>
          <w:tcPr>
            <w:vAlign w:val="center"/>
          </w:tcPr>
          <w:p>
            <w:pPr>
              <w:jc w:val="center"/>
            </w:pPr>
            <w:r>
              <w:rPr>
                <w:color w:val="000000"/>
                <w:sz w:val="24"/>
              </w:rPr>
              <w:t>0.56%</w:t>
            </w:r>
          </w:p>
        </w:tc>
        <w:tc>
          <w:tcPr>
            <w:vAlign w:val="center"/>
          </w:tcPr>
          <w:p>
            <w:pPr>
              <w:jc w:val="center"/>
            </w:pPr>
            <w:r>
              <w:rPr>
                <w:color w:val="000000"/>
                <w:sz w:val="24"/>
              </w:rPr>
              <w:t>17.88%</w:t>
            </w:r>
          </w:p>
        </w:tc>
        <w:tc>
          <w:tcPr>
            <w:vAlign w:val="center"/>
          </w:tcPr>
          <w:p>
            <w:pPr>
              <w:jc w:val="center"/>
            </w:pPr>
            <w:r>
              <w:rPr>
                <w:color w:val="000000"/>
                <w:sz w:val="24"/>
              </w:rPr>
              <w:t>0.01%</w:t>
            </w:r>
          </w:p>
        </w:tc>
        <w:tc>
          <w:tcPr>
            <w:vAlign w:val="center"/>
          </w:tcPr>
          <w:p>
            <w:pPr>
              <w:jc w:val="center"/>
            </w:pPr>
            <w:r>
              <w:rPr>
                <w:color w:val="000000"/>
                <w:sz w:val="24"/>
              </w:rPr>
              <w:t>67.43%</w:t>
            </w:r>
          </w:p>
        </w:tc>
        <w:tc>
          <w:tcPr>
            <w:vAlign w:val="center"/>
          </w:tcPr>
          <w:p>
            <w:pPr>
              <w:jc w:val="center"/>
            </w:pPr>
            <w:r>
              <w:rPr>
                <w:color w:val="000000"/>
                <w:sz w:val="24"/>
              </w:rPr>
              <w:t>0.55%</w:t>
            </w:r>
          </w:p>
        </w:tc>
      </w:tr>
      <w:tr>
        <w:tc>
          <w:tcPr>
            <w:vAlign w:val="center"/>
          </w:tcPr>
          <w:p>
            <w:pPr>
              <w:jc w:val="left"/>
            </w:pPr>
            <w:r>
              <w:rPr>
                <w:color w:val="000000"/>
                <w:sz w:val="24"/>
              </w:rPr>
              <w:t>自基金合同生效起至今</w:t>
            </w:r>
          </w:p>
        </w:tc>
        <w:tc>
          <w:tcPr>
            <w:vAlign w:val="center"/>
          </w:tcPr>
          <w:p>
            <w:pPr>
              <w:jc w:val="center"/>
            </w:pPr>
            <w:r>
              <w:rPr>
                <w:color w:val="000000"/>
                <w:sz w:val="24"/>
              </w:rPr>
              <w:t>85.50%</w:t>
            </w:r>
          </w:p>
        </w:tc>
        <w:tc>
          <w:tcPr>
            <w:vAlign w:val="center"/>
          </w:tcPr>
          <w:p>
            <w:pPr>
              <w:jc w:val="center"/>
            </w:pPr>
            <w:r>
              <w:rPr>
                <w:color w:val="000000"/>
                <w:sz w:val="24"/>
              </w:rPr>
              <w:t>0.56%</w:t>
            </w:r>
          </w:p>
        </w:tc>
        <w:tc>
          <w:tcPr>
            <w:vAlign w:val="center"/>
          </w:tcPr>
          <w:p>
            <w:pPr>
              <w:jc w:val="center"/>
            </w:pPr>
            <w:r>
              <w:rPr>
                <w:color w:val="000000"/>
                <w:sz w:val="24"/>
              </w:rPr>
              <w:t>18.06%</w:t>
            </w:r>
          </w:p>
        </w:tc>
        <w:tc>
          <w:tcPr>
            <w:vAlign w:val="center"/>
          </w:tcPr>
          <w:p>
            <w:pPr>
              <w:jc w:val="center"/>
            </w:pPr>
            <w:r>
              <w:rPr>
                <w:color w:val="000000"/>
                <w:sz w:val="24"/>
              </w:rPr>
              <w:t>0.01%</w:t>
            </w:r>
          </w:p>
        </w:tc>
        <w:tc>
          <w:tcPr>
            <w:vAlign w:val="center"/>
          </w:tcPr>
          <w:p>
            <w:pPr>
              <w:jc w:val="center"/>
            </w:pPr>
            <w:r>
              <w:rPr>
                <w:color w:val="000000"/>
                <w:sz w:val="24"/>
              </w:rPr>
              <w:t>67.44%</w:t>
            </w:r>
          </w:p>
        </w:tc>
        <w:tc>
          <w:tcPr>
            <w:vAlign w:val="center"/>
          </w:tcPr>
          <w:p>
            <w:pPr>
              <w:jc w:val="center"/>
            </w:pPr>
            <w:r>
              <w:rPr>
                <w:color w:val="000000"/>
                <w:sz w:val="24"/>
              </w:rPr>
              <w:t>0.55%</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易方达新益混合E</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7.13%</w:t>
            </w:r>
          </w:p>
        </w:tc>
        <w:tc>
          <w:tcPr>
            <w:vAlign w:val="center"/>
          </w:tcPr>
          <w:p>
            <w:pPr>
              <w:jc w:val="center"/>
            </w:pPr>
            <w:r>
              <w:rPr>
                <w:color w:val="000000"/>
                <w:sz w:val="24"/>
              </w:rPr>
              <w:t>0.36%</w:t>
            </w:r>
          </w:p>
        </w:tc>
        <w:tc>
          <w:tcPr>
            <w:vAlign w:val="center"/>
          </w:tcPr>
          <w:p>
            <w:pPr>
              <w:jc w:val="center"/>
            </w:pPr>
            <w:r>
              <w:rPr>
                <w:color w:val="000000"/>
                <w:sz w:val="24"/>
              </w:rPr>
              <w:t>0.88%</w:t>
            </w:r>
          </w:p>
        </w:tc>
        <w:tc>
          <w:tcPr>
            <w:vAlign w:val="center"/>
          </w:tcPr>
          <w:p>
            <w:pPr>
              <w:jc w:val="center"/>
            </w:pPr>
            <w:r>
              <w:rPr>
                <w:color w:val="000000"/>
                <w:sz w:val="24"/>
              </w:rPr>
              <w:t>0.01%</w:t>
            </w:r>
          </w:p>
        </w:tc>
        <w:tc>
          <w:tcPr>
            <w:vAlign w:val="center"/>
          </w:tcPr>
          <w:p>
            <w:pPr>
              <w:jc w:val="center"/>
            </w:pPr>
            <w:r>
              <w:rPr>
                <w:color w:val="000000"/>
                <w:sz w:val="24"/>
              </w:rPr>
              <w:t>6.25%</w:t>
            </w:r>
          </w:p>
        </w:tc>
        <w:tc>
          <w:tcPr>
            <w:vAlign w:val="center"/>
          </w:tcPr>
          <w:p>
            <w:pPr>
              <w:jc w:val="center"/>
            </w:pPr>
            <w:r>
              <w:rPr>
                <w:color w:val="000000"/>
                <w:sz w:val="24"/>
              </w:rPr>
              <w:t>0.35%</w:t>
            </w:r>
          </w:p>
        </w:tc>
      </w:tr>
      <w:tr>
        <w:tc>
          <w:tcPr>
            <w:vAlign w:val="center"/>
          </w:tcPr>
          <w:p>
            <w:pPr>
              <w:jc w:val="left"/>
            </w:pPr>
            <w:r>
              <w:rPr>
                <w:color w:val="000000"/>
                <w:sz w:val="24"/>
              </w:rPr>
              <w:t>过去六个月</w:t>
            </w:r>
          </w:p>
        </w:tc>
        <w:tc>
          <w:tcPr>
            <w:vAlign w:val="center"/>
          </w:tcPr>
          <w:p>
            <w:pPr>
              <w:jc w:val="center"/>
            </w:pPr>
            <w:r>
              <w:rPr>
                <w:color w:val="000000"/>
                <w:sz w:val="24"/>
              </w:rPr>
              <w:t>12.10%</w:t>
            </w:r>
          </w:p>
        </w:tc>
        <w:tc>
          <w:tcPr>
            <w:vAlign w:val="center"/>
          </w:tcPr>
          <w:p>
            <w:pPr>
              <w:jc w:val="center"/>
            </w:pPr>
            <w:r>
              <w:rPr>
                <w:color w:val="000000"/>
                <w:sz w:val="24"/>
              </w:rPr>
              <w:t>0.63%</w:t>
            </w:r>
          </w:p>
        </w:tc>
        <w:tc>
          <w:tcPr>
            <w:vAlign w:val="center"/>
          </w:tcPr>
          <w:p>
            <w:pPr>
              <w:jc w:val="center"/>
            </w:pPr>
            <w:r>
              <w:rPr>
                <w:color w:val="000000"/>
                <w:sz w:val="24"/>
              </w:rPr>
              <w:t>1.77%</w:t>
            </w:r>
          </w:p>
        </w:tc>
        <w:tc>
          <w:tcPr>
            <w:vAlign w:val="center"/>
          </w:tcPr>
          <w:p>
            <w:pPr>
              <w:jc w:val="center"/>
            </w:pPr>
            <w:r>
              <w:rPr>
                <w:color w:val="000000"/>
                <w:sz w:val="24"/>
              </w:rPr>
              <w:t>0.01%</w:t>
            </w:r>
          </w:p>
        </w:tc>
        <w:tc>
          <w:tcPr>
            <w:vAlign w:val="center"/>
          </w:tcPr>
          <w:p>
            <w:pPr>
              <w:jc w:val="center"/>
            </w:pPr>
            <w:r>
              <w:rPr>
                <w:color w:val="000000"/>
                <w:sz w:val="24"/>
              </w:rPr>
              <w:t>10.33%</w:t>
            </w:r>
          </w:p>
        </w:tc>
        <w:tc>
          <w:tcPr>
            <w:vAlign w:val="center"/>
          </w:tcPr>
          <w:p>
            <w:pPr>
              <w:jc w:val="center"/>
            </w:pPr>
            <w:r>
              <w:rPr>
                <w:color w:val="000000"/>
                <w:sz w:val="24"/>
              </w:rPr>
              <w:t>0.62%</w:t>
            </w:r>
          </w:p>
        </w:tc>
      </w:tr>
      <w:tr>
        <w:tc>
          <w:tcPr>
            <w:vAlign w:val="center"/>
          </w:tcPr>
          <w:p>
            <w:pPr>
              <w:jc w:val="left"/>
            </w:pPr>
            <w:r>
              <w:rPr>
                <w:color w:val="000000"/>
                <w:sz w:val="24"/>
              </w:rPr>
              <w:t>过去一年</w:t>
            </w:r>
          </w:p>
        </w:tc>
        <w:tc>
          <w:tcPr>
            <w:vAlign w:val="center"/>
          </w:tcPr>
          <w:p>
            <w:pPr>
              <w:jc w:val="center"/>
            </w:pPr>
            <w:r>
              <w:rPr>
                <w:color w:val="000000"/>
                <w:sz w:val="24"/>
              </w:rPr>
              <w:t>21.50%</w:t>
            </w:r>
          </w:p>
        </w:tc>
        <w:tc>
          <w:tcPr>
            <w:vAlign w:val="center"/>
          </w:tcPr>
          <w:p>
            <w:pPr>
              <w:jc w:val="center"/>
            </w:pPr>
            <w:r>
              <w:rPr>
                <w:color w:val="000000"/>
                <w:sz w:val="24"/>
              </w:rPr>
              <w:t>0.48%</w:t>
            </w:r>
          </w:p>
        </w:tc>
        <w:tc>
          <w:tcPr>
            <w:vAlign w:val="center"/>
          </w:tcPr>
          <w:p>
            <w:pPr>
              <w:jc w:val="center"/>
            </w:pPr>
            <w:r>
              <w:rPr>
                <w:color w:val="000000"/>
                <w:sz w:val="24"/>
              </w:rPr>
              <w:t>3.56%</w:t>
            </w:r>
          </w:p>
        </w:tc>
        <w:tc>
          <w:tcPr>
            <w:vAlign w:val="center"/>
          </w:tcPr>
          <w:p>
            <w:pPr>
              <w:jc w:val="center"/>
            </w:pPr>
            <w:r>
              <w:rPr>
                <w:color w:val="000000"/>
                <w:sz w:val="24"/>
              </w:rPr>
              <w:t>0.01%</w:t>
            </w:r>
          </w:p>
        </w:tc>
        <w:tc>
          <w:tcPr>
            <w:vAlign w:val="center"/>
          </w:tcPr>
          <w:p>
            <w:pPr>
              <w:jc w:val="center"/>
            </w:pPr>
            <w:r>
              <w:rPr>
                <w:color w:val="000000"/>
                <w:sz w:val="24"/>
              </w:rPr>
              <w:t>17.94%</w:t>
            </w:r>
          </w:p>
        </w:tc>
        <w:tc>
          <w:tcPr>
            <w:vAlign w:val="center"/>
          </w:tcPr>
          <w:p>
            <w:pPr>
              <w:jc w:val="center"/>
            </w:pPr>
            <w:r>
              <w:rPr>
                <w:color w:val="000000"/>
                <w:sz w:val="24"/>
              </w:rPr>
              <w:t>0.47%</w:t>
            </w:r>
          </w:p>
        </w:tc>
      </w:tr>
      <w:tr>
        <w:tc>
          <w:tcPr>
            <w:vAlign w:val="center"/>
          </w:tcPr>
          <w:p>
            <w:pPr>
              <w:jc w:val="left"/>
            </w:pPr>
            <w:r>
              <w:rPr>
                <w:color w:val="000000"/>
                <w:sz w:val="24"/>
              </w:rPr>
              <w:t>过去三年</w:t>
            </w:r>
          </w:p>
        </w:tc>
        <w:tc>
          <w:tcPr>
            <w:vAlign w:val="center"/>
          </w:tcPr>
          <w:p>
            <w:pPr>
              <w:jc w:val="center"/>
            </w:pPr>
            <w:r>
              <w:rPr>
                <w:color w:val="000000"/>
                <w:sz w:val="24"/>
              </w:rPr>
              <w:t>43.76%</w:t>
            </w:r>
          </w:p>
        </w:tc>
        <w:tc>
          <w:tcPr>
            <w:vAlign w:val="center"/>
          </w:tcPr>
          <w:p>
            <w:pPr>
              <w:jc w:val="center"/>
            </w:pPr>
            <w:r>
              <w:rPr>
                <w:color w:val="000000"/>
                <w:sz w:val="24"/>
              </w:rPr>
              <w:t>0.42%</w:t>
            </w:r>
          </w:p>
        </w:tc>
        <w:tc>
          <w:tcPr>
            <w:vAlign w:val="center"/>
          </w:tcPr>
          <w:p>
            <w:pPr>
              <w:jc w:val="center"/>
            </w:pPr>
            <w:r>
              <w:rPr>
                <w:color w:val="000000"/>
                <w:sz w:val="24"/>
              </w:rPr>
              <w:t>10.66%</w:t>
            </w:r>
          </w:p>
        </w:tc>
        <w:tc>
          <w:tcPr>
            <w:vAlign w:val="center"/>
          </w:tcPr>
          <w:p>
            <w:pPr>
              <w:jc w:val="center"/>
            </w:pPr>
            <w:r>
              <w:rPr>
                <w:color w:val="000000"/>
                <w:sz w:val="24"/>
              </w:rPr>
              <w:t>0.01%</w:t>
            </w:r>
          </w:p>
        </w:tc>
        <w:tc>
          <w:tcPr>
            <w:vAlign w:val="center"/>
          </w:tcPr>
          <w:p>
            <w:pPr>
              <w:jc w:val="center"/>
            </w:pPr>
            <w:r>
              <w:rPr>
                <w:color w:val="000000"/>
                <w:sz w:val="24"/>
              </w:rPr>
              <w:t>33.10%</w:t>
            </w:r>
          </w:p>
        </w:tc>
        <w:tc>
          <w:tcPr>
            <w:vAlign w:val="center"/>
          </w:tcPr>
          <w:p>
            <w:pPr>
              <w:jc w:val="center"/>
            </w:pPr>
            <w:r>
              <w:rPr>
                <w:color w:val="000000"/>
                <w:sz w:val="24"/>
              </w:rPr>
              <w:t>0.41%</w:t>
            </w:r>
          </w:p>
        </w:tc>
      </w:tr>
      <w:tr>
        <w:tc>
          <w:tcPr>
            <w:vAlign w:val="center"/>
          </w:tcPr>
          <w:p>
            <w:pPr>
              <w:jc w:val="left"/>
            </w:pPr>
            <w:r>
              <w:rPr>
                <w:color w:val="000000"/>
                <w:sz w:val="24"/>
              </w:rPr>
              <w:t>过去五年</w:t>
            </w:r>
          </w:p>
        </w:tc>
        <w:tc>
          <w:tcPr>
            <w:vAlign w:val="center"/>
          </w:tcPr>
          <w:p>
            <w:pPr>
              <w:jc w:val="center"/>
            </w:pPr>
            <w:r>
              <w:rPr>
                <w:color w:val="000000"/>
                <w:sz w:val="24"/>
              </w:rPr>
              <w:t>146.15%</w:t>
            </w:r>
          </w:p>
        </w:tc>
        <w:tc>
          <w:tcPr>
            <w:vAlign w:val="center"/>
          </w:tcPr>
          <w:p>
            <w:pPr>
              <w:jc w:val="center"/>
            </w:pPr>
            <w:r>
              <w:rPr>
                <w:color w:val="000000"/>
                <w:sz w:val="24"/>
              </w:rPr>
              <w:t>1.59%</w:t>
            </w:r>
          </w:p>
        </w:tc>
        <w:tc>
          <w:tcPr>
            <w:vAlign w:val="center"/>
          </w:tcPr>
          <w:p>
            <w:pPr>
              <w:jc w:val="center"/>
            </w:pPr>
            <w:r>
              <w:rPr>
                <w:color w:val="000000"/>
                <w:sz w:val="24"/>
              </w:rPr>
              <w:t>17.88%</w:t>
            </w:r>
          </w:p>
        </w:tc>
        <w:tc>
          <w:tcPr>
            <w:vAlign w:val="center"/>
          </w:tcPr>
          <w:p>
            <w:pPr>
              <w:jc w:val="center"/>
            </w:pPr>
            <w:r>
              <w:rPr>
                <w:color w:val="000000"/>
                <w:sz w:val="24"/>
              </w:rPr>
              <w:t>0.01%</w:t>
            </w:r>
          </w:p>
        </w:tc>
        <w:tc>
          <w:tcPr>
            <w:vAlign w:val="center"/>
          </w:tcPr>
          <w:p>
            <w:pPr>
              <w:jc w:val="center"/>
            </w:pPr>
            <w:r>
              <w:rPr>
                <w:color w:val="000000"/>
                <w:sz w:val="24"/>
              </w:rPr>
              <w:t>128.27%</w:t>
            </w:r>
          </w:p>
        </w:tc>
        <w:tc>
          <w:tcPr>
            <w:vAlign w:val="center"/>
          </w:tcPr>
          <w:p>
            <w:pPr>
              <w:jc w:val="center"/>
            </w:pPr>
            <w:r>
              <w:rPr>
                <w:color w:val="000000"/>
                <w:sz w:val="24"/>
              </w:rPr>
              <w:t>1.58%</w:t>
            </w:r>
          </w:p>
        </w:tc>
      </w:tr>
      <w:tr>
        <w:tc>
          <w:tcPr>
            <w:vAlign w:val="center"/>
          </w:tcPr>
          <w:p>
            <w:pPr>
              <w:jc w:val="left"/>
            </w:pPr>
            <w:r>
              <w:rPr>
                <w:color w:val="000000"/>
                <w:sz w:val="24"/>
              </w:rPr>
              <w:t>自基金合同生效起至今</w:t>
            </w:r>
          </w:p>
        </w:tc>
        <w:tc>
          <w:tcPr>
            <w:vAlign w:val="center"/>
          </w:tcPr>
          <w:p>
            <w:pPr>
              <w:jc w:val="center"/>
            </w:pPr>
            <w:r>
              <w:rPr>
                <w:color w:val="000000"/>
                <w:sz w:val="24"/>
              </w:rPr>
              <w:t>146.40%</w:t>
            </w:r>
          </w:p>
        </w:tc>
        <w:tc>
          <w:tcPr>
            <w:vAlign w:val="center"/>
          </w:tcPr>
          <w:p>
            <w:pPr>
              <w:jc w:val="center"/>
            </w:pPr>
            <w:r>
              <w:rPr>
                <w:color w:val="000000"/>
                <w:sz w:val="24"/>
              </w:rPr>
              <w:t>1.59%</w:t>
            </w:r>
          </w:p>
        </w:tc>
        <w:tc>
          <w:tcPr>
            <w:vAlign w:val="center"/>
          </w:tcPr>
          <w:p>
            <w:pPr>
              <w:jc w:val="center"/>
            </w:pPr>
            <w:r>
              <w:rPr>
                <w:color w:val="000000"/>
                <w:sz w:val="24"/>
              </w:rPr>
              <w:t>18.06%</w:t>
            </w:r>
          </w:p>
        </w:tc>
        <w:tc>
          <w:tcPr>
            <w:vAlign w:val="center"/>
          </w:tcPr>
          <w:p>
            <w:pPr>
              <w:jc w:val="center"/>
            </w:pPr>
            <w:r>
              <w:rPr>
                <w:color w:val="000000"/>
                <w:sz w:val="24"/>
              </w:rPr>
              <w:t>0.01%</w:t>
            </w:r>
          </w:p>
        </w:tc>
        <w:tc>
          <w:tcPr>
            <w:vAlign w:val="center"/>
          </w:tcPr>
          <w:p>
            <w:pPr>
              <w:jc w:val="center"/>
            </w:pPr>
            <w:r>
              <w:rPr>
                <w:color w:val="000000"/>
                <w:sz w:val="24"/>
              </w:rPr>
              <w:t>128.34%</w:t>
            </w:r>
          </w:p>
        </w:tc>
        <w:tc>
          <w:tcPr>
            <w:vAlign w:val="center"/>
          </w:tcPr>
          <w:p>
            <w:pPr>
              <w:jc w:val="center"/>
            </w:pPr>
            <w:r>
              <w:rPr>
                <w:color w:val="000000"/>
                <w:sz w:val="24"/>
              </w:rPr>
              <w:t>1.58%</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易方达新益灵活配置混合型证券投资基金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（2015年6月16日至2020年6月30日）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易方达新益混合I</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易方达新益混合E</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注：自基金合同生效至报告期末，I类基金份额净值增长率为85.50%，E类基金份额净值增长率为146.40%，同期业绩比较基准收益率为18.06%。</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韩阅川</w:t>
            </w:r>
          </w:p>
        </w:tc>
        <w:tc>
          <w:tcPr>
            <w:vAlign w:val="center"/>
          </w:tcPr>
          <w:p>
            <w:pPr>
              <w:jc w:val="left"/>
            </w:pPr>
            <w:r>
              <w:rPr>
                <w:color w:val="000000"/>
                <w:sz w:val="24"/>
              </w:rPr>
              <w:t>本基金的基金经理、易方达新鑫灵活配置混合型证券投资基金的基金经理、易方达瑞景灵活配置混合型证券投资基金的基金经理、易方达新享灵活配置混合型证券投资基金的基金经理、易方达新利灵活配置混合型证券投资基金的基金经理、易方达瑞祥灵活配置混合型证券投资基金的基金经理、易方达瑞兴灵活配置混合型证券投资基金的基金经理、易方达瑞智灵活配置混合型证券投资基金的基金经理、易方达瑞选灵活配置混合型证券投资基金的基金经理、易方达裕鑫债券型证券投资基金的基金经理、易方达瑞祺灵活配置混合型证券投资基金的基金经理、易方达鑫转招利混合型证券投资基金的基金经理、易方达鑫转添利混合型证券投资基金的基金经理、易方达瑞和灵活配置混合型证券投资基金的基金经理、易方达瑞信灵活配置混合型证券投资基金的基金经理、易方达瑞川灵活配置混合型发起式证券投资基金的基金经理、易方达丰惠混合型证券投资基金的基金经理、易方达新收益灵活配置混合型证券投资基金的基金经理助理</w:t>
            </w:r>
          </w:p>
        </w:tc>
        <w:tc>
          <w:tcPr>
            <w:vAlign w:val="center"/>
          </w:tcPr>
          <w:p>
            <w:pPr>
              <w:jc w:val="center"/>
            </w:pPr>
            <w:r>
              <w:rPr>
                <w:color w:val="000000"/>
                <w:sz w:val="24"/>
              </w:rPr>
              <w:t>2019-08-03</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操作上，组合权益坚持自下而上选择个股的长期配置价值，逐步增加股票仓位，以提升组合弹性。债券方面，组合继续维持较高的杠杆和中性的久期水平，整体仍按照票息策略的偏绝对收益操作思路为主。此外，组合仍积极参与科创版打新。</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截至报告期末，本基金I类基金份额净值为1.855元，本报告期份额净值增长率为7.23%，同期业绩比较基准收益率为0.88%；E类基金份额净值为2.464元，本报告期份额净值增长率为7.13%，同期业绩比较基准收益率为0.88%。</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249,932,111.77</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24.61</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249,932,111.77</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24.61</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734,176,664.57</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72.29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714,108,664.57</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70.32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20,068,000.00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1.98</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15,239,133.63</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1.50</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16,235,828.90</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1.60</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1,015,583,738.87</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4,758,160.00</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0.62</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202,022,546.33</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26.47</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12,766.32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0.00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8,204,560.00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1.07</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5,593,327.12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0.73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12,120,385.70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1.59</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8,529,813.60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1.12</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402,083.70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0.05</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8,288,469.00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1.09</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249,932,111.77</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32.74</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600519</w:t>
            </w:r>
          </w:p>
        </w:tc>
        <w:tc>
          <w:tcPr>
            <w:vAlign w:val="center"/>
          </w:tcPr>
          <w:p>
            <w:pPr>
              <w:jc w:val="center"/>
            </w:pPr>
            <w:r>
              <w:rPr>
                <w:color w:val="000000"/>
                <w:sz w:val="24"/>
              </w:rPr>
              <w:t>贵州茅台</w:t>
            </w:r>
          </w:p>
        </w:tc>
        <w:tc>
          <w:tcPr>
            <w:vAlign w:val="center"/>
          </w:tcPr>
          <w:p>
            <w:pPr>
              <w:jc w:val="right"/>
            </w:pPr>
            <w:r>
              <w:rPr>
                <w:color w:val="000000"/>
                <w:sz w:val="24"/>
              </w:rPr>
              <w:t>10,800</w:t>
            </w:r>
          </w:p>
        </w:tc>
        <w:tc>
          <w:tcPr>
            <w:vAlign w:val="center"/>
          </w:tcPr>
          <w:p>
            <w:pPr>
              <w:jc w:val="right"/>
            </w:pPr>
            <w:r>
              <w:rPr>
                <w:color w:val="000000"/>
                <w:sz w:val="24"/>
              </w:rPr>
              <w:t>15,799,104.00</w:t>
            </w:r>
          </w:p>
        </w:tc>
        <w:tc>
          <w:tcPr>
            <w:vAlign w:val="center"/>
          </w:tcPr>
          <w:p>
            <w:pPr>
              <w:jc w:val="right"/>
            </w:pPr>
            <w:r>
              <w:rPr>
                <w:color w:val="000000"/>
                <w:sz w:val="24"/>
              </w:rPr>
              <w:t>2.07</w:t>
            </w:r>
          </w:p>
        </w:tc>
      </w:tr>
      <w:tr>
        <w:tc>
          <w:tcPr>
            <w:vAlign w:val="center"/>
          </w:tcPr>
          <w:p>
            <w:pPr>
              <w:jc w:val="center"/>
            </w:pPr>
            <w:r>
              <w:rPr>
                <w:color w:val="000000"/>
                <w:sz w:val="24"/>
              </w:rPr>
              <w:t>2</w:t>
            </w:r>
          </w:p>
        </w:tc>
        <w:tc>
          <w:tcPr>
            <w:vAlign w:val="center"/>
          </w:tcPr>
          <w:p>
            <w:pPr>
              <w:jc w:val="center"/>
            </w:pPr>
            <w:r>
              <w:rPr>
                <w:color w:val="000000"/>
                <w:sz w:val="24"/>
              </w:rPr>
              <w:t>300628</w:t>
            </w:r>
          </w:p>
        </w:tc>
        <w:tc>
          <w:tcPr>
            <w:vAlign w:val="center"/>
          </w:tcPr>
          <w:p>
            <w:pPr>
              <w:jc w:val="center"/>
            </w:pPr>
            <w:r>
              <w:rPr>
                <w:color w:val="000000"/>
                <w:sz w:val="24"/>
              </w:rPr>
              <w:t>亿联网络</w:t>
            </w:r>
          </w:p>
        </w:tc>
        <w:tc>
          <w:tcPr>
            <w:vAlign w:val="center"/>
          </w:tcPr>
          <w:p>
            <w:pPr>
              <w:jc w:val="right"/>
            </w:pPr>
            <w:r>
              <w:rPr>
                <w:color w:val="000000"/>
                <w:sz w:val="24"/>
              </w:rPr>
              <w:t>228,800</w:t>
            </w:r>
          </w:p>
        </w:tc>
        <w:tc>
          <w:tcPr>
            <w:vAlign w:val="center"/>
          </w:tcPr>
          <w:p>
            <w:pPr>
              <w:jc w:val="right"/>
            </w:pPr>
            <w:r>
              <w:rPr>
                <w:color w:val="000000"/>
                <w:sz w:val="24"/>
              </w:rPr>
              <w:t>15,617,888.00</w:t>
            </w:r>
          </w:p>
        </w:tc>
        <w:tc>
          <w:tcPr>
            <w:vAlign w:val="center"/>
          </w:tcPr>
          <w:p>
            <w:pPr>
              <w:jc w:val="right"/>
            </w:pPr>
            <w:r>
              <w:rPr>
                <w:color w:val="000000"/>
                <w:sz w:val="24"/>
              </w:rPr>
              <w:t>2.05</w:t>
            </w:r>
          </w:p>
        </w:tc>
      </w:tr>
      <w:tr>
        <w:tc>
          <w:tcPr>
            <w:vAlign w:val="center"/>
          </w:tcPr>
          <w:p>
            <w:pPr>
              <w:jc w:val="center"/>
            </w:pPr>
            <w:r>
              <w:rPr>
                <w:color w:val="000000"/>
                <w:sz w:val="24"/>
              </w:rPr>
              <w:t>3</w:t>
            </w:r>
          </w:p>
        </w:tc>
        <w:tc>
          <w:tcPr>
            <w:vAlign w:val="center"/>
          </w:tcPr>
          <w:p>
            <w:pPr>
              <w:jc w:val="center"/>
            </w:pPr>
            <w:r>
              <w:rPr>
                <w:color w:val="000000"/>
                <w:sz w:val="24"/>
              </w:rPr>
              <w:t>601799</w:t>
            </w:r>
          </w:p>
        </w:tc>
        <w:tc>
          <w:tcPr>
            <w:vAlign w:val="center"/>
          </w:tcPr>
          <w:p>
            <w:pPr>
              <w:jc w:val="center"/>
            </w:pPr>
            <w:r>
              <w:rPr>
                <w:color w:val="000000"/>
                <w:sz w:val="24"/>
              </w:rPr>
              <w:t>星宇股份</w:t>
            </w:r>
          </w:p>
        </w:tc>
        <w:tc>
          <w:tcPr>
            <w:vAlign w:val="center"/>
          </w:tcPr>
          <w:p>
            <w:pPr>
              <w:jc w:val="right"/>
            </w:pPr>
            <w:r>
              <w:rPr>
                <w:color w:val="000000"/>
                <w:sz w:val="24"/>
              </w:rPr>
              <w:t>122,200</w:t>
            </w:r>
          </w:p>
        </w:tc>
        <w:tc>
          <w:tcPr>
            <w:vAlign w:val="center"/>
          </w:tcPr>
          <w:p>
            <w:pPr>
              <w:jc w:val="right"/>
            </w:pPr>
            <w:r>
              <w:rPr>
                <w:color w:val="000000"/>
                <w:sz w:val="24"/>
              </w:rPr>
              <w:t>15,519,400.00</w:t>
            </w:r>
          </w:p>
        </w:tc>
        <w:tc>
          <w:tcPr>
            <w:vAlign w:val="center"/>
          </w:tcPr>
          <w:p>
            <w:pPr>
              <w:jc w:val="right"/>
            </w:pPr>
            <w:r>
              <w:rPr>
                <w:color w:val="000000"/>
                <w:sz w:val="24"/>
              </w:rPr>
              <w:t>2.03</w:t>
            </w:r>
          </w:p>
        </w:tc>
      </w:tr>
      <w:tr>
        <w:tc>
          <w:tcPr>
            <w:vAlign w:val="center"/>
          </w:tcPr>
          <w:p>
            <w:pPr>
              <w:jc w:val="center"/>
            </w:pPr>
            <w:r>
              <w:rPr>
                <w:color w:val="000000"/>
                <w:sz w:val="24"/>
              </w:rPr>
              <w:t>4</w:t>
            </w:r>
          </w:p>
        </w:tc>
        <w:tc>
          <w:tcPr>
            <w:vAlign w:val="center"/>
          </w:tcPr>
          <w:p>
            <w:pPr>
              <w:jc w:val="center"/>
            </w:pPr>
            <w:r>
              <w:rPr>
                <w:color w:val="000000"/>
                <w:sz w:val="24"/>
              </w:rPr>
              <w:t>000651</w:t>
            </w:r>
          </w:p>
        </w:tc>
        <w:tc>
          <w:tcPr>
            <w:vAlign w:val="center"/>
          </w:tcPr>
          <w:p>
            <w:pPr>
              <w:jc w:val="center"/>
            </w:pPr>
            <w:r>
              <w:rPr>
                <w:color w:val="000000"/>
                <w:sz w:val="24"/>
              </w:rPr>
              <w:t>格力电器</w:t>
            </w:r>
          </w:p>
        </w:tc>
        <w:tc>
          <w:tcPr>
            <w:vAlign w:val="center"/>
          </w:tcPr>
          <w:p>
            <w:pPr>
              <w:jc w:val="right"/>
            </w:pPr>
            <w:r>
              <w:rPr>
                <w:color w:val="000000"/>
                <w:sz w:val="24"/>
              </w:rPr>
              <w:t>243,900</w:t>
            </w:r>
          </w:p>
        </w:tc>
        <w:tc>
          <w:tcPr>
            <w:vAlign w:val="center"/>
          </w:tcPr>
          <w:p>
            <w:pPr>
              <w:jc w:val="right"/>
            </w:pPr>
            <w:r>
              <w:rPr>
                <w:color w:val="000000"/>
                <w:sz w:val="24"/>
              </w:rPr>
              <w:t>13,797,423.00</w:t>
            </w:r>
          </w:p>
        </w:tc>
        <w:tc>
          <w:tcPr>
            <w:vAlign w:val="center"/>
          </w:tcPr>
          <w:p>
            <w:pPr>
              <w:jc w:val="right"/>
            </w:pPr>
            <w:r>
              <w:rPr>
                <w:color w:val="000000"/>
                <w:sz w:val="24"/>
              </w:rPr>
              <w:t>1.81</w:t>
            </w:r>
          </w:p>
        </w:tc>
      </w:tr>
      <w:tr>
        <w:tc>
          <w:tcPr>
            <w:vAlign w:val="center"/>
          </w:tcPr>
          <w:p>
            <w:pPr>
              <w:jc w:val="center"/>
            </w:pPr>
            <w:r>
              <w:rPr>
                <w:color w:val="000000"/>
                <w:sz w:val="24"/>
              </w:rPr>
              <w:t>5</w:t>
            </w:r>
          </w:p>
        </w:tc>
        <w:tc>
          <w:tcPr>
            <w:vAlign w:val="center"/>
          </w:tcPr>
          <w:p>
            <w:pPr>
              <w:jc w:val="center"/>
            </w:pPr>
            <w:r>
              <w:rPr>
                <w:color w:val="000000"/>
                <w:sz w:val="24"/>
              </w:rPr>
              <w:t>603179</w:t>
            </w:r>
          </w:p>
        </w:tc>
        <w:tc>
          <w:tcPr>
            <w:vAlign w:val="center"/>
          </w:tcPr>
          <w:p>
            <w:pPr>
              <w:jc w:val="center"/>
            </w:pPr>
            <w:r>
              <w:rPr>
                <w:color w:val="000000"/>
                <w:sz w:val="24"/>
              </w:rPr>
              <w:t>新泉股份</w:t>
            </w:r>
          </w:p>
        </w:tc>
        <w:tc>
          <w:tcPr>
            <w:vAlign w:val="center"/>
          </w:tcPr>
          <w:p>
            <w:pPr>
              <w:jc w:val="right"/>
            </w:pPr>
            <w:r>
              <w:rPr>
                <w:color w:val="000000"/>
                <w:sz w:val="24"/>
              </w:rPr>
              <w:t>520,046</w:t>
            </w:r>
          </w:p>
        </w:tc>
        <w:tc>
          <w:tcPr>
            <w:vAlign w:val="center"/>
          </w:tcPr>
          <w:p>
            <w:pPr>
              <w:jc w:val="right"/>
            </w:pPr>
            <w:r>
              <w:rPr>
                <w:color w:val="000000"/>
                <w:sz w:val="24"/>
              </w:rPr>
              <w:t>11,773,841.44</w:t>
            </w:r>
          </w:p>
        </w:tc>
        <w:tc>
          <w:tcPr>
            <w:vAlign w:val="center"/>
          </w:tcPr>
          <w:p>
            <w:pPr>
              <w:jc w:val="right"/>
            </w:pPr>
            <w:r>
              <w:rPr>
                <w:color w:val="000000"/>
                <w:sz w:val="24"/>
              </w:rPr>
              <w:t>1.54</w:t>
            </w:r>
          </w:p>
        </w:tc>
      </w:tr>
      <w:tr>
        <w:tc>
          <w:tcPr>
            <w:vAlign w:val="center"/>
          </w:tcPr>
          <w:p>
            <w:pPr>
              <w:jc w:val="center"/>
            </w:pPr>
            <w:r>
              <w:rPr>
                <w:color w:val="000000"/>
                <w:sz w:val="24"/>
              </w:rPr>
              <w:t>6</w:t>
            </w:r>
          </w:p>
        </w:tc>
        <w:tc>
          <w:tcPr>
            <w:vAlign w:val="center"/>
          </w:tcPr>
          <w:p>
            <w:pPr>
              <w:jc w:val="center"/>
            </w:pPr>
            <w:r>
              <w:rPr>
                <w:color w:val="000000"/>
                <w:sz w:val="24"/>
              </w:rPr>
              <w:t>603806</w:t>
            </w:r>
          </w:p>
        </w:tc>
        <w:tc>
          <w:tcPr>
            <w:vAlign w:val="center"/>
          </w:tcPr>
          <w:p>
            <w:pPr>
              <w:jc w:val="center"/>
            </w:pPr>
            <w:r>
              <w:rPr>
                <w:color w:val="000000"/>
                <w:sz w:val="24"/>
              </w:rPr>
              <w:t>福斯特</w:t>
            </w:r>
          </w:p>
        </w:tc>
        <w:tc>
          <w:tcPr>
            <w:vAlign w:val="center"/>
          </w:tcPr>
          <w:p>
            <w:pPr>
              <w:jc w:val="right"/>
            </w:pPr>
            <w:r>
              <w:rPr>
                <w:color w:val="000000"/>
                <w:sz w:val="24"/>
              </w:rPr>
              <w:t>225,420</w:t>
            </w:r>
          </w:p>
        </w:tc>
        <w:tc>
          <w:tcPr>
            <w:vAlign w:val="center"/>
          </w:tcPr>
          <w:p>
            <w:pPr>
              <w:jc w:val="right"/>
            </w:pPr>
            <w:r>
              <w:rPr>
                <w:color w:val="000000"/>
                <w:sz w:val="24"/>
              </w:rPr>
              <w:t>11,250,712.20</w:t>
            </w:r>
          </w:p>
        </w:tc>
        <w:tc>
          <w:tcPr>
            <w:vAlign w:val="center"/>
          </w:tcPr>
          <w:p>
            <w:pPr>
              <w:jc w:val="right"/>
            </w:pPr>
            <w:r>
              <w:rPr>
                <w:color w:val="000000"/>
                <w:sz w:val="24"/>
              </w:rPr>
              <w:t>1.47</w:t>
            </w:r>
          </w:p>
        </w:tc>
      </w:tr>
      <w:tr>
        <w:tc>
          <w:tcPr>
            <w:vAlign w:val="center"/>
          </w:tcPr>
          <w:p>
            <w:pPr>
              <w:jc w:val="center"/>
            </w:pPr>
            <w:r>
              <w:rPr>
                <w:color w:val="000000"/>
                <w:sz w:val="24"/>
              </w:rPr>
              <w:t>7</w:t>
            </w:r>
          </w:p>
        </w:tc>
        <w:tc>
          <w:tcPr>
            <w:vAlign w:val="center"/>
          </w:tcPr>
          <w:p>
            <w:pPr>
              <w:jc w:val="center"/>
            </w:pPr>
            <w:r>
              <w:rPr>
                <w:color w:val="000000"/>
                <w:sz w:val="24"/>
              </w:rPr>
              <w:t>300433</w:t>
            </w:r>
          </w:p>
        </w:tc>
        <w:tc>
          <w:tcPr>
            <w:vAlign w:val="center"/>
          </w:tcPr>
          <w:p>
            <w:pPr>
              <w:jc w:val="center"/>
            </w:pPr>
            <w:r>
              <w:rPr>
                <w:color w:val="000000"/>
                <w:sz w:val="24"/>
              </w:rPr>
              <w:t>蓝思科技</w:t>
            </w:r>
          </w:p>
        </w:tc>
        <w:tc>
          <w:tcPr>
            <w:vAlign w:val="center"/>
          </w:tcPr>
          <w:p>
            <w:pPr>
              <w:jc w:val="right"/>
            </w:pPr>
            <w:r>
              <w:rPr>
                <w:color w:val="000000"/>
                <w:sz w:val="24"/>
              </w:rPr>
              <w:t>351,240</w:t>
            </w:r>
          </w:p>
        </w:tc>
        <w:tc>
          <w:tcPr>
            <w:vAlign w:val="center"/>
          </w:tcPr>
          <w:p>
            <w:pPr>
              <w:jc w:val="right"/>
            </w:pPr>
            <w:r>
              <w:rPr>
                <w:color w:val="000000"/>
                <w:sz w:val="24"/>
              </w:rPr>
              <w:t>9,848,769.60</w:t>
            </w:r>
          </w:p>
        </w:tc>
        <w:tc>
          <w:tcPr>
            <w:vAlign w:val="center"/>
          </w:tcPr>
          <w:p>
            <w:pPr>
              <w:jc w:val="right"/>
            </w:pPr>
            <w:r>
              <w:rPr>
                <w:color w:val="000000"/>
                <w:sz w:val="24"/>
              </w:rPr>
              <w:t>1.29</w:t>
            </w:r>
          </w:p>
        </w:tc>
      </w:tr>
      <w:tr>
        <w:tc>
          <w:tcPr>
            <w:vAlign w:val="center"/>
          </w:tcPr>
          <w:p>
            <w:pPr>
              <w:jc w:val="center"/>
            </w:pPr>
            <w:r>
              <w:rPr>
                <w:color w:val="000000"/>
                <w:sz w:val="24"/>
              </w:rPr>
              <w:t>8</w:t>
            </w:r>
          </w:p>
        </w:tc>
        <w:tc>
          <w:tcPr>
            <w:vAlign w:val="center"/>
          </w:tcPr>
          <w:p>
            <w:pPr>
              <w:jc w:val="center"/>
            </w:pPr>
            <w:r>
              <w:rPr>
                <w:color w:val="000000"/>
                <w:sz w:val="24"/>
              </w:rPr>
              <w:t>002475</w:t>
            </w:r>
          </w:p>
        </w:tc>
        <w:tc>
          <w:tcPr>
            <w:vAlign w:val="center"/>
          </w:tcPr>
          <w:p>
            <w:pPr>
              <w:jc w:val="center"/>
            </w:pPr>
            <w:r>
              <w:rPr>
                <w:color w:val="000000"/>
                <w:sz w:val="24"/>
              </w:rPr>
              <w:t>立讯精密</w:t>
            </w:r>
          </w:p>
        </w:tc>
        <w:tc>
          <w:tcPr>
            <w:vAlign w:val="center"/>
          </w:tcPr>
          <w:p>
            <w:pPr>
              <w:jc w:val="right"/>
            </w:pPr>
            <w:r>
              <w:rPr>
                <w:color w:val="000000"/>
                <w:sz w:val="24"/>
              </w:rPr>
              <w:t>167,176</w:t>
            </w:r>
          </w:p>
        </w:tc>
        <w:tc>
          <w:tcPr>
            <w:vAlign w:val="center"/>
          </w:tcPr>
          <w:p>
            <w:pPr>
              <w:jc w:val="right"/>
            </w:pPr>
            <w:r>
              <w:rPr>
                <w:color w:val="000000"/>
                <w:sz w:val="24"/>
              </w:rPr>
              <w:t>8,584,487.60</w:t>
            </w:r>
          </w:p>
        </w:tc>
        <w:tc>
          <w:tcPr>
            <w:vAlign w:val="center"/>
          </w:tcPr>
          <w:p>
            <w:pPr>
              <w:jc w:val="right"/>
            </w:pPr>
            <w:r>
              <w:rPr>
                <w:color w:val="000000"/>
                <w:sz w:val="24"/>
              </w:rPr>
              <w:t>1.12</w:t>
            </w:r>
          </w:p>
        </w:tc>
      </w:tr>
      <w:tr>
        <w:tc>
          <w:tcPr>
            <w:vAlign w:val="center"/>
          </w:tcPr>
          <w:p>
            <w:pPr>
              <w:jc w:val="center"/>
            </w:pPr>
            <w:r>
              <w:rPr>
                <w:color w:val="000000"/>
                <w:sz w:val="24"/>
              </w:rPr>
              <w:t>9</w:t>
            </w:r>
          </w:p>
        </w:tc>
        <w:tc>
          <w:tcPr>
            <w:vAlign w:val="center"/>
          </w:tcPr>
          <w:p>
            <w:pPr>
              <w:jc w:val="center"/>
            </w:pPr>
            <w:r>
              <w:rPr>
                <w:color w:val="000000"/>
                <w:sz w:val="24"/>
              </w:rPr>
              <w:t>300059</w:t>
            </w:r>
          </w:p>
        </w:tc>
        <w:tc>
          <w:tcPr>
            <w:vAlign w:val="center"/>
          </w:tcPr>
          <w:p>
            <w:pPr>
              <w:jc w:val="center"/>
            </w:pPr>
            <w:r>
              <w:rPr>
                <w:color w:val="000000"/>
                <w:sz w:val="24"/>
              </w:rPr>
              <w:t>东方财富</w:t>
            </w:r>
          </w:p>
        </w:tc>
        <w:tc>
          <w:tcPr>
            <w:vAlign w:val="center"/>
          </w:tcPr>
          <w:p>
            <w:pPr>
              <w:jc w:val="right"/>
            </w:pPr>
            <w:r>
              <w:rPr>
                <w:color w:val="000000"/>
                <w:sz w:val="24"/>
              </w:rPr>
              <w:t>422,268</w:t>
            </w:r>
          </w:p>
        </w:tc>
        <w:tc>
          <w:tcPr>
            <w:vAlign w:val="center"/>
          </w:tcPr>
          <w:p>
            <w:pPr>
              <w:jc w:val="right"/>
            </w:pPr>
            <w:r>
              <w:rPr>
                <w:color w:val="000000"/>
                <w:sz w:val="24"/>
              </w:rPr>
              <w:t>8,529,813.60</w:t>
            </w:r>
          </w:p>
        </w:tc>
        <w:tc>
          <w:tcPr>
            <w:vAlign w:val="center"/>
          </w:tcPr>
          <w:p>
            <w:pPr>
              <w:jc w:val="right"/>
            </w:pPr>
            <w:r>
              <w:rPr>
                <w:color w:val="000000"/>
                <w:sz w:val="24"/>
              </w:rPr>
              <w:t>1.12</w:t>
            </w:r>
          </w:p>
        </w:tc>
      </w:tr>
      <w:tr>
        <w:tc>
          <w:tcPr>
            <w:vAlign w:val="center"/>
          </w:tcPr>
          <w:p>
            <w:pPr>
              <w:jc w:val="center"/>
            </w:pPr>
            <w:r>
              <w:rPr>
                <w:color w:val="000000"/>
                <w:sz w:val="24"/>
              </w:rPr>
              <w:t>10</w:t>
            </w:r>
          </w:p>
        </w:tc>
        <w:tc>
          <w:tcPr>
            <w:vAlign w:val="center"/>
          </w:tcPr>
          <w:p>
            <w:pPr>
              <w:jc w:val="center"/>
            </w:pPr>
            <w:r>
              <w:rPr>
                <w:color w:val="000000"/>
                <w:sz w:val="24"/>
              </w:rPr>
              <w:t>300115</w:t>
            </w:r>
          </w:p>
        </w:tc>
        <w:tc>
          <w:tcPr>
            <w:vAlign w:val="center"/>
          </w:tcPr>
          <w:p>
            <w:pPr>
              <w:jc w:val="center"/>
            </w:pPr>
            <w:r>
              <w:rPr>
                <w:color w:val="000000"/>
                <w:sz w:val="24"/>
              </w:rPr>
              <w:t>长盈精密</w:t>
            </w:r>
          </w:p>
        </w:tc>
        <w:tc>
          <w:tcPr>
            <w:vAlign w:val="center"/>
          </w:tcPr>
          <w:p>
            <w:pPr>
              <w:jc w:val="right"/>
            </w:pPr>
            <w:r>
              <w:rPr>
                <w:color w:val="000000"/>
                <w:sz w:val="24"/>
              </w:rPr>
              <w:t>365,300</w:t>
            </w:r>
          </w:p>
        </w:tc>
        <w:tc>
          <w:tcPr>
            <w:vAlign w:val="center"/>
          </w:tcPr>
          <w:p>
            <w:pPr>
              <w:jc w:val="right"/>
            </w:pPr>
            <w:r>
              <w:rPr>
                <w:color w:val="000000"/>
                <w:sz w:val="24"/>
              </w:rPr>
              <w:t>8,347,105.00</w:t>
            </w:r>
          </w:p>
        </w:tc>
        <w:tc>
          <w:tcPr>
            <w:vAlign w:val="center"/>
          </w:tcPr>
          <w:p>
            <w:pPr>
              <w:jc w:val="right"/>
            </w:pPr>
            <w:r>
              <w:rPr>
                <w:color w:val="000000"/>
                <w:sz w:val="24"/>
              </w:rPr>
              <w:t>1.09</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3,501,750.00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0.46</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35,301,000.00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4.62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35,301,000.00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4.62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262,094,271.10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34.34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50,031,000.00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6.55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324,876,500.00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42.56</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38,304,143.47</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5.02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714,108,664.57</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93.56</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012001802</w:t>
            </w:r>
          </w:p>
        </w:tc>
        <w:tc>
          <w:tcPr>
            <w:vAlign w:val="center"/>
          </w:tcPr>
          <w:p>
            <w:pPr>
              <w:jc w:val="center"/>
            </w:pPr>
            <w:r>
              <w:rPr>
                <w:color w:val="000000"/>
                <w:sz w:val="24"/>
              </w:rPr>
              <w:t>20冀东水泥SCP003</w:t>
            </w:r>
          </w:p>
        </w:tc>
        <w:tc>
          <w:tcPr>
            <w:vAlign w:val="center"/>
          </w:tcPr>
          <w:p>
            <w:pPr>
              <w:jc w:val="right"/>
            </w:pPr>
            <w:r>
              <w:rPr>
                <w:color w:val="000000"/>
                <w:sz w:val="24"/>
              </w:rPr>
              <w:t>300,000</w:t>
            </w:r>
          </w:p>
        </w:tc>
        <w:tc>
          <w:tcPr>
            <w:vAlign w:val="center"/>
          </w:tcPr>
          <w:p>
            <w:pPr>
              <w:jc w:val="right"/>
            </w:pPr>
            <w:r>
              <w:rPr>
                <w:color w:val="000000"/>
                <w:sz w:val="24"/>
              </w:rPr>
              <w:t>29,835,000.00</w:t>
            </w:r>
          </w:p>
        </w:tc>
        <w:tc>
          <w:tcPr>
            <w:vAlign w:val="center"/>
          </w:tcPr>
          <w:p>
            <w:pPr>
              <w:jc w:val="right"/>
            </w:pPr>
            <w:r>
              <w:rPr>
                <w:color w:val="000000"/>
                <w:sz w:val="24"/>
              </w:rPr>
              <w:t>3.91</w:t>
            </w:r>
          </w:p>
        </w:tc>
      </w:tr>
      <w:tr>
        <w:tc>
          <w:tcPr>
            <w:vAlign w:val="center"/>
          </w:tcPr>
          <w:p>
            <w:pPr>
              <w:jc w:val="center"/>
            </w:pPr>
            <w:r>
              <w:rPr>
                <w:color w:val="000000"/>
                <w:sz w:val="24"/>
              </w:rPr>
              <w:t>2</w:t>
            </w:r>
          </w:p>
        </w:tc>
        <w:tc>
          <w:tcPr>
            <w:vAlign w:val="center"/>
          </w:tcPr>
          <w:p>
            <w:pPr>
              <w:jc w:val="center"/>
            </w:pPr>
            <w:r>
              <w:rPr>
                <w:color w:val="000000"/>
                <w:sz w:val="24"/>
              </w:rPr>
              <w:t>136849</w:t>
            </w:r>
          </w:p>
        </w:tc>
        <w:tc>
          <w:tcPr>
            <w:vAlign w:val="center"/>
          </w:tcPr>
          <w:p>
            <w:pPr>
              <w:jc w:val="center"/>
            </w:pPr>
            <w:r>
              <w:rPr>
                <w:color w:val="000000"/>
                <w:sz w:val="24"/>
              </w:rPr>
              <w:t>16华能债</w:t>
            </w:r>
          </w:p>
        </w:tc>
        <w:tc>
          <w:tcPr>
            <w:vAlign w:val="center"/>
          </w:tcPr>
          <w:p>
            <w:pPr>
              <w:jc w:val="right"/>
            </w:pPr>
            <w:r>
              <w:rPr>
                <w:color w:val="000000"/>
                <w:sz w:val="24"/>
              </w:rPr>
              <w:t>280,000</w:t>
            </w:r>
          </w:p>
        </w:tc>
        <w:tc>
          <w:tcPr>
            <w:vAlign w:val="center"/>
          </w:tcPr>
          <w:p>
            <w:pPr>
              <w:jc w:val="right"/>
            </w:pPr>
            <w:r>
              <w:rPr>
                <w:color w:val="000000"/>
                <w:sz w:val="24"/>
              </w:rPr>
              <w:t>27,692,000.00</w:t>
            </w:r>
          </w:p>
        </w:tc>
        <w:tc>
          <w:tcPr>
            <w:vAlign w:val="center"/>
          </w:tcPr>
          <w:p>
            <w:pPr>
              <w:jc w:val="right"/>
            </w:pPr>
            <w:r>
              <w:rPr>
                <w:color w:val="000000"/>
                <w:sz w:val="24"/>
              </w:rPr>
              <w:t>3.63</w:t>
            </w:r>
          </w:p>
        </w:tc>
      </w:tr>
      <w:tr>
        <w:tc>
          <w:tcPr>
            <w:vAlign w:val="center"/>
          </w:tcPr>
          <w:p>
            <w:pPr>
              <w:jc w:val="center"/>
            </w:pPr>
            <w:r>
              <w:rPr>
                <w:color w:val="000000"/>
                <w:sz w:val="24"/>
              </w:rPr>
              <w:t>3</w:t>
            </w:r>
          </w:p>
        </w:tc>
        <w:tc>
          <w:tcPr>
            <w:vAlign w:val="center"/>
          </w:tcPr>
          <w:p>
            <w:pPr>
              <w:jc w:val="center"/>
            </w:pPr>
            <w:r>
              <w:rPr>
                <w:color w:val="000000"/>
                <w:sz w:val="24"/>
              </w:rPr>
              <w:t>112729</w:t>
            </w:r>
          </w:p>
        </w:tc>
        <w:tc>
          <w:tcPr>
            <w:vAlign w:val="center"/>
          </w:tcPr>
          <w:p>
            <w:pPr>
              <w:jc w:val="center"/>
            </w:pPr>
            <w:r>
              <w:rPr>
                <w:color w:val="000000"/>
                <w:sz w:val="24"/>
              </w:rPr>
              <w:t>18申宏02</w:t>
            </w:r>
          </w:p>
        </w:tc>
        <w:tc>
          <w:tcPr>
            <w:vAlign w:val="center"/>
          </w:tcPr>
          <w:p>
            <w:pPr>
              <w:jc w:val="right"/>
            </w:pPr>
            <w:r>
              <w:rPr>
                <w:color w:val="000000"/>
                <w:sz w:val="24"/>
              </w:rPr>
              <w:t>200,000</w:t>
            </w:r>
          </w:p>
        </w:tc>
        <w:tc>
          <w:tcPr>
            <w:vAlign w:val="center"/>
          </w:tcPr>
          <w:p>
            <w:pPr>
              <w:jc w:val="right"/>
            </w:pPr>
            <w:r>
              <w:rPr>
                <w:color w:val="000000"/>
                <w:sz w:val="24"/>
              </w:rPr>
              <w:t>20,862,000.00</w:t>
            </w:r>
          </w:p>
        </w:tc>
        <w:tc>
          <w:tcPr>
            <w:vAlign w:val="center"/>
          </w:tcPr>
          <w:p>
            <w:pPr>
              <w:jc w:val="right"/>
            </w:pPr>
            <w:r>
              <w:rPr>
                <w:color w:val="000000"/>
                <w:sz w:val="24"/>
              </w:rPr>
              <w:t>2.73</w:t>
            </w:r>
          </w:p>
        </w:tc>
      </w:tr>
      <w:tr>
        <w:tc>
          <w:tcPr>
            <w:vAlign w:val="center"/>
          </w:tcPr>
          <w:p>
            <w:pPr>
              <w:jc w:val="center"/>
            </w:pPr>
            <w:r>
              <w:rPr>
                <w:color w:val="000000"/>
                <w:sz w:val="24"/>
              </w:rPr>
              <w:t>4</w:t>
            </w:r>
          </w:p>
        </w:tc>
        <w:tc>
          <w:tcPr>
            <w:vAlign w:val="center"/>
          </w:tcPr>
          <w:p>
            <w:pPr>
              <w:jc w:val="center"/>
            </w:pPr>
            <w:r>
              <w:rPr>
                <w:color w:val="000000"/>
                <w:sz w:val="24"/>
              </w:rPr>
              <w:t>101476003</w:t>
            </w:r>
          </w:p>
        </w:tc>
        <w:tc>
          <w:tcPr>
            <w:vAlign w:val="center"/>
          </w:tcPr>
          <w:p>
            <w:pPr>
              <w:jc w:val="center"/>
            </w:pPr>
            <w:r>
              <w:rPr>
                <w:color w:val="000000"/>
                <w:sz w:val="24"/>
              </w:rPr>
              <w:t>14山西交投MTN001</w:t>
            </w:r>
          </w:p>
        </w:tc>
        <w:tc>
          <w:tcPr>
            <w:vAlign w:val="center"/>
          </w:tcPr>
          <w:p>
            <w:pPr>
              <w:jc w:val="right"/>
            </w:pPr>
            <w:r>
              <w:rPr>
                <w:color w:val="000000"/>
                <w:sz w:val="24"/>
              </w:rPr>
              <w:t>200,000</w:t>
            </w:r>
          </w:p>
        </w:tc>
        <w:tc>
          <w:tcPr>
            <w:vAlign w:val="center"/>
          </w:tcPr>
          <w:p>
            <w:pPr>
              <w:jc w:val="right"/>
            </w:pPr>
            <w:r>
              <w:rPr>
                <w:color w:val="000000"/>
                <w:sz w:val="24"/>
              </w:rPr>
              <w:t>20,658,000.00</w:t>
            </w:r>
          </w:p>
        </w:tc>
        <w:tc>
          <w:tcPr>
            <w:vAlign w:val="center"/>
          </w:tcPr>
          <w:p>
            <w:pPr>
              <w:jc w:val="right"/>
            </w:pPr>
            <w:r>
              <w:rPr>
                <w:color w:val="000000"/>
                <w:sz w:val="24"/>
              </w:rPr>
              <w:t>2.71</w:t>
            </w:r>
          </w:p>
        </w:tc>
      </w:tr>
      <w:tr>
        <w:tc>
          <w:tcPr>
            <w:vAlign w:val="center"/>
          </w:tcPr>
          <w:p>
            <w:pPr>
              <w:jc w:val="center"/>
            </w:pPr>
            <w:r>
              <w:rPr>
                <w:color w:val="000000"/>
                <w:sz w:val="24"/>
              </w:rPr>
              <w:t>5</w:t>
            </w:r>
          </w:p>
        </w:tc>
        <w:tc>
          <w:tcPr>
            <w:vAlign w:val="center"/>
          </w:tcPr>
          <w:p>
            <w:pPr>
              <w:jc w:val="center"/>
            </w:pPr>
            <w:r>
              <w:rPr>
                <w:color w:val="000000"/>
                <w:sz w:val="24"/>
              </w:rPr>
              <w:t>101900908</w:t>
            </w:r>
          </w:p>
        </w:tc>
        <w:tc>
          <w:tcPr>
            <w:vAlign w:val="center"/>
          </w:tcPr>
          <w:p>
            <w:pPr>
              <w:jc w:val="center"/>
            </w:pPr>
            <w:r>
              <w:rPr>
                <w:color w:val="000000"/>
                <w:sz w:val="24"/>
              </w:rPr>
              <w:t>19津城建MTN006</w:t>
            </w:r>
          </w:p>
        </w:tc>
        <w:tc>
          <w:tcPr>
            <w:vAlign w:val="center"/>
          </w:tcPr>
          <w:p>
            <w:pPr>
              <w:jc w:val="right"/>
            </w:pPr>
            <w:r>
              <w:rPr>
                <w:color w:val="000000"/>
                <w:sz w:val="24"/>
              </w:rPr>
              <w:t>200,000</w:t>
            </w:r>
          </w:p>
        </w:tc>
        <w:tc>
          <w:tcPr>
            <w:vAlign w:val="center"/>
          </w:tcPr>
          <w:p>
            <w:pPr>
              <w:jc w:val="right"/>
            </w:pPr>
            <w:r>
              <w:rPr>
                <w:color w:val="000000"/>
                <w:sz w:val="24"/>
              </w:rPr>
              <w:t>20,498,000.00</w:t>
            </w:r>
          </w:p>
        </w:tc>
        <w:tc>
          <w:tcPr>
            <w:vAlign w:val="center"/>
          </w:tcPr>
          <w:p>
            <w:pPr>
              <w:jc w:val="right"/>
            </w:pPr>
            <w:r>
              <w:rPr>
                <w:color w:val="000000"/>
                <w:sz w:val="24"/>
              </w:rPr>
              <w:t>2.69</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139873</w:t>
            </w:r>
          </w:p>
        </w:tc>
        <w:tc>
          <w:tcPr>
            <w:vAlign w:val="center"/>
          </w:tcPr>
          <w:p>
            <w:pPr>
              <w:jc w:val="center"/>
            </w:pPr>
            <w:r>
              <w:rPr>
                <w:color w:val="000000"/>
                <w:sz w:val="24"/>
              </w:rPr>
              <w:t>永熙优10</w:t>
            </w:r>
          </w:p>
        </w:tc>
        <w:tc>
          <w:tcPr>
            <w:vAlign w:val="center"/>
          </w:tcPr>
          <w:p>
            <w:pPr>
              <w:jc w:val="right"/>
            </w:pPr>
            <w:r>
              <w:rPr>
                <w:color w:val="000000"/>
                <w:sz w:val="24"/>
              </w:rPr>
              <w:t>100,000</w:t>
            </w:r>
          </w:p>
        </w:tc>
        <w:tc>
          <w:tcPr>
            <w:vAlign w:val="center"/>
          </w:tcPr>
          <w:p>
            <w:pPr>
              <w:jc w:val="right"/>
            </w:pPr>
            <w:r>
              <w:rPr>
                <w:color w:val="000000"/>
                <w:sz w:val="24"/>
              </w:rPr>
              <w:t>10,068,000.00</w:t>
            </w:r>
          </w:p>
        </w:tc>
        <w:tc>
          <w:tcPr>
            <w:vAlign w:val="center"/>
          </w:tcPr>
          <w:p>
            <w:pPr>
              <w:jc w:val="right"/>
            </w:pPr>
            <w:r>
              <w:rPr>
                <w:color w:val="000000"/>
                <w:sz w:val="24"/>
              </w:rPr>
              <w:t>1.32</w:t>
            </w:r>
          </w:p>
        </w:tc>
      </w:tr>
      <w:tr>
        <w:tc>
          <w:tcPr>
            <w:vAlign w:val="center"/>
          </w:tcPr>
          <w:p>
            <w:pPr>
              <w:jc w:val="center"/>
            </w:pPr>
            <w:r>
              <w:rPr>
                <w:color w:val="000000"/>
                <w:sz w:val="24"/>
              </w:rPr>
              <w:t>2</w:t>
            </w:r>
          </w:p>
        </w:tc>
        <w:tc>
          <w:tcPr>
            <w:vAlign w:val="center"/>
          </w:tcPr>
          <w:p>
            <w:pPr>
              <w:jc w:val="center"/>
            </w:pPr>
            <w:r>
              <w:rPr>
                <w:color w:val="000000"/>
                <w:sz w:val="24"/>
              </w:rPr>
              <w:t>168733</w:t>
            </w:r>
          </w:p>
        </w:tc>
        <w:tc>
          <w:tcPr>
            <w:vAlign w:val="center"/>
          </w:tcPr>
          <w:p>
            <w:pPr>
              <w:jc w:val="center"/>
            </w:pPr>
            <w:r>
              <w:rPr>
                <w:color w:val="000000"/>
                <w:sz w:val="24"/>
              </w:rPr>
              <w:t>申程01优</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1.31</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209,478.11</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3,744,148.27</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11,993,549.20</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288,653.32</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16,235,828.90</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080"/>
        <w:gridCol w:w="2624"/>
        <w:gridCol w:w="1766"/>
        <w:gridCol w:w="1832"/>
        <w:gridCol w:w="1719"/>
      </w:tblGrid>
      <w:tr w:rsidR="00F016DD" w:rsidRPr="00E85E29" w:rsidTr="00F4518C">
        <w:tc>
          <w:tcPr>
            <w:tcW w:type="dxa" w:w="944"/>
            <w:vAlign w:val="center"/>
          </w:tcPr>
          <w:p w:rsidP="00F4518C" w:rsidR="00F016DD" w:rsidRDefault="00F016DD" w:rsidRPr="00414367">
            <w:pPr>
              <w:spacing w:before="29" w:line="360" w:lineRule="auto"/>
              <w:ind w:left="17"/>
              <w:jc w:val="center"/>
              <w:rPr>
                <w:color w:val="000000"/>
                <w:sz w:val="24"/>
              </w:rPr>
            </w:pPr>
            <w:r w:rsidRPr="00414367">
              <w:rPr>
                <w:color w:val="000000"/>
                <w:sz w:val="24"/>
              </w:rPr>
              <w:t>序号</w:t>
            </w:r>
          </w:p>
        </w:tc>
        <w:tc>
          <w:tcPr>
            <w:tcW w:type="dxa" w:w="2568"/>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债券代码</w:t>
            </w:r>
          </w:p>
        </w:tc>
        <w:tc>
          <w:tcPr>
            <w:tcW w:type="dxa" w:w="1665"/>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债券名称</w:t>
            </w:r>
          </w:p>
        </w:tc>
        <w:tc>
          <w:tcPr>
            <w:tcW w:type="dxa" w:w="1727"/>
            <w:vAlign w:val="center"/>
          </w:tcPr>
          <w:p w:rsidP="00F4518C" w:rsidR="00F016DD" w:rsidRDefault="00F016DD" w:rsidRPr="00414367">
            <w:pPr>
              <w:spacing w:before="29" w:line="360" w:lineRule="auto"/>
              <w:ind w:left="17"/>
              <w:jc w:val="center"/>
              <w:rPr>
                <w:color w:val="000000"/>
                <w:sz w:val="24"/>
              </w:rPr>
            </w:pPr>
            <w:r w:rsidRPr="00414367">
              <w:rPr>
                <w:color w:val="000000"/>
                <w:sz w:val="24"/>
              </w:rPr>
              <w:t>公允价值</w:t>
            </w:r>
            <w:r w:rsidRPr="00414367">
              <w:rPr>
                <w:color w:val="000000"/>
                <w:sz w:val="24"/>
              </w:rPr>
              <w:t>(</w:t>
            </w:r>
            <w:r w:rsidRPr="00414367">
              <w:rPr>
                <w:color w:val="000000"/>
                <w:sz w:val="24"/>
              </w:rPr>
              <w:t>元</w:t>
            </w:r>
            <w:r w:rsidRPr="00414367">
              <w:rPr>
                <w:color w:val="000000"/>
                <w:sz w:val="24"/>
              </w:rPr>
              <w:t>)</w:t>
            </w:r>
          </w:p>
        </w:tc>
        <w:tc>
          <w:tcPr>
            <w:tcW w:type="dxa" w:w="1609"/>
            <w:vAlign w:val="center"/>
          </w:tcPr>
          <w:p w:rsidP="00F4518C" w:rsidR="00F016DD" w:rsidRDefault="00F016DD" w:rsidRPr="00414367">
            <w:pPr>
              <w:spacing w:before="29" w:line="360" w:lineRule="auto"/>
              <w:ind w:left="17"/>
              <w:jc w:val="center"/>
              <w:rPr>
                <w:color w:val="000000"/>
                <w:sz w:val="24"/>
              </w:rPr>
            </w:pPr>
            <w:r w:rsidRPr="00414367">
              <w:rPr>
                <w:color w:val="000000"/>
                <w:sz w:val="24"/>
              </w:rPr>
              <w:t>占基金资产净值比例</w:t>
            </w:r>
            <w:r w:rsidRPr="00414367">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128023</w:t>
            </w:r>
          </w:p>
        </w:tc>
        <w:tc>
          <w:tcPr>
            <w:vAlign w:val="center"/>
          </w:tcPr>
          <w:p>
            <w:pPr>
              <w:jc w:val="center"/>
            </w:pPr>
            <w:r>
              <w:rPr>
                <w:color w:val="000000"/>
                <w:sz w:val="24"/>
              </w:rPr>
              <w:t>亚太转债</w:t>
            </w:r>
          </w:p>
        </w:tc>
        <w:tc>
          <w:tcPr>
            <w:vAlign w:val="center"/>
          </w:tcPr>
          <w:p>
            <w:pPr>
              <w:jc w:val="right"/>
            </w:pPr>
            <w:r>
              <w:rPr>
                <w:color w:val="000000"/>
                <w:sz w:val="24"/>
              </w:rPr>
              <w:t>9,071,351.16</w:t>
            </w:r>
          </w:p>
        </w:tc>
        <w:tc>
          <w:tcPr>
            <w:vAlign w:val="center"/>
          </w:tcPr>
          <w:p>
            <w:pPr>
              <w:jc w:val="right"/>
            </w:pPr>
            <w:r>
              <w:rPr>
                <w:color w:val="000000"/>
                <w:sz w:val="24"/>
              </w:rPr>
              <w:t>1.19</w:t>
            </w:r>
          </w:p>
        </w:tc>
      </w:tr>
      <w:tr>
        <w:tc>
          <w:tcPr>
            <w:vAlign w:val="center"/>
          </w:tcPr>
          <w:p>
            <w:pPr>
              <w:jc w:val="center"/>
            </w:pPr>
            <w:r>
              <w:rPr>
                <w:color w:val="000000"/>
                <w:sz w:val="24"/>
              </w:rPr>
              <w:t>2</w:t>
            </w:r>
          </w:p>
        </w:tc>
        <w:tc>
          <w:tcPr>
            <w:vAlign w:val="center"/>
          </w:tcPr>
          <w:p>
            <w:pPr>
              <w:jc w:val="center"/>
            </w:pPr>
            <w:r>
              <w:rPr>
                <w:color w:val="000000"/>
                <w:sz w:val="24"/>
              </w:rPr>
              <w:t>128026</w:t>
            </w:r>
          </w:p>
        </w:tc>
        <w:tc>
          <w:tcPr>
            <w:vAlign w:val="center"/>
          </w:tcPr>
          <w:p>
            <w:pPr>
              <w:jc w:val="center"/>
            </w:pPr>
            <w:r>
              <w:rPr>
                <w:color w:val="000000"/>
                <w:sz w:val="24"/>
              </w:rPr>
              <w:t>众兴转债</w:t>
            </w:r>
          </w:p>
        </w:tc>
        <w:tc>
          <w:tcPr>
            <w:vAlign w:val="center"/>
          </w:tcPr>
          <w:p>
            <w:pPr>
              <w:jc w:val="right"/>
            </w:pPr>
            <w:r>
              <w:rPr>
                <w:color w:val="000000"/>
                <w:sz w:val="24"/>
              </w:rPr>
              <w:t>8,366,570.52</w:t>
            </w:r>
          </w:p>
        </w:tc>
        <w:tc>
          <w:tcPr>
            <w:vAlign w:val="center"/>
          </w:tcPr>
          <w:p>
            <w:pPr>
              <w:jc w:val="right"/>
            </w:pPr>
            <w:r>
              <w:rPr>
                <w:color w:val="000000"/>
                <w:sz w:val="24"/>
              </w:rPr>
              <w:t>1.10</w:t>
            </w:r>
          </w:p>
        </w:tc>
      </w:tr>
      <w:tr>
        <w:tc>
          <w:tcPr>
            <w:vAlign w:val="center"/>
          </w:tcPr>
          <w:p>
            <w:pPr>
              <w:jc w:val="center"/>
            </w:pPr>
            <w:r>
              <w:rPr>
                <w:color w:val="000000"/>
                <w:sz w:val="24"/>
              </w:rPr>
              <w:t>3</w:t>
            </w:r>
          </w:p>
        </w:tc>
        <w:tc>
          <w:tcPr>
            <w:vAlign w:val="center"/>
          </w:tcPr>
          <w:p>
            <w:pPr>
              <w:jc w:val="center"/>
            </w:pPr>
            <w:r>
              <w:rPr>
                <w:color w:val="000000"/>
                <w:sz w:val="24"/>
              </w:rPr>
              <w:t>128037</w:t>
            </w:r>
          </w:p>
        </w:tc>
        <w:tc>
          <w:tcPr>
            <w:vAlign w:val="center"/>
          </w:tcPr>
          <w:p>
            <w:pPr>
              <w:jc w:val="center"/>
            </w:pPr>
            <w:r>
              <w:rPr>
                <w:color w:val="000000"/>
                <w:sz w:val="24"/>
              </w:rPr>
              <w:t>岩土转债</w:t>
            </w:r>
          </w:p>
        </w:tc>
        <w:tc>
          <w:tcPr>
            <w:vAlign w:val="center"/>
          </w:tcPr>
          <w:p>
            <w:pPr>
              <w:jc w:val="right"/>
            </w:pPr>
            <w:r>
              <w:rPr>
                <w:color w:val="000000"/>
                <w:sz w:val="24"/>
              </w:rPr>
              <w:t>6,793,524.36</w:t>
            </w:r>
          </w:p>
        </w:tc>
        <w:tc>
          <w:tcPr>
            <w:vAlign w:val="center"/>
          </w:tcPr>
          <w:p>
            <w:pPr>
              <w:jc w:val="right"/>
            </w:pPr>
            <w:r>
              <w:rPr>
                <w:color w:val="000000"/>
                <w:sz w:val="24"/>
              </w:rPr>
              <w:t>0.89</w:t>
            </w:r>
          </w:p>
        </w:tc>
      </w:tr>
      <w:tr>
        <w:tc>
          <w:tcPr>
            <w:vAlign w:val="center"/>
          </w:tcPr>
          <w:p>
            <w:pPr>
              <w:jc w:val="center"/>
            </w:pPr>
            <w:r>
              <w:rPr>
                <w:color w:val="000000"/>
                <w:sz w:val="24"/>
              </w:rPr>
              <w:t>4</w:t>
            </w:r>
          </w:p>
        </w:tc>
        <w:tc>
          <w:tcPr>
            <w:vAlign w:val="center"/>
          </w:tcPr>
          <w:p>
            <w:pPr>
              <w:jc w:val="center"/>
            </w:pPr>
            <w:r>
              <w:rPr>
                <w:color w:val="000000"/>
                <w:sz w:val="24"/>
              </w:rPr>
              <w:t>113011</w:t>
            </w:r>
          </w:p>
        </w:tc>
        <w:tc>
          <w:tcPr>
            <w:vAlign w:val="center"/>
          </w:tcPr>
          <w:p>
            <w:pPr>
              <w:jc w:val="center"/>
            </w:pPr>
            <w:r>
              <w:rPr>
                <w:color w:val="000000"/>
                <w:sz w:val="24"/>
              </w:rPr>
              <w:t>光大转债</w:t>
            </w:r>
          </w:p>
        </w:tc>
        <w:tc>
          <w:tcPr>
            <w:vAlign w:val="center"/>
          </w:tcPr>
          <w:p>
            <w:pPr>
              <w:jc w:val="right"/>
            </w:pPr>
            <w:r>
              <w:rPr>
                <w:color w:val="000000"/>
                <w:sz w:val="24"/>
              </w:rPr>
              <w:t>2,968,981.80</w:t>
            </w:r>
          </w:p>
        </w:tc>
        <w:tc>
          <w:tcPr>
            <w:vAlign w:val="center"/>
          </w:tcPr>
          <w:p>
            <w:pPr>
              <w:jc w:val="right"/>
            </w:pPr>
            <w:r>
              <w:rPr>
                <w:color w:val="000000"/>
                <w:sz w:val="24"/>
              </w:rPr>
              <w:t>0.39</w:t>
            </w:r>
          </w:p>
        </w:tc>
      </w:tr>
      <w:tr>
        <w:tc>
          <w:tcPr>
            <w:vAlign w:val="center"/>
          </w:tcPr>
          <w:p>
            <w:pPr>
              <w:jc w:val="center"/>
            </w:pPr>
            <w:r>
              <w:rPr>
                <w:color w:val="000000"/>
                <w:sz w:val="24"/>
              </w:rPr>
              <w:t>5</w:t>
            </w:r>
          </w:p>
        </w:tc>
        <w:tc>
          <w:tcPr>
            <w:vAlign w:val="center"/>
          </w:tcPr>
          <w:p>
            <w:pPr>
              <w:jc w:val="center"/>
            </w:pPr>
            <w:r>
              <w:rPr>
                <w:color w:val="000000"/>
                <w:sz w:val="24"/>
              </w:rPr>
              <w:t>110045</w:t>
            </w:r>
          </w:p>
        </w:tc>
        <w:tc>
          <w:tcPr>
            <w:vAlign w:val="center"/>
          </w:tcPr>
          <w:p>
            <w:pPr>
              <w:jc w:val="center"/>
            </w:pPr>
            <w:r>
              <w:rPr>
                <w:color w:val="000000"/>
                <w:sz w:val="24"/>
              </w:rPr>
              <w:t>海澜转债</w:t>
            </w:r>
          </w:p>
        </w:tc>
        <w:tc>
          <w:tcPr>
            <w:vAlign w:val="center"/>
          </w:tcPr>
          <w:p>
            <w:pPr>
              <w:jc w:val="right"/>
            </w:pPr>
            <w:r>
              <w:rPr>
                <w:color w:val="000000"/>
                <w:sz w:val="24"/>
              </w:rPr>
              <w:t>2,590,265.20</w:t>
            </w:r>
          </w:p>
        </w:tc>
        <w:tc>
          <w:tcPr>
            <w:vAlign w:val="center"/>
          </w:tcPr>
          <w:p>
            <w:pPr>
              <w:jc w:val="right"/>
            </w:pPr>
            <w:r>
              <w:rPr>
                <w:color w:val="000000"/>
                <w:sz w:val="24"/>
              </w:rPr>
              <w:t>0.34</w:t>
            </w:r>
          </w:p>
        </w:tc>
      </w:tr>
      <w:tr>
        <w:tc>
          <w:tcPr>
            <w:vAlign w:val="center"/>
          </w:tcPr>
          <w:p>
            <w:pPr>
              <w:jc w:val="center"/>
            </w:pPr>
            <w:r>
              <w:rPr>
                <w:color w:val="000000"/>
                <w:sz w:val="24"/>
              </w:rPr>
              <w:t>6</w:t>
            </w:r>
          </w:p>
        </w:tc>
        <w:tc>
          <w:tcPr>
            <w:vAlign w:val="center"/>
          </w:tcPr>
          <w:p>
            <w:pPr>
              <w:jc w:val="center"/>
            </w:pPr>
            <w:r>
              <w:rPr>
                <w:color w:val="000000"/>
                <w:sz w:val="24"/>
              </w:rPr>
              <w:t>127011</w:t>
            </w:r>
          </w:p>
        </w:tc>
        <w:tc>
          <w:tcPr>
            <w:vAlign w:val="center"/>
          </w:tcPr>
          <w:p>
            <w:pPr>
              <w:jc w:val="center"/>
            </w:pPr>
            <w:r>
              <w:rPr>
                <w:color w:val="000000"/>
                <w:sz w:val="24"/>
              </w:rPr>
              <w:t>中鼎转2</w:t>
            </w:r>
          </w:p>
        </w:tc>
        <w:tc>
          <w:tcPr>
            <w:vAlign w:val="center"/>
          </w:tcPr>
          <w:p>
            <w:pPr>
              <w:jc w:val="right"/>
            </w:pPr>
            <w:r>
              <w:rPr>
                <w:color w:val="000000"/>
                <w:sz w:val="24"/>
              </w:rPr>
              <w:t>2,316,952.00</w:t>
            </w:r>
          </w:p>
        </w:tc>
        <w:tc>
          <w:tcPr>
            <w:vAlign w:val="center"/>
          </w:tcPr>
          <w:p>
            <w:pPr>
              <w:jc w:val="right"/>
            </w:pPr>
            <w:r>
              <w:rPr>
                <w:color w:val="000000"/>
                <w:sz w:val="24"/>
              </w:rPr>
              <w:t>0.30</w:t>
            </w:r>
          </w:p>
        </w:tc>
      </w:tr>
      <w:tr>
        <w:tc>
          <w:tcPr>
            <w:vAlign w:val="center"/>
          </w:tcPr>
          <w:p>
            <w:pPr>
              <w:jc w:val="center"/>
            </w:pPr>
            <w:r>
              <w:rPr>
                <w:color w:val="000000"/>
                <w:sz w:val="24"/>
              </w:rPr>
              <w:t>7</w:t>
            </w:r>
          </w:p>
        </w:tc>
        <w:tc>
          <w:tcPr>
            <w:vAlign w:val="center"/>
          </w:tcPr>
          <w:p>
            <w:pPr>
              <w:jc w:val="center"/>
            </w:pPr>
            <w:r>
              <w:rPr>
                <w:color w:val="000000"/>
                <w:sz w:val="24"/>
              </w:rPr>
              <w:t>128030</w:t>
            </w:r>
          </w:p>
        </w:tc>
        <w:tc>
          <w:tcPr>
            <w:vAlign w:val="center"/>
          </w:tcPr>
          <w:p>
            <w:pPr>
              <w:jc w:val="center"/>
            </w:pPr>
            <w:r>
              <w:rPr>
                <w:color w:val="000000"/>
                <w:sz w:val="24"/>
              </w:rPr>
              <w:t>天康转债</w:t>
            </w:r>
          </w:p>
        </w:tc>
        <w:tc>
          <w:tcPr>
            <w:vAlign w:val="center"/>
          </w:tcPr>
          <w:p>
            <w:pPr>
              <w:jc w:val="right"/>
            </w:pPr>
            <w:r>
              <w:rPr>
                <w:color w:val="000000"/>
                <w:sz w:val="24"/>
              </w:rPr>
              <w:t>1,855,397.40</w:t>
            </w:r>
          </w:p>
        </w:tc>
        <w:tc>
          <w:tcPr>
            <w:vAlign w:val="center"/>
          </w:tcPr>
          <w:p>
            <w:pPr>
              <w:jc w:val="right"/>
            </w:pPr>
            <w:r>
              <w:rPr>
                <w:color w:val="000000"/>
                <w:sz w:val="24"/>
              </w:rPr>
              <w:t>0.24</w:t>
            </w:r>
          </w:p>
        </w:tc>
      </w:tr>
      <w:tr>
        <w:tc>
          <w:tcPr>
            <w:vAlign w:val="center"/>
          </w:tcPr>
          <w:p>
            <w:pPr>
              <w:jc w:val="center"/>
            </w:pPr>
            <w:r>
              <w:rPr>
                <w:color w:val="000000"/>
                <w:sz w:val="24"/>
              </w:rPr>
              <w:t>8</w:t>
            </w:r>
          </w:p>
        </w:tc>
        <w:tc>
          <w:tcPr>
            <w:vAlign w:val="center"/>
          </w:tcPr>
          <w:p>
            <w:pPr>
              <w:jc w:val="center"/>
            </w:pPr>
            <w:r>
              <w:rPr>
                <w:color w:val="000000"/>
                <w:sz w:val="24"/>
              </w:rPr>
              <w:t>110062</w:t>
            </w:r>
          </w:p>
        </w:tc>
        <w:tc>
          <w:tcPr>
            <w:vAlign w:val="center"/>
          </w:tcPr>
          <w:p>
            <w:pPr>
              <w:jc w:val="center"/>
            </w:pPr>
            <w:r>
              <w:rPr>
                <w:color w:val="000000"/>
                <w:sz w:val="24"/>
              </w:rPr>
              <w:t>烽火转债</w:t>
            </w:r>
          </w:p>
        </w:tc>
        <w:tc>
          <w:tcPr>
            <w:vAlign w:val="center"/>
          </w:tcPr>
          <w:p>
            <w:pPr>
              <w:jc w:val="right"/>
            </w:pPr>
            <w:r>
              <w:rPr>
                <w:color w:val="000000"/>
                <w:sz w:val="24"/>
              </w:rPr>
              <w:t>1,843,213.80</w:t>
            </w:r>
          </w:p>
        </w:tc>
        <w:tc>
          <w:tcPr>
            <w:vAlign w:val="center"/>
          </w:tcPr>
          <w:p>
            <w:pPr>
              <w:jc w:val="right"/>
            </w:pPr>
            <w:r>
              <w:rPr>
                <w:color w:val="000000"/>
                <w:sz w:val="24"/>
              </w:rPr>
              <w:t>0.24</w:t>
            </w:r>
          </w:p>
        </w:tc>
      </w:tr>
      <w:tr>
        <w:tc>
          <w:tcPr>
            <w:vAlign w:val="center"/>
          </w:tcPr>
          <w:p>
            <w:pPr>
              <w:jc w:val="center"/>
            </w:pPr>
            <w:r>
              <w:rPr>
                <w:color w:val="000000"/>
                <w:sz w:val="24"/>
              </w:rPr>
              <w:t>9</w:t>
            </w:r>
          </w:p>
        </w:tc>
        <w:tc>
          <w:tcPr>
            <w:vAlign w:val="center"/>
          </w:tcPr>
          <w:p>
            <w:pPr>
              <w:jc w:val="center"/>
            </w:pPr>
            <w:r>
              <w:rPr>
                <w:color w:val="000000"/>
                <w:sz w:val="24"/>
              </w:rPr>
              <w:t>123023</w:t>
            </w:r>
          </w:p>
        </w:tc>
        <w:tc>
          <w:tcPr>
            <w:vAlign w:val="center"/>
          </w:tcPr>
          <w:p>
            <w:pPr>
              <w:jc w:val="center"/>
            </w:pPr>
            <w:r>
              <w:rPr>
                <w:color w:val="000000"/>
                <w:sz w:val="24"/>
              </w:rPr>
              <w:t>迪森转债</w:t>
            </w:r>
          </w:p>
        </w:tc>
        <w:tc>
          <w:tcPr>
            <w:vAlign w:val="center"/>
          </w:tcPr>
          <w:p>
            <w:pPr>
              <w:jc w:val="right"/>
            </w:pPr>
            <w:r>
              <w:rPr>
                <w:color w:val="000000"/>
                <w:sz w:val="24"/>
              </w:rPr>
              <w:t>847,651.42</w:t>
            </w:r>
          </w:p>
        </w:tc>
        <w:tc>
          <w:tcPr>
            <w:vAlign w:val="center"/>
          </w:tcPr>
          <w:p>
            <w:pPr>
              <w:jc w:val="right"/>
            </w:pPr>
            <w:r>
              <w:rPr>
                <w:color w:val="000000"/>
                <w:sz w:val="24"/>
              </w:rPr>
              <w:t>0.11</w:t>
            </w:r>
          </w:p>
        </w:tc>
      </w:tr>
    </w:tbl>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本基金本报告期末前十名股票中不存在流通受限情况。</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易方达新益混合I</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易方达新益混合E</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251,093,870.27</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35,557,965.05</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51,214,586.98</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49,311,879.47</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922,894.00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1,977,627.91</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301,385,563.25</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82,892,216.61</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p w:rsidP="00997454" w:rsidR="00997454" w:rsidRDefault="00997454" w:rsidRPr="00B75F09">
      <w:pPr>
        <w:pStyle w:val="1"/>
        <w:spacing w:after="312" w:afterLines="100" w:before="312" w:beforeLines="100" w:line="360" w:lineRule="auto"/>
        <w:jc w:val="center"/>
        <w:rPr>
          <w:rFonts w:ascii="宋体" w:cs="Arial" w:hAnsi="宋体"/>
          <w:color w:val="000000"/>
          <w:kern w:val="0"/>
          <w:sz w:val="24"/>
          <w:szCs w:val="24"/>
        </w:rPr>
      </w:pPr>
      <w:r w:rsidRPr="00B75F09">
        <w:rPr>
          <w:rFonts w:ascii="宋体" w:cs="Arial" w:hAnsi="宋体"/>
          <w:color w:val="000000"/>
          <w:kern w:val="0"/>
          <w:sz w:val="24"/>
          <w:szCs w:val="24"/>
        </w:rPr>
        <w:t/>
      </w:r>
      <w:proofErr w:type="spellStart"/>
      <w:r w:rsidRPr="00B75F09">
        <w:rPr>
          <w:rFonts w:ascii="宋体" w:cs="Arial" w:hAnsi="宋体"/>
          <w:color w:val="000000"/>
          <w:kern w:val="0"/>
          <w:sz w:val="24"/>
          <w:szCs w:val="24"/>
        </w:rPr>
        <w:t/>
      </w:r>
      <w:proofErr w:type="spellEnd"/>
      <w:r w:rsidRPr="00B75F09">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B75F09">
        <w:rPr>
          <w:rFonts w:ascii="宋体" w:cs="Arial" w:hAnsi="宋体"/>
          <w:color w:val="000000"/>
          <w:kern w:val="0"/>
          <w:sz w:val="24"/>
          <w:szCs w:val="24"/>
        </w:rPr>
        <w:t>影响投资者决策的其他重要信息</w:t>
      </w:r>
    </w:p>
    <w:p w:rsidP="00575C75" w:rsidR="00575C75" w:rsidRDefault="00575C75"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8.1 报告期内单一投资者持有基金份额比例达到或超过20%的情况</w:t>
      </w:r>
    </w:p>
    <w:tbl>
      <w:tblPr>
        <w:tblStyle w:val="af2"/>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575C75" w:rsidRPr="00FC0759" w:rsidTr="00CD72D6">
        <w:trPr>
          <w:jc w:val="center"/>
        </w:trPr>
        <w:tc>
          <w:tcPr>
            <w:tcW w:type="dxa" w:w="709"/>
            <w:vMerge w:val="restart"/>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CD72D6" w:rsidR="00575C75" w:rsidRDefault="00575C75"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575C75" w:rsidRPr="00FC0759" w:rsidTr="00CD72D6">
        <w:trPr>
          <w:jc w:val="center"/>
        </w:trPr>
        <w:tc>
          <w:tcPr>
            <w:tcW w:type="dxa" w:w="709"/>
            <w:vMerge/>
            <w:vAlign w:val="center"/>
          </w:tcPr>
          <w:p w:rsidP="00CD72D6" w:rsidR="00575C75" w:rsidRDefault="00575C75"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2020年04月01日~2020年06月30日</w:t>
            </w:r>
          </w:p>
        </w:tc>
        <w:tc>
          <w:tcPr>
            <w:vAlign w:val="center"/>
          </w:tcPr>
          <w:p>
            <w:pPr>
              <w:jc w:val="center"/>
            </w:pPr>
            <w:r>
              <w:rPr>
                <w:sz w:val="24"/>
              </w:rPr>
              <w:t>110,494,368.01</w:t>
            </w:r>
          </w:p>
        </w:tc>
        <w:tc>
          <w:tcPr>
            <w:vAlign w:val="center"/>
          </w:tcPr>
          <w:p>
            <w:pPr>
              <w:jc w:val="center"/>
            </w:pPr>
            <w:r>
              <w:rPr>
                <w:sz w:val="24"/>
              </w:rPr>
              <w:t>-</w:t>
            </w:r>
          </w:p>
        </w:tc>
        <w:tc>
          <w:tcPr>
            <w:vAlign w:val="center"/>
          </w:tcPr>
          <w:p>
            <w:pPr>
              <w:jc w:val="center"/>
            </w:pPr>
            <w:r>
              <w:rPr>
                <w:sz w:val="24"/>
              </w:rPr>
              <w:t>-</w:t>
            </w:r>
          </w:p>
        </w:tc>
        <w:tc>
          <w:tcPr>
            <w:vAlign w:val="center"/>
          </w:tcPr>
          <w:p>
            <w:pPr>
              <w:jc w:val="center"/>
            </w:pPr>
            <w:r>
              <w:rPr>
                <w:sz w:val="24"/>
              </w:rPr>
              <w:t>110,494,368.01</w:t>
            </w:r>
          </w:p>
        </w:tc>
        <w:tc>
          <w:tcPr>
            <w:vAlign w:val="center"/>
          </w:tcPr>
          <w:p>
            <w:pPr>
              <w:jc w:val="center"/>
            </w:pPr>
            <w:r>
              <w:rPr>
                <w:sz w:val="24"/>
              </w:rPr>
              <w:t>28.75%</w:t>
            </w:r>
          </w:p>
        </w:tc>
      </w:tr>
      <w:tr>
        <w:tc>
          <w:tcPr>
            <w:vMerge/>
          </w:tcPr>
          <w:p/>
        </w:tc>
        <w:tc>
          <w:tcPr>
            <w:vAlign w:val="center"/>
          </w:tcPr>
          <w:p>
            <w:pPr>
              <w:jc w:val="center"/>
            </w:pPr>
            <w:r>
              <w:rPr>
                <w:sz w:val="24"/>
              </w:rPr>
              <w:t>2</w:t>
            </w:r>
          </w:p>
        </w:tc>
        <w:tc>
          <w:tcPr>
            <w:vAlign w:val="center"/>
          </w:tcPr>
          <w:p>
            <w:pPr>
              <w:jc w:val="center"/>
            </w:pPr>
            <w:r>
              <w:rPr>
                <w:sz w:val="24"/>
              </w:rPr>
              <w:t>2020年04月01日~2020年05月20日</w:t>
            </w:r>
          </w:p>
        </w:tc>
        <w:tc>
          <w:tcPr>
            <w:vAlign w:val="center"/>
          </w:tcPr>
          <w:p>
            <w:pPr>
              <w:jc w:val="center"/>
            </w:pPr>
            <w:r>
              <w:rPr>
                <w:sz w:val="24"/>
              </w:rPr>
              <w:t>66,224,503.31</w:t>
            </w:r>
          </w:p>
        </w:tc>
        <w:tc>
          <w:tcPr>
            <w:vAlign w:val="center"/>
          </w:tcPr>
          <w:p>
            <w:pPr>
              <w:jc w:val="center"/>
            </w:pPr>
            <w:r>
              <w:rPr>
                <w:sz w:val="24"/>
              </w:rPr>
              <w:t>-</w:t>
            </w:r>
          </w:p>
        </w:tc>
        <w:tc>
          <w:tcPr>
            <w:vAlign w:val="center"/>
          </w:tcPr>
          <w:p>
            <w:pPr>
              <w:jc w:val="center"/>
            </w:pPr>
            <w:r>
              <w:rPr>
                <w:sz w:val="24"/>
              </w:rPr>
              <w:t>-</w:t>
            </w:r>
          </w:p>
        </w:tc>
        <w:tc>
          <w:tcPr>
            <w:vAlign w:val="center"/>
          </w:tcPr>
          <w:p>
            <w:pPr>
              <w:jc w:val="center"/>
            </w:pPr>
            <w:r>
              <w:rPr>
                <w:sz w:val="24"/>
              </w:rPr>
              <w:t>66,224,503.31</w:t>
            </w:r>
          </w:p>
        </w:tc>
        <w:tc>
          <w:tcPr>
            <w:vAlign w:val="center"/>
          </w:tcPr>
          <w:p>
            <w:pPr>
              <w:jc w:val="center"/>
            </w:pPr>
            <w:r>
              <w:rPr>
                <w:sz w:val="24"/>
              </w:rPr>
              <w:t>17.23%</w:t>
            </w:r>
          </w:p>
        </w:tc>
      </w:tr>
    </w:tbl>
    <w:tbl>
      <w:tblPr>
        <w:tblStyle w:val="af2"/>
        <w:tblW w:type="dxa" w:w="9637"/>
        <w:jc w:val="center"/>
        <w:tblLayout w:type="fixed"/>
        <w:tblLook w:firstColumn="1" w:firstRow="1" w:lastColumn="0" w:lastRow="0" w:noHBand="0" w:noVBand="1" w:val="04A0"/>
      </w:tblPr>
      <w:tblGrid>
        <w:gridCol w:w="9637"/>
      </w:tblGrid>
      <w:tr w:rsidR="00575C75" w:rsidRPr="00FC0759" w:rsidTr="00CD72D6">
        <w:trPr>
          <w:jc w:val="center"/>
        </w:trPr>
        <w:tc>
          <w:tcPr>
            <w:tcW w:type="dxa" w:w="9637"/>
            <w:vAlign w:val="center"/>
          </w:tcPr>
          <w:p w:rsidP="00BF07C4" w:rsidR="00575C75" w:rsidRDefault="00575C75" w:rsidRPr="00FC0759">
            <w:pPr>
              <w:autoSpaceDE w:val="0"/>
              <w:autoSpaceDN w:val="0"/>
              <w:adjustRightInd w:val="0"/>
              <w:jc w:val="center"/>
              <w:rPr>
                <w:sz w:val="24"/>
              </w:rPr>
            </w:pPr>
            <w:bookmarkStart w:id="2" w:name="_GoBack"/>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575C75" w:rsidRPr="00FC0759" w:rsidTr="00CD72D6">
        <w:trPr>
          <w:jc w:val="center"/>
        </w:trPr>
        <w:tc>
          <w:tcPr>
            <w:tcW w:type="dxa" w:w="9637"/>
            <w:vAlign w:val="center"/>
          </w:tcPr>
          <w:p w:rsidP="00CD72D6" w:rsidR="00575C75" w:rsidRDefault="00575C75"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1.中国证监会准予易方达新益灵活配置混合型证券投资基金注册的文件；</w:t>
      </w:r>
    </w:p>
    <w:p>
      <w:pPr>
        <w:spacing w:line="360" w:lineRule="auto"/>
        <w:ind w:firstLine="480" w:firstLineChars="200"/>
        <w:rPr>
          <w:color w:val="000000"/>
          <w:sz w:val="24"/>
        </w:rPr>
      </w:pPr>
      <w:r>
        <w:rPr>
          <w:color w:val="000000"/>
          <w:sz w:val="24"/>
        </w:rPr>
        <w:t>2.《易方达新益灵活配置混合型证券投资基金基金合同》；</w:t>
      </w:r>
    </w:p>
    <w:p>
      <w:pPr>
        <w:spacing w:line="360" w:lineRule="auto"/>
        <w:ind w:firstLine="480" w:firstLineChars="200"/>
        <w:rPr>
          <w:color w:val="000000"/>
          <w:sz w:val="24"/>
        </w:rPr>
      </w:pPr>
      <w:r>
        <w:rPr>
          <w:color w:val="000000"/>
          <w:sz w:val="24"/>
        </w:rPr>
        <w:t>3.《易方达新益灵活配置混合型证券投资基金托管协议》；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易方达新益灵活配置混合型证券投资基金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