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易方达新鑫灵活配置混合型证券投资基金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中国邮政储蓄银行股份有限公司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基金托管人中国邮政储蓄银行股份有限公司根据本基金合同规定，于2020年7月17日复核了本报告中的财务指标、净值表现和投资组合报告等内容，保证复核内容不存在虚假记载、误导性陈述或者重大遗漏。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易方达新鑫混合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001285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2015年5月14日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629,051,028.82</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本基金在控制风险的前提下，追求基金资产的稳健增值。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本基金通过定量与定性相结合的宏观及市场分析，确定组合中股票、债券、货币市场工具等资产类别的配置比例，严格遵守低估值的股票投资逻辑，以绝对收益为目标，力争获得稳健、持续的投资收益。</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一年期人民币定期存款利率（税后）+2%</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中国邮政储蓄银行股份有限公司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易方达新鑫混合I</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易方达新鑫混合E</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001285</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001286</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552,473,215.61</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76,577,813.21</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易方达新鑫混合I</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易方达新鑫混合E</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7,635,964.35</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771,052.01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13,096,710.36</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1,131,940.13</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0.0299</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0.0239</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675,086,745.96</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92,564,653.41</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1.222</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1.209</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易方达新鑫混合I</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2.60%</w:t>
            </w:r>
          </w:p>
        </w:tc>
        <w:tc>
          <w:tcPr>
            <w:vAlign w:val="center"/>
          </w:tcPr>
          <w:p>
            <w:pPr>
              <w:jc w:val="center"/>
            </w:pPr>
            <w:r>
              <w:rPr>
                <w:color w:val="000000"/>
                <w:sz w:val="24"/>
              </w:rPr>
              <w:t>0.17%</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1.72%</w:t>
            </w:r>
          </w:p>
        </w:tc>
        <w:tc>
          <w:tcPr>
            <w:vAlign w:val="center"/>
          </w:tcPr>
          <w:p>
            <w:pPr>
              <w:jc w:val="center"/>
            </w:pPr>
            <w:r>
              <w:rPr>
                <w:color w:val="000000"/>
                <w:sz w:val="24"/>
              </w:rPr>
              <w:t>0.16%</w:t>
            </w:r>
          </w:p>
        </w:tc>
      </w:tr>
      <w:tr>
        <w:tc>
          <w:tcPr>
            <w:vAlign w:val="center"/>
          </w:tcPr>
          <w:p>
            <w:pPr>
              <w:jc w:val="left"/>
            </w:pPr>
            <w:r>
              <w:rPr>
                <w:color w:val="000000"/>
                <w:sz w:val="24"/>
              </w:rPr>
              <w:t>过去六个月</w:t>
            </w:r>
          </w:p>
        </w:tc>
        <w:tc>
          <w:tcPr>
            <w:vAlign w:val="center"/>
          </w:tcPr>
          <w:p>
            <w:pPr>
              <w:jc w:val="center"/>
            </w:pPr>
            <w:r>
              <w:rPr>
                <w:color w:val="000000"/>
                <w:sz w:val="24"/>
              </w:rPr>
              <w:t>4.53%</w:t>
            </w:r>
          </w:p>
        </w:tc>
        <w:tc>
          <w:tcPr>
            <w:vAlign w:val="center"/>
          </w:tcPr>
          <w:p>
            <w:pPr>
              <w:jc w:val="center"/>
            </w:pPr>
            <w:r>
              <w:rPr>
                <w:color w:val="000000"/>
                <w:sz w:val="24"/>
              </w:rPr>
              <w:t>0.23%</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2.76%</w:t>
            </w:r>
          </w:p>
        </w:tc>
        <w:tc>
          <w:tcPr>
            <w:vAlign w:val="center"/>
          </w:tcPr>
          <w:p>
            <w:pPr>
              <w:jc w:val="center"/>
            </w:pPr>
            <w:r>
              <w:rPr>
                <w:color w:val="000000"/>
                <w:sz w:val="24"/>
              </w:rPr>
              <w:t>0.22%</w:t>
            </w:r>
          </w:p>
        </w:tc>
      </w:tr>
      <w:tr>
        <w:tc>
          <w:tcPr>
            <w:vAlign w:val="center"/>
          </w:tcPr>
          <w:p>
            <w:pPr>
              <w:jc w:val="left"/>
            </w:pPr>
            <w:r>
              <w:rPr>
                <w:color w:val="000000"/>
                <w:sz w:val="24"/>
              </w:rPr>
              <w:t>过去一年</w:t>
            </w:r>
          </w:p>
        </w:tc>
        <w:tc>
          <w:tcPr>
            <w:vAlign w:val="center"/>
          </w:tcPr>
          <w:p>
            <w:pPr>
              <w:jc w:val="center"/>
            </w:pPr>
            <w:r>
              <w:rPr>
                <w:color w:val="000000"/>
                <w:sz w:val="24"/>
              </w:rPr>
              <w:t>12.83%</w:t>
            </w:r>
          </w:p>
        </w:tc>
        <w:tc>
          <w:tcPr>
            <w:vAlign w:val="center"/>
          </w:tcPr>
          <w:p>
            <w:pPr>
              <w:jc w:val="center"/>
            </w:pPr>
            <w:r>
              <w:rPr>
                <w:color w:val="000000"/>
                <w:sz w:val="24"/>
              </w:rPr>
              <w:t>0.25%</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9.27%</w:t>
            </w:r>
          </w:p>
        </w:tc>
        <w:tc>
          <w:tcPr>
            <w:vAlign w:val="center"/>
          </w:tcPr>
          <w:p>
            <w:pPr>
              <w:jc w:val="center"/>
            </w:pPr>
            <w:r>
              <w:rPr>
                <w:color w:val="000000"/>
                <w:sz w:val="24"/>
              </w:rPr>
              <w:t>0.24%</w:t>
            </w:r>
          </w:p>
        </w:tc>
      </w:tr>
      <w:tr>
        <w:tc>
          <w:tcPr>
            <w:vAlign w:val="center"/>
          </w:tcPr>
          <w:p>
            <w:pPr>
              <w:jc w:val="left"/>
            </w:pPr>
            <w:r>
              <w:rPr>
                <w:color w:val="000000"/>
                <w:sz w:val="24"/>
              </w:rPr>
              <w:t>过去三年</w:t>
            </w:r>
          </w:p>
        </w:tc>
        <w:tc>
          <w:tcPr>
            <w:vAlign w:val="center"/>
          </w:tcPr>
          <w:p>
            <w:pPr>
              <w:jc w:val="center"/>
            </w:pPr>
            <w:r>
              <w:rPr>
                <w:color w:val="000000"/>
                <w:sz w:val="24"/>
              </w:rPr>
              <w:t>21.74%</w:t>
            </w:r>
          </w:p>
        </w:tc>
        <w:tc>
          <w:tcPr>
            <w:vAlign w:val="center"/>
          </w:tcPr>
          <w:p>
            <w:pPr>
              <w:jc w:val="center"/>
            </w:pPr>
            <w:r>
              <w:rPr>
                <w:color w:val="000000"/>
                <w:sz w:val="24"/>
              </w:rPr>
              <w:t>0.23%</w:t>
            </w:r>
          </w:p>
        </w:tc>
        <w:tc>
          <w:tcPr>
            <w:vAlign w:val="center"/>
          </w:tcPr>
          <w:p>
            <w:pPr>
              <w:jc w:val="center"/>
            </w:pPr>
            <w:r>
              <w:rPr>
                <w:color w:val="000000"/>
                <w:sz w:val="24"/>
              </w:rPr>
              <w:t>10.66%</w:t>
            </w:r>
          </w:p>
        </w:tc>
        <w:tc>
          <w:tcPr>
            <w:vAlign w:val="center"/>
          </w:tcPr>
          <w:p>
            <w:pPr>
              <w:jc w:val="center"/>
            </w:pPr>
            <w:r>
              <w:rPr>
                <w:color w:val="000000"/>
                <w:sz w:val="24"/>
              </w:rPr>
              <w:t>0.01%</w:t>
            </w:r>
          </w:p>
        </w:tc>
        <w:tc>
          <w:tcPr>
            <w:vAlign w:val="center"/>
          </w:tcPr>
          <w:p>
            <w:pPr>
              <w:jc w:val="center"/>
            </w:pPr>
            <w:r>
              <w:rPr>
                <w:color w:val="000000"/>
                <w:sz w:val="24"/>
              </w:rPr>
              <w:t>11.08%</w:t>
            </w:r>
          </w:p>
        </w:tc>
        <w:tc>
          <w:tcPr>
            <w:vAlign w:val="center"/>
          </w:tcPr>
          <w:p>
            <w:pPr>
              <w:jc w:val="center"/>
            </w:pPr>
            <w:r>
              <w:rPr>
                <w:color w:val="000000"/>
                <w:sz w:val="24"/>
              </w:rPr>
              <w:t>0.22%</w:t>
            </w:r>
          </w:p>
        </w:tc>
      </w:tr>
      <w:tr>
        <w:tc>
          <w:tcPr>
            <w:vAlign w:val="center"/>
          </w:tcPr>
          <w:p>
            <w:pPr>
              <w:jc w:val="left"/>
            </w:pPr>
            <w:r>
              <w:rPr>
                <w:color w:val="000000"/>
                <w:sz w:val="24"/>
              </w:rPr>
              <w:t>过去五年</w:t>
            </w:r>
          </w:p>
        </w:tc>
        <w:tc>
          <w:tcPr>
            <w:vAlign w:val="center"/>
          </w:tcPr>
          <w:p>
            <w:pPr>
              <w:jc w:val="center"/>
            </w:pPr>
            <w:r>
              <w:rPr>
                <w:color w:val="000000"/>
                <w:sz w:val="24"/>
              </w:rPr>
              <w:t>37.27%</w:t>
            </w:r>
          </w:p>
        </w:tc>
        <w:tc>
          <w:tcPr>
            <w:vAlign w:val="center"/>
          </w:tcPr>
          <w:p>
            <w:pPr>
              <w:jc w:val="center"/>
            </w:pPr>
            <w:r>
              <w:rPr>
                <w:color w:val="000000"/>
                <w:sz w:val="24"/>
              </w:rPr>
              <w:t>0.20%</w:t>
            </w:r>
          </w:p>
        </w:tc>
        <w:tc>
          <w:tcPr>
            <w:vAlign w:val="center"/>
          </w:tcPr>
          <w:p>
            <w:pPr>
              <w:jc w:val="center"/>
            </w:pPr>
            <w:r>
              <w:rPr>
                <w:color w:val="000000"/>
                <w:sz w:val="24"/>
              </w:rPr>
              <w:t>17.88%</w:t>
            </w:r>
          </w:p>
        </w:tc>
        <w:tc>
          <w:tcPr>
            <w:vAlign w:val="center"/>
          </w:tcPr>
          <w:p>
            <w:pPr>
              <w:jc w:val="center"/>
            </w:pPr>
            <w:r>
              <w:rPr>
                <w:color w:val="000000"/>
                <w:sz w:val="24"/>
              </w:rPr>
              <w:t>0.01%</w:t>
            </w:r>
          </w:p>
        </w:tc>
        <w:tc>
          <w:tcPr>
            <w:vAlign w:val="center"/>
          </w:tcPr>
          <w:p>
            <w:pPr>
              <w:jc w:val="center"/>
            </w:pPr>
            <w:r>
              <w:rPr>
                <w:color w:val="000000"/>
                <w:sz w:val="24"/>
              </w:rPr>
              <w:t>19.39%</w:t>
            </w:r>
          </w:p>
        </w:tc>
        <w:tc>
          <w:tcPr>
            <w:vAlign w:val="center"/>
          </w:tcPr>
          <w:p>
            <w:pPr>
              <w:jc w:val="center"/>
            </w:pPr>
            <w:r>
              <w:rPr>
                <w:color w:val="000000"/>
                <w:sz w:val="24"/>
              </w:rPr>
              <w:t>0.19%</w:t>
            </w:r>
          </w:p>
        </w:tc>
      </w:tr>
      <w:tr>
        <w:tc>
          <w:tcPr>
            <w:vAlign w:val="center"/>
          </w:tcPr>
          <w:p>
            <w:pPr>
              <w:jc w:val="left"/>
            </w:pPr>
            <w:r>
              <w:rPr>
                <w:color w:val="000000"/>
                <w:sz w:val="24"/>
              </w:rPr>
              <w:t>自基金合同生效起至今</w:t>
            </w:r>
          </w:p>
        </w:tc>
        <w:tc>
          <w:tcPr>
            <w:vAlign w:val="center"/>
          </w:tcPr>
          <w:p>
            <w:pPr>
              <w:jc w:val="center"/>
            </w:pPr>
            <w:r>
              <w:rPr>
                <w:color w:val="000000"/>
                <w:sz w:val="24"/>
              </w:rPr>
              <w:t>39.05%</w:t>
            </w:r>
          </w:p>
        </w:tc>
        <w:tc>
          <w:tcPr>
            <w:vAlign w:val="center"/>
          </w:tcPr>
          <w:p>
            <w:pPr>
              <w:jc w:val="center"/>
            </w:pPr>
            <w:r>
              <w:rPr>
                <w:color w:val="000000"/>
                <w:sz w:val="24"/>
              </w:rPr>
              <w:t>0.20%</w:t>
            </w:r>
          </w:p>
        </w:tc>
        <w:tc>
          <w:tcPr>
            <w:vAlign w:val="center"/>
          </w:tcPr>
          <w:p>
            <w:pPr>
              <w:jc w:val="center"/>
            </w:pPr>
            <w:r>
              <w:rPr>
                <w:color w:val="000000"/>
                <w:sz w:val="24"/>
              </w:rPr>
              <w:t>18.45%</w:t>
            </w:r>
          </w:p>
        </w:tc>
        <w:tc>
          <w:tcPr>
            <w:vAlign w:val="center"/>
          </w:tcPr>
          <w:p>
            <w:pPr>
              <w:jc w:val="center"/>
            </w:pPr>
            <w:r>
              <w:rPr>
                <w:color w:val="000000"/>
                <w:sz w:val="24"/>
              </w:rPr>
              <w:t>0.01%</w:t>
            </w:r>
          </w:p>
        </w:tc>
        <w:tc>
          <w:tcPr>
            <w:vAlign w:val="center"/>
          </w:tcPr>
          <w:p>
            <w:pPr>
              <w:jc w:val="center"/>
            </w:pPr>
            <w:r>
              <w:rPr>
                <w:color w:val="000000"/>
                <w:sz w:val="24"/>
              </w:rPr>
              <w:t>20.60%</w:t>
            </w:r>
          </w:p>
        </w:tc>
        <w:tc>
          <w:tcPr>
            <w:vAlign w:val="center"/>
          </w:tcPr>
          <w:p>
            <w:pPr>
              <w:jc w:val="center"/>
            </w:pPr>
            <w:r>
              <w:rPr>
                <w:color w:val="000000"/>
                <w:sz w:val="24"/>
              </w:rPr>
              <w:t>0.19%</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易方达新鑫混合E</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2.63%</w:t>
            </w:r>
          </w:p>
        </w:tc>
        <w:tc>
          <w:tcPr>
            <w:vAlign w:val="center"/>
          </w:tcPr>
          <w:p>
            <w:pPr>
              <w:jc w:val="center"/>
            </w:pPr>
            <w:r>
              <w:rPr>
                <w:color w:val="000000"/>
                <w:sz w:val="24"/>
              </w:rPr>
              <w:t>0.16%</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1.75%</w:t>
            </w:r>
          </w:p>
        </w:tc>
        <w:tc>
          <w:tcPr>
            <w:vAlign w:val="center"/>
          </w:tcPr>
          <w:p>
            <w:pPr>
              <w:jc w:val="center"/>
            </w:pPr>
            <w:r>
              <w:rPr>
                <w:color w:val="000000"/>
                <w:sz w:val="24"/>
              </w:rPr>
              <w:t>0.15%</w:t>
            </w:r>
          </w:p>
        </w:tc>
      </w:tr>
      <w:tr>
        <w:tc>
          <w:tcPr>
            <w:vAlign w:val="center"/>
          </w:tcPr>
          <w:p>
            <w:pPr>
              <w:jc w:val="left"/>
            </w:pPr>
            <w:r>
              <w:rPr>
                <w:color w:val="000000"/>
                <w:sz w:val="24"/>
              </w:rPr>
              <w:t>过去六个月</w:t>
            </w:r>
          </w:p>
        </w:tc>
        <w:tc>
          <w:tcPr>
            <w:vAlign w:val="center"/>
          </w:tcPr>
          <w:p>
            <w:pPr>
              <w:jc w:val="center"/>
            </w:pPr>
            <w:r>
              <w:rPr>
                <w:color w:val="000000"/>
                <w:sz w:val="24"/>
              </w:rPr>
              <w:t>4.40%</w:t>
            </w:r>
          </w:p>
        </w:tc>
        <w:tc>
          <w:tcPr>
            <w:vAlign w:val="center"/>
          </w:tcPr>
          <w:p>
            <w:pPr>
              <w:jc w:val="center"/>
            </w:pPr>
            <w:r>
              <w:rPr>
                <w:color w:val="000000"/>
                <w:sz w:val="24"/>
              </w:rPr>
              <w:t>0.23%</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2.63%</w:t>
            </w:r>
          </w:p>
        </w:tc>
        <w:tc>
          <w:tcPr>
            <w:vAlign w:val="center"/>
          </w:tcPr>
          <w:p>
            <w:pPr>
              <w:jc w:val="center"/>
            </w:pPr>
            <w:r>
              <w:rPr>
                <w:color w:val="000000"/>
                <w:sz w:val="24"/>
              </w:rPr>
              <w:t>0.22%</w:t>
            </w:r>
          </w:p>
        </w:tc>
      </w:tr>
      <w:tr>
        <w:tc>
          <w:tcPr>
            <w:vAlign w:val="center"/>
          </w:tcPr>
          <w:p>
            <w:pPr>
              <w:jc w:val="left"/>
            </w:pPr>
            <w:r>
              <w:rPr>
                <w:color w:val="000000"/>
                <w:sz w:val="24"/>
              </w:rPr>
              <w:t>过去一年</w:t>
            </w:r>
          </w:p>
        </w:tc>
        <w:tc>
          <w:tcPr>
            <w:vAlign w:val="center"/>
          </w:tcPr>
          <w:p>
            <w:pPr>
              <w:jc w:val="center"/>
            </w:pPr>
            <w:r>
              <w:rPr>
                <w:color w:val="000000"/>
                <w:sz w:val="24"/>
              </w:rPr>
              <w:t>12.67%</w:t>
            </w:r>
          </w:p>
        </w:tc>
        <w:tc>
          <w:tcPr>
            <w:vAlign w:val="center"/>
          </w:tcPr>
          <w:p>
            <w:pPr>
              <w:jc w:val="center"/>
            </w:pPr>
            <w:r>
              <w:rPr>
                <w:color w:val="000000"/>
                <w:sz w:val="24"/>
              </w:rPr>
              <w:t>0.25%</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9.11%</w:t>
            </w:r>
          </w:p>
        </w:tc>
        <w:tc>
          <w:tcPr>
            <w:vAlign w:val="center"/>
          </w:tcPr>
          <w:p>
            <w:pPr>
              <w:jc w:val="center"/>
            </w:pPr>
            <w:r>
              <w:rPr>
                <w:color w:val="000000"/>
                <w:sz w:val="24"/>
              </w:rPr>
              <w:t>0.24%</w:t>
            </w:r>
          </w:p>
        </w:tc>
      </w:tr>
      <w:tr>
        <w:tc>
          <w:tcPr>
            <w:vAlign w:val="center"/>
          </w:tcPr>
          <w:p>
            <w:pPr>
              <w:jc w:val="left"/>
            </w:pPr>
            <w:r>
              <w:rPr>
                <w:color w:val="000000"/>
                <w:sz w:val="24"/>
              </w:rPr>
              <w:t>过去三年</w:t>
            </w:r>
          </w:p>
        </w:tc>
        <w:tc>
          <w:tcPr>
            <w:vAlign w:val="center"/>
          </w:tcPr>
          <w:p>
            <w:pPr>
              <w:jc w:val="center"/>
            </w:pPr>
            <w:r>
              <w:rPr>
                <w:color w:val="000000"/>
                <w:sz w:val="24"/>
              </w:rPr>
              <w:t>20.35%</w:t>
            </w:r>
          </w:p>
        </w:tc>
        <w:tc>
          <w:tcPr>
            <w:vAlign w:val="center"/>
          </w:tcPr>
          <w:p>
            <w:pPr>
              <w:jc w:val="center"/>
            </w:pPr>
            <w:r>
              <w:rPr>
                <w:color w:val="000000"/>
                <w:sz w:val="24"/>
              </w:rPr>
              <w:t>0.22%</w:t>
            </w:r>
          </w:p>
        </w:tc>
        <w:tc>
          <w:tcPr>
            <w:vAlign w:val="center"/>
          </w:tcPr>
          <w:p>
            <w:pPr>
              <w:jc w:val="center"/>
            </w:pPr>
            <w:r>
              <w:rPr>
                <w:color w:val="000000"/>
                <w:sz w:val="24"/>
              </w:rPr>
              <w:t>10.66%</w:t>
            </w:r>
          </w:p>
        </w:tc>
        <w:tc>
          <w:tcPr>
            <w:vAlign w:val="center"/>
          </w:tcPr>
          <w:p>
            <w:pPr>
              <w:jc w:val="center"/>
            </w:pPr>
            <w:r>
              <w:rPr>
                <w:color w:val="000000"/>
                <w:sz w:val="24"/>
              </w:rPr>
              <w:t>0.01%</w:t>
            </w:r>
          </w:p>
        </w:tc>
        <w:tc>
          <w:tcPr>
            <w:vAlign w:val="center"/>
          </w:tcPr>
          <w:p>
            <w:pPr>
              <w:jc w:val="center"/>
            </w:pPr>
            <w:r>
              <w:rPr>
                <w:color w:val="000000"/>
                <w:sz w:val="24"/>
              </w:rPr>
              <w:t>9.69%</w:t>
            </w:r>
          </w:p>
        </w:tc>
        <w:tc>
          <w:tcPr>
            <w:vAlign w:val="center"/>
          </w:tcPr>
          <w:p>
            <w:pPr>
              <w:jc w:val="center"/>
            </w:pPr>
            <w:r>
              <w:rPr>
                <w:color w:val="000000"/>
                <w:sz w:val="24"/>
              </w:rPr>
              <w:t>0.21%</w:t>
            </w:r>
          </w:p>
        </w:tc>
      </w:tr>
      <w:tr>
        <w:tc>
          <w:tcPr>
            <w:vAlign w:val="center"/>
          </w:tcPr>
          <w:p>
            <w:pPr>
              <w:jc w:val="left"/>
            </w:pPr>
            <w:r>
              <w:rPr>
                <w:color w:val="000000"/>
                <w:sz w:val="24"/>
              </w:rPr>
              <w:t>过去五年</w:t>
            </w:r>
          </w:p>
        </w:tc>
        <w:tc>
          <w:tcPr>
            <w:vAlign w:val="center"/>
          </w:tcPr>
          <w:p>
            <w:pPr>
              <w:jc w:val="center"/>
            </w:pPr>
            <w:r>
              <w:rPr>
                <w:color w:val="000000"/>
                <w:sz w:val="24"/>
              </w:rPr>
              <w:t>34.76%</w:t>
            </w:r>
          </w:p>
        </w:tc>
        <w:tc>
          <w:tcPr>
            <w:vAlign w:val="center"/>
          </w:tcPr>
          <w:p>
            <w:pPr>
              <w:jc w:val="center"/>
            </w:pPr>
            <w:r>
              <w:rPr>
                <w:color w:val="000000"/>
                <w:sz w:val="24"/>
              </w:rPr>
              <w:t>0.20%</w:t>
            </w:r>
          </w:p>
        </w:tc>
        <w:tc>
          <w:tcPr>
            <w:vAlign w:val="center"/>
          </w:tcPr>
          <w:p>
            <w:pPr>
              <w:jc w:val="center"/>
            </w:pPr>
            <w:r>
              <w:rPr>
                <w:color w:val="000000"/>
                <w:sz w:val="24"/>
              </w:rPr>
              <w:t>17.88%</w:t>
            </w:r>
          </w:p>
        </w:tc>
        <w:tc>
          <w:tcPr>
            <w:vAlign w:val="center"/>
          </w:tcPr>
          <w:p>
            <w:pPr>
              <w:jc w:val="center"/>
            </w:pPr>
            <w:r>
              <w:rPr>
                <w:color w:val="000000"/>
                <w:sz w:val="24"/>
              </w:rPr>
              <w:t>0.01%</w:t>
            </w:r>
          </w:p>
        </w:tc>
        <w:tc>
          <w:tcPr>
            <w:vAlign w:val="center"/>
          </w:tcPr>
          <w:p>
            <w:pPr>
              <w:jc w:val="center"/>
            </w:pPr>
            <w:r>
              <w:rPr>
                <w:color w:val="000000"/>
                <w:sz w:val="24"/>
              </w:rPr>
              <w:t>16.88%</w:t>
            </w:r>
          </w:p>
        </w:tc>
        <w:tc>
          <w:tcPr>
            <w:vAlign w:val="center"/>
          </w:tcPr>
          <w:p>
            <w:pPr>
              <w:jc w:val="center"/>
            </w:pPr>
            <w:r>
              <w:rPr>
                <w:color w:val="000000"/>
                <w:sz w:val="24"/>
              </w:rPr>
              <w:t>0.19%</w:t>
            </w:r>
          </w:p>
        </w:tc>
      </w:tr>
      <w:tr>
        <w:tc>
          <w:tcPr>
            <w:vAlign w:val="center"/>
          </w:tcPr>
          <w:p>
            <w:pPr>
              <w:jc w:val="left"/>
            </w:pPr>
            <w:r>
              <w:rPr>
                <w:color w:val="000000"/>
                <w:sz w:val="24"/>
              </w:rPr>
              <w:t>自基金合同生效起至今</w:t>
            </w:r>
          </w:p>
        </w:tc>
        <w:tc>
          <w:tcPr>
            <w:vAlign w:val="center"/>
          </w:tcPr>
          <w:p>
            <w:pPr>
              <w:jc w:val="center"/>
            </w:pPr>
            <w:r>
              <w:rPr>
                <w:color w:val="000000"/>
                <w:sz w:val="24"/>
              </w:rPr>
              <w:t>36.37%</w:t>
            </w:r>
          </w:p>
        </w:tc>
        <w:tc>
          <w:tcPr>
            <w:vAlign w:val="center"/>
          </w:tcPr>
          <w:p>
            <w:pPr>
              <w:jc w:val="center"/>
            </w:pPr>
            <w:r>
              <w:rPr>
                <w:color w:val="000000"/>
                <w:sz w:val="24"/>
              </w:rPr>
              <w:t>0.20%</w:t>
            </w:r>
          </w:p>
        </w:tc>
        <w:tc>
          <w:tcPr>
            <w:vAlign w:val="center"/>
          </w:tcPr>
          <w:p>
            <w:pPr>
              <w:jc w:val="center"/>
            </w:pPr>
            <w:r>
              <w:rPr>
                <w:color w:val="000000"/>
                <w:sz w:val="24"/>
              </w:rPr>
              <w:t>18.45%</w:t>
            </w:r>
          </w:p>
        </w:tc>
        <w:tc>
          <w:tcPr>
            <w:vAlign w:val="center"/>
          </w:tcPr>
          <w:p>
            <w:pPr>
              <w:jc w:val="center"/>
            </w:pPr>
            <w:r>
              <w:rPr>
                <w:color w:val="000000"/>
                <w:sz w:val="24"/>
              </w:rPr>
              <w:t>0.01%</w:t>
            </w:r>
          </w:p>
        </w:tc>
        <w:tc>
          <w:tcPr>
            <w:vAlign w:val="center"/>
          </w:tcPr>
          <w:p>
            <w:pPr>
              <w:jc w:val="center"/>
            </w:pPr>
            <w:r>
              <w:rPr>
                <w:color w:val="000000"/>
                <w:sz w:val="24"/>
              </w:rPr>
              <w:t>17.92%</w:t>
            </w:r>
          </w:p>
        </w:tc>
        <w:tc>
          <w:tcPr>
            <w:vAlign w:val="center"/>
          </w:tcPr>
          <w:p>
            <w:pPr>
              <w:jc w:val="center"/>
            </w:pPr>
            <w:r>
              <w:rPr>
                <w:color w:val="000000"/>
                <w:sz w:val="24"/>
              </w:rPr>
              <w:t>0.19%</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易方达新鑫灵活配置混合型证券投资基金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（2015年5月14日至2020年6月30日）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易方达新鑫混合I</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易方达新鑫混合E</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注：自基金合同生效至报告期末，I类基金份额净值增长率为39.05%，E类基金份额净值增长率为36.37%，同期业绩比较基准收益率为18.45%。</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新享灵活配置混合型证券投资基金的基金经理、易方达瑞祥灵活配置混合型证券投资基金的基金经理、易方达瑞兴灵活配置混合型证券投资基金的基金经理、易方达瑞智灵活配置混合型证券投资基金的基金经理、易方达新利灵活配置混合型证券投资基金的基金经理、易方达瑞景灵活配置混合型证券投资基金的基金经理、易方达新益灵活配置混合型证券投资基金的基金经理、易方达瑞选灵活配置混合型证券投资基金的基金经理、易方达裕鑫债券型证券投资基金的基金经理、易方达瑞祺灵活配置混合型证券投资基金的基金经理、易方达鑫转招利混合型证券投资基金的基金经理、易方达鑫转添利混合型证券投资基金的基金经理、易方达瑞和灵活配置混合型证券投资基金的基金经理、易方达瑞信灵活配置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2019-06-26</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组合在二季度均以自下而上策略为主，精选高分红、低估值、较高ROE的优质个股并长期持有。债券方面，组合继续维持较高的杠杆和中性的久期水平，整体仍按照票息策略的偏绝对收益操作思路为主。此外，组合仍积极参与科创版打新。</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截至报告期末，本基金I类基金份额净值为1.222元，本报告期份额净值增长率为2.60%，同期业绩比较基准收益率为0.88%；E类基金份额净值为1.209元，本报告期份额净值增长率为2.63%，同期业绩比较基准收益率为0.88%。</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143,914,694.67</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16.09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143,914,694.67</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16.09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733,439,341.20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82.02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693,371,341.20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77.54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40,068,000.00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4.48</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5,422,850.46</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0.61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11,461,251.85</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894,238,138.18</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8,239,571.00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1.07</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77,702,777.86</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10.12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6,293,828.32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0.82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2,866,293.00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0.37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18,265,680.12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2.38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1,590,470.37</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0.21</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14,056,494.00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14,899,580.00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1.94</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143,914,694.67</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18.75</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688126</w:t>
            </w:r>
          </w:p>
        </w:tc>
        <w:tc>
          <w:tcPr>
            <w:vAlign w:val="center"/>
          </w:tcPr>
          <w:p>
            <w:pPr>
              <w:jc w:val="center"/>
            </w:pPr>
            <w:r>
              <w:rPr>
                <w:color w:val="000000"/>
                <w:sz w:val="24"/>
              </w:rPr>
              <w:t>沪硅产业</w:t>
            </w:r>
          </w:p>
        </w:tc>
        <w:tc>
          <w:tcPr>
            <w:vAlign w:val="center"/>
          </w:tcPr>
          <w:p>
            <w:pPr>
              <w:jc w:val="right"/>
            </w:pPr>
            <w:r>
              <w:rPr>
                <w:color w:val="000000"/>
                <w:sz w:val="24"/>
              </w:rPr>
              <w:t>220,528</w:t>
            </w:r>
          </w:p>
        </w:tc>
        <w:tc>
          <w:tcPr>
            <w:vAlign w:val="center"/>
          </w:tcPr>
          <w:p>
            <w:pPr>
              <w:jc w:val="right"/>
            </w:pPr>
            <w:r>
              <w:rPr>
                <w:color w:val="000000"/>
                <w:sz w:val="24"/>
              </w:rPr>
              <w:t>5,808,707.52</w:t>
            </w:r>
          </w:p>
        </w:tc>
        <w:tc>
          <w:tcPr>
            <w:vAlign w:val="center"/>
          </w:tcPr>
          <w:p>
            <w:pPr>
              <w:jc w:val="right"/>
            </w:pPr>
            <w:r>
              <w:rPr>
                <w:color w:val="000000"/>
                <w:sz w:val="24"/>
              </w:rPr>
              <w:t>0.76</w:t>
            </w:r>
          </w:p>
        </w:tc>
      </w:tr>
      <w:tr>
        <w:tc>
          <w:tcPr>
            <w:vAlign w:val="center"/>
          </w:tcPr>
          <w:p>
            <w:pPr>
              <w:jc w:val="center"/>
            </w:pPr>
            <w:r>
              <w:rPr>
                <w:color w:val="000000"/>
                <w:sz w:val="24"/>
              </w:rPr>
              <w:t>2</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906,536</w:t>
            </w:r>
          </w:p>
        </w:tc>
        <w:tc>
          <w:tcPr>
            <w:vAlign w:val="center"/>
          </w:tcPr>
          <w:p>
            <w:pPr>
              <w:jc w:val="right"/>
            </w:pPr>
            <w:r>
              <w:rPr>
                <w:color w:val="000000"/>
                <w:sz w:val="24"/>
              </w:rPr>
              <w:t>5,593,327.12</w:t>
            </w:r>
          </w:p>
        </w:tc>
        <w:tc>
          <w:tcPr>
            <w:vAlign w:val="center"/>
          </w:tcPr>
          <w:p>
            <w:pPr>
              <w:jc w:val="right"/>
            </w:pPr>
            <w:r>
              <w:rPr>
                <w:color w:val="000000"/>
                <w:sz w:val="24"/>
              </w:rPr>
              <w:t>0.73</w:t>
            </w:r>
          </w:p>
        </w:tc>
      </w:tr>
      <w:tr>
        <w:tc>
          <w:tcPr>
            <w:vAlign w:val="center"/>
          </w:tcPr>
          <w:p>
            <w:pPr>
              <w:jc w:val="center"/>
            </w:pPr>
            <w:r>
              <w:rPr>
                <w:color w:val="000000"/>
                <w:sz w:val="24"/>
              </w:rPr>
              <w:t>3</w:t>
            </w:r>
          </w:p>
        </w:tc>
        <w:tc>
          <w:tcPr>
            <w:vAlign w:val="center"/>
          </w:tcPr>
          <w:p>
            <w:pPr>
              <w:jc w:val="center"/>
            </w:pPr>
            <w:r>
              <w:rPr>
                <w:color w:val="000000"/>
                <w:sz w:val="24"/>
              </w:rPr>
              <w:t>600585</w:t>
            </w:r>
          </w:p>
        </w:tc>
        <w:tc>
          <w:tcPr>
            <w:vAlign w:val="center"/>
          </w:tcPr>
          <w:p>
            <w:pPr>
              <w:jc w:val="center"/>
            </w:pPr>
            <w:r>
              <w:rPr>
                <w:color w:val="000000"/>
                <w:sz w:val="24"/>
              </w:rPr>
              <w:t>海螺水泥</w:t>
            </w:r>
          </w:p>
        </w:tc>
        <w:tc>
          <w:tcPr>
            <w:vAlign w:val="center"/>
          </w:tcPr>
          <w:p>
            <w:pPr>
              <w:jc w:val="right"/>
            </w:pPr>
            <w:r>
              <w:rPr>
                <w:color w:val="000000"/>
                <w:sz w:val="24"/>
              </w:rPr>
              <w:t>81,100</w:t>
            </w:r>
          </w:p>
        </w:tc>
        <w:tc>
          <w:tcPr>
            <w:vAlign w:val="center"/>
          </w:tcPr>
          <w:p>
            <w:pPr>
              <w:jc w:val="right"/>
            </w:pPr>
            <w:r>
              <w:rPr>
                <w:color w:val="000000"/>
                <w:sz w:val="24"/>
              </w:rPr>
              <w:t>4,291,001.00</w:t>
            </w:r>
          </w:p>
        </w:tc>
        <w:tc>
          <w:tcPr>
            <w:vAlign w:val="center"/>
          </w:tcPr>
          <w:p>
            <w:pPr>
              <w:jc w:val="right"/>
            </w:pPr>
            <w:r>
              <w:rPr>
                <w:color w:val="000000"/>
                <w:sz w:val="24"/>
              </w:rPr>
              <w:t>0.56</w:t>
            </w:r>
          </w:p>
        </w:tc>
      </w:tr>
      <w:tr>
        <w:tc>
          <w:tcPr>
            <w:vAlign w:val="center"/>
          </w:tcPr>
          <w:p>
            <w:pPr>
              <w:jc w:val="center"/>
            </w:pPr>
            <w:r>
              <w:rPr>
                <w:color w:val="000000"/>
                <w:sz w:val="24"/>
              </w:rPr>
              <w:t>4</w:t>
            </w:r>
          </w:p>
        </w:tc>
        <w:tc>
          <w:tcPr>
            <w:vAlign w:val="center"/>
          </w:tcPr>
          <w:p>
            <w:pPr>
              <w:jc w:val="center"/>
            </w:pPr>
            <w:r>
              <w:rPr>
                <w:color w:val="000000"/>
                <w:sz w:val="24"/>
              </w:rPr>
              <w:t>600900</w:t>
            </w:r>
          </w:p>
        </w:tc>
        <w:tc>
          <w:tcPr>
            <w:vAlign w:val="center"/>
          </w:tcPr>
          <w:p>
            <w:pPr>
              <w:jc w:val="center"/>
            </w:pPr>
            <w:r>
              <w:rPr>
                <w:color w:val="000000"/>
                <w:sz w:val="24"/>
              </w:rPr>
              <w:t>长江电力</w:t>
            </w:r>
          </w:p>
        </w:tc>
        <w:tc>
          <w:tcPr>
            <w:vAlign w:val="center"/>
          </w:tcPr>
          <w:p>
            <w:pPr>
              <w:jc w:val="right"/>
            </w:pPr>
            <w:r>
              <w:rPr>
                <w:color w:val="000000"/>
                <w:sz w:val="24"/>
              </w:rPr>
              <w:t>188,300</w:t>
            </w:r>
          </w:p>
        </w:tc>
        <w:tc>
          <w:tcPr>
            <w:vAlign w:val="center"/>
          </w:tcPr>
          <w:p>
            <w:pPr>
              <w:jc w:val="right"/>
            </w:pPr>
            <w:r>
              <w:rPr>
                <w:color w:val="000000"/>
                <w:sz w:val="24"/>
              </w:rPr>
              <w:t>3,566,402.00</w:t>
            </w:r>
          </w:p>
        </w:tc>
        <w:tc>
          <w:tcPr>
            <w:vAlign w:val="center"/>
          </w:tcPr>
          <w:p>
            <w:pPr>
              <w:jc w:val="right"/>
            </w:pPr>
            <w:r>
              <w:rPr>
                <w:color w:val="000000"/>
                <w:sz w:val="24"/>
              </w:rPr>
              <w:t>0.46</w:t>
            </w:r>
          </w:p>
        </w:tc>
      </w:tr>
      <w:tr>
        <w:tc>
          <w:tcPr>
            <w:vAlign w:val="center"/>
          </w:tcPr>
          <w:p>
            <w:pPr>
              <w:jc w:val="center"/>
            </w:pPr>
            <w:r>
              <w:rPr>
                <w:color w:val="000000"/>
                <w:sz w:val="24"/>
              </w:rPr>
              <w:t>5</w:t>
            </w:r>
          </w:p>
        </w:tc>
        <w:tc>
          <w:tcPr>
            <w:vAlign w:val="center"/>
          </w:tcPr>
          <w:p>
            <w:pPr>
              <w:jc w:val="center"/>
            </w:pPr>
            <w:r>
              <w:rPr>
                <w:color w:val="000000"/>
                <w:sz w:val="24"/>
              </w:rPr>
              <w:t>600383</w:t>
            </w:r>
          </w:p>
        </w:tc>
        <w:tc>
          <w:tcPr>
            <w:vAlign w:val="center"/>
          </w:tcPr>
          <w:p>
            <w:pPr>
              <w:jc w:val="center"/>
            </w:pPr>
            <w:r>
              <w:rPr>
                <w:color w:val="000000"/>
                <w:sz w:val="24"/>
              </w:rPr>
              <w:t>金地集团</w:t>
            </w:r>
          </w:p>
        </w:tc>
        <w:tc>
          <w:tcPr>
            <w:vAlign w:val="center"/>
          </w:tcPr>
          <w:p>
            <w:pPr>
              <w:jc w:val="right"/>
            </w:pPr>
            <w:r>
              <w:rPr>
                <w:color w:val="000000"/>
                <w:sz w:val="24"/>
              </w:rPr>
              <w:t>258,300</w:t>
            </w:r>
          </w:p>
        </w:tc>
        <w:tc>
          <w:tcPr>
            <w:vAlign w:val="center"/>
          </w:tcPr>
          <w:p>
            <w:pPr>
              <w:jc w:val="right"/>
            </w:pPr>
            <w:r>
              <w:rPr>
                <w:color w:val="000000"/>
                <w:sz w:val="24"/>
              </w:rPr>
              <w:t>3,538,710.00</w:t>
            </w:r>
          </w:p>
        </w:tc>
        <w:tc>
          <w:tcPr>
            <w:vAlign w:val="center"/>
          </w:tcPr>
          <w:p>
            <w:pPr>
              <w:jc w:val="right"/>
            </w:pPr>
            <w:r>
              <w:rPr>
                <w:color w:val="000000"/>
                <w:sz w:val="24"/>
              </w:rPr>
              <w:t>0.46</w:t>
            </w:r>
          </w:p>
        </w:tc>
      </w:tr>
      <w:tr>
        <w:tc>
          <w:tcPr>
            <w:vAlign w:val="center"/>
          </w:tcPr>
          <w:p>
            <w:pPr>
              <w:jc w:val="center"/>
            </w:pPr>
            <w:r>
              <w:rPr>
                <w:color w:val="000000"/>
                <w:sz w:val="24"/>
              </w:rPr>
              <w:t>6</w:t>
            </w:r>
          </w:p>
        </w:tc>
        <w:tc>
          <w:tcPr>
            <w:vAlign w:val="center"/>
          </w:tcPr>
          <w:p>
            <w:pPr>
              <w:jc w:val="center"/>
            </w:pPr>
            <w:r>
              <w:rPr>
                <w:color w:val="000000"/>
                <w:sz w:val="24"/>
              </w:rPr>
              <w:t>600048</w:t>
            </w:r>
          </w:p>
        </w:tc>
        <w:tc>
          <w:tcPr>
            <w:vAlign w:val="center"/>
          </w:tcPr>
          <w:p>
            <w:pPr>
              <w:jc w:val="center"/>
            </w:pPr>
            <w:r>
              <w:rPr>
                <w:color w:val="000000"/>
                <w:sz w:val="24"/>
              </w:rPr>
              <w:t>保利地产</w:t>
            </w:r>
          </w:p>
        </w:tc>
        <w:tc>
          <w:tcPr>
            <w:vAlign w:val="center"/>
          </w:tcPr>
          <w:p>
            <w:pPr>
              <w:jc w:val="right"/>
            </w:pPr>
            <w:r>
              <w:rPr>
                <w:color w:val="000000"/>
                <w:sz w:val="24"/>
              </w:rPr>
              <w:t>239,200</w:t>
            </w:r>
          </w:p>
        </w:tc>
        <w:tc>
          <w:tcPr>
            <w:vAlign w:val="center"/>
          </w:tcPr>
          <w:p>
            <w:pPr>
              <w:jc w:val="right"/>
            </w:pPr>
            <w:r>
              <w:rPr>
                <w:color w:val="000000"/>
                <w:sz w:val="24"/>
              </w:rPr>
              <w:t>3,535,376.00</w:t>
            </w:r>
          </w:p>
        </w:tc>
        <w:tc>
          <w:tcPr>
            <w:vAlign w:val="center"/>
          </w:tcPr>
          <w:p>
            <w:pPr>
              <w:jc w:val="right"/>
            </w:pPr>
            <w:r>
              <w:rPr>
                <w:color w:val="000000"/>
                <w:sz w:val="24"/>
              </w:rPr>
              <w:t>0.46</w:t>
            </w:r>
          </w:p>
        </w:tc>
      </w:tr>
      <w:tr>
        <w:tc>
          <w:tcPr>
            <w:vAlign w:val="center"/>
          </w:tcPr>
          <w:p>
            <w:pPr>
              <w:jc w:val="center"/>
            </w:pPr>
            <w:r>
              <w:rPr>
                <w:color w:val="000000"/>
                <w:sz w:val="24"/>
              </w:rPr>
              <w:t>7</w:t>
            </w:r>
          </w:p>
        </w:tc>
        <w:tc>
          <w:tcPr>
            <w:vAlign w:val="center"/>
          </w:tcPr>
          <w:p>
            <w:pPr>
              <w:jc w:val="center"/>
            </w:pPr>
            <w:r>
              <w:rPr>
                <w:color w:val="000000"/>
                <w:sz w:val="24"/>
              </w:rPr>
              <w:t>002242</w:t>
            </w:r>
          </w:p>
        </w:tc>
        <w:tc>
          <w:tcPr>
            <w:vAlign w:val="center"/>
          </w:tcPr>
          <w:p>
            <w:pPr>
              <w:jc w:val="center"/>
            </w:pPr>
            <w:r>
              <w:rPr>
                <w:color w:val="000000"/>
                <w:sz w:val="24"/>
              </w:rPr>
              <w:t>九阳股份</w:t>
            </w:r>
          </w:p>
        </w:tc>
        <w:tc>
          <w:tcPr>
            <w:vAlign w:val="center"/>
          </w:tcPr>
          <w:p>
            <w:pPr>
              <w:jc w:val="right"/>
            </w:pPr>
            <w:r>
              <w:rPr>
                <w:color w:val="000000"/>
                <w:sz w:val="24"/>
              </w:rPr>
              <w:t>93,800</w:t>
            </w:r>
          </w:p>
        </w:tc>
        <w:tc>
          <w:tcPr>
            <w:vAlign w:val="center"/>
          </w:tcPr>
          <w:p>
            <w:pPr>
              <w:jc w:val="right"/>
            </w:pPr>
            <w:r>
              <w:rPr>
                <w:color w:val="000000"/>
                <w:sz w:val="24"/>
              </w:rPr>
              <w:t>3,495,926.00</w:t>
            </w:r>
          </w:p>
        </w:tc>
        <w:tc>
          <w:tcPr>
            <w:vAlign w:val="center"/>
          </w:tcPr>
          <w:p>
            <w:pPr>
              <w:jc w:val="right"/>
            </w:pPr>
            <w:r>
              <w:rPr>
                <w:color w:val="000000"/>
                <w:sz w:val="24"/>
              </w:rPr>
              <w:t>0.46</w:t>
            </w:r>
          </w:p>
        </w:tc>
      </w:tr>
      <w:tr>
        <w:tc>
          <w:tcPr>
            <w:vAlign w:val="center"/>
          </w:tcPr>
          <w:p>
            <w:pPr>
              <w:jc w:val="center"/>
            </w:pPr>
            <w:r>
              <w:rPr>
                <w:color w:val="000000"/>
                <w:sz w:val="24"/>
              </w:rPr>
              <w:t>8</w:t>
            </w:r>
          </w:p>
        </w:tc>
        <w:tc>
          <w:tcPr>
            <w:vAlign w:val="center"/>
          </w:tcPr>
          <w:p>
            <w:pPr>
              <w:jc w:val="center"/>
            </w:pPr>
            <w:r>
              <w:rPr>
                <w:color w:val="000000"/>
                <w:sz w:val="24"/>
              </w:rPr>
              <w:t>601877</w:t>
            </w:r>
          </w:p>
        </w:tc>
        <w:tc>
          <w:tcPr>
            <w:vAlign w:val="center"/>
          </w:tcPr>
          <w:p>
            <w:pPr>
              <w:jc w:val="center"/>
            </w:pPr>
            <w:r>
              <w:rPr>
                <w:color w:val="000000"/>
                <w:sz w:val="24"/>
              </w:rPr>
              <w:t>正泰电器</w:t>
            </w:r>
          </w:p>
        </w:tc>
        <w:tc>
          <w:tcPr>
            <w:vAlign w:val="center"/>
          </w:tcPr>
          <w:p>
            <w:pPr>
              <w:jc w:val="right"/>
            </w:pPr>
            <w:r>
              <w:rPr>
                <w:color w:val="000000"/>
                <w:sz w:val="24"/>
              </w:rPr>
              <w:t>129,000</w:t>
            </w:r>
          </w:p>
        </w:tc>
        <w:tc>
          <w:tcPr>
            <w:vAlign w:val="center"/>
          </w:tcPr>
          <w:p>
            <w:pPr>
              <w:jc w:val="right"/>
            </w:pPr>
            <w:r>
              <w:rPr>
                <w:color w:val="000000"/>
                <w:sz w:val="24"/>
              </w:rPr>
              <w:t>3,399,150.00</w:t>
            </w:r>
          </w:p>
        </w:tc>
        <w:tc>
          <w:tcPr>
            <w:vAlign w:val="center"/>
          </w:tcPr>
          <w:p>
            <w:pPr>
              <w:jc w:val="right"/>
            </w:pPr>
            <w:r>
              <w:rPr>
                <w:color w:val="000000"/>
                <w:sz w:val="24"/>
              </w:rPr>
              <w:t>0.44</w:t>
            </w:r>
          </w:p>
        </w:tc>
      </w:tr>
      <w:tr>
        <w:tc>
          <w:tcPr>
            <w:vAlign w:val="center"/>
          </w:tcPr>
          <w:p>
            <w:pPr>
              <w:jc w:val="center"/>
            </w:pPr>
            <w:r>
              <w:rPr>
                <w:color w:val="000000"/>
                <w:sz w:val="24"/>
              </w:rPr>
              <w:t>9</w:t>
            </w:r>
          </w:p>
        </w:tc>
        <w:tc>
          <w:tcPr>
            <w:vAlign w:val="center"/>
          </w:tcPr>
          <w:p>
            <w:pPr>
              <w:jc w:val="center"/>
            </w:pPr>
            <w:r>
              <w:rPr>
                <w:color w:val="000000"/>
                <w:sz w:val="24"/>
              </w:rPr>
              <w:t>002352</w:t>
            </w:r>
          </w:p>
        </w:tc>
        <w:tc>
          <w:tcPr>
            <w:vAlign w:val="center"/>
          </w:tcPr>
          <w:p>
            <w:pPr>
              <w:jc w:val="center"/>
            </w:pPr>
            <w:r>
              <w:rPr>
                <w:color w:val="000000"/>
                <w:sz w:val="24"/>
              </w:rPr>
              <w:t>顺丰控股</w:t>
            </w:r>
          </w:p>
        </w:tc>
        <w:tc>
          <w:tcPr>
            <w:vAlign w:val="center"/>
          </w:tcPr>
          <w:p>
            <w:pPr>
              <w:jc w:val="right"/>
            </w:pPr>
            <w:r>
              <w:rPr>
                <w:color w:val="000000"/>
                <w:sz w:val="24"/>
              </w:rPr>
              <w:t>61,800</w:t>
            </w:r>
          </w:p>
        </w:tc>
        <w:tc>
          <w:tcPr>
            <w:vAlign w:val="center"/>
          </w:tcPr>
          <w:p>
            <w:pPr>
              <w:jc w:val="right"/>
            </w:pPr>
            <w:r>
              <w:rPr>
                <w:color w:val="000000"/>
                <w:sz w:val="24"/>
              </w:rPr>
              <w:t>3,380,460.00</w:t>
            </w:r>
          </w:p>
        </w:tc>
        <w:tc>
          <w:tcPr>
            <w:vAlign w:val="center"/>
          </w:tcPr>
          <w:p>
            <w:pPr>
              <w:jc w:val="right"/>
            </w:pPr>
            <w:r>
              <w:rPr>
                <w:color w:val="000000"/>
                <w:sz w:val="24"/>
              </w:rPr>
              <w:t>0.44</w:t>
            </w:r>
          </w:p>
        </w:tc>
      </w:tr>
      <w:tr>
        <w:tc>
          <w:tcPr>
            <w:vAlign w:val="center"/>
          </w:tcPr>
          <w:p>
            <w:pPr>
              <w:jc w:val="center"/>
            </w:pPr>
            <w:r>
              <w:rPr>
                <w:color w:val="000000"/>
                <w:sz w:val="24"/>
              </w:rPr>
              <w:t>10</w:t>
            </w:r>
          </w:p>
        </w:tc>
        <w:tc>
          <w:tcPr>
            <w:vAlign w:val="center"/>
          </w:tcPr>
          <w:p>
            <w:pPr>
              <w:jc w:val="center"/>
            </w:pPr>
            <w:r>
              <w:rPr>
                <w:color w:val="000000"/>
                <w:sz w:val="24"/>
              </w:rPr>
              <w:t>002601</w:t>
            </w:r>
          </w:p>
        </w:tc>
        <w:tc>
          <w:tcPr>
            <w:vAlign w:val="center"/>
          </w:tcPr>
          <w:p>
            <w:pPr>
              <w:jc w:val="center"/>
            </w:pPr>
            <w:r>
              <w:rPr>
                <w:color w:val="000000"/>
                <w:sz w:val="24"/>
              </w:rPr>
              <w:t>龙蟒佰利</w:t>
            </w:r>
          </w:p>
        </w:tc>
        <w:tc>
          <w:tcPr>
            <w:vAlign w:val="center"/>
          </w:tcPr>
          <w:p>
            <w:pPr>
              <w:jc w:val="right"/>
            </w:pPr>
            <w:r>
              <w:rPr>
                <w:color w:val="000000"/>
                <w:sz w:val="24"/>
              </w:rPr>
              <w:t>178,700</w:t>
            </w:r>
          </w:p>
        </w:tc>
        <w:tc>
          <w:tcPr>
            <w:vAlign w:val="center"/>
          </w:tcPr>
          <w:p>
            <w:pPr>
              <w:jc w:val="right"/>
            </w:pPr>
            <w:r>
              <w:rPr>
                <w:color w:val="000000"/>
                <w:sz w:val="24"/>
              </w:rPr>
              <w:t>3,305,950.00</w:t>
            </w:r>
          </w:p>
        </w:tc>
        <w:tc>
          <w:tcPr>
            <w:vAlign w:val="center"/>
          </w:tcPr>
          <w:p>
            <w:pPr>
              <w:jc w:val="right"/>
            </w:pPr>
            <w:r>
              <w:rPr>
                <w:color w:val="000000"/>
                <w:sz w:val="24"/>
              </w:rPr>
              <w:t>0.43</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2,501,250.00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0.33</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36,401,600.00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4.74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36,401,600.00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4.74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196,295,150.00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25.57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19,978,000.00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2.60</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437,147,000.00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56.95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1,048,341.20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0.14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693,371,341.20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90.32</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163541</w:t>
            </w:r>
          </w:p>
        </w:tc>
        <w:tc>
          <w:tcPr>
            <w:vAlign w:val="center"/>
          </w:tcPr>
          <w:p>
            <w:pPr>
              <w:jc w:val="center"/>
            </w:pPr>
            <w:r>
              <w:rPr>
                <w:color w:val="000000"/>
                <w:sz w:val="24"/>
              </w:rPr>
              <w:t>20诚通10</w:t>
            </w:r>
          </w:p>
        </w:tc>
        <w:tc>
          <w:tcPr>
            <w:vAlign w:val="center"/>
          </w:tcPr>
          <w:p>
            <w:pPr>
              <w:jc w:val="right"/>
            </w:pPr>
            <w:r>
              <w:rPr>
                <w:color w:val="000000"/>
                <w:sz w:val="24"/>
              </w:rPr>
              <w:t>300,000</w:t>
            </w:r>
          </w:p>
        </w:tc>
        <w:tc>
          <w:tcPr>
            <w:vAlign w:val="center"/>
          </w:tcPr>
          <w:p>
            <w:pPr>
              <w:jc w:val="right"/>
            </w:pPr>
            <w:r>
              <w:rPr>
                <w:color w:val="000000"/>
                <w:sz w:val="24"/>
              </w:rPr>
              <w:t>29,709,000.00</w:t>
            </w:r>
          </w:p>
        </w:tc>
        <w:tc>
          <w:tcPr>
            <w:vAlign w:val="center"/>
          </w:tcPr>
          <w:p>
            <w:pPr>
              <w:jc w:val="right"/>
            </w:pPr>
            <w:r>
              <w:rPr>
                <w:color w:val="000000"/>
                <w:sz w:val="24"/>
              </w:rPr>
              <w:t>3.87</w:t>
            </w:r>
          </w:p>
        </w:tc>
      </w:tr>
      <w:tr>
        <w:tc>
          <w:tcPr>
            <w:vAlign w:val="center"/>
          </w:tcPr>
          <w:p>
            <w:pPr>
              <w:jc w:val="center"/>
            </w:pPr>
            <w:r>
              <w:rPr>
                <w:color w:val="000000"/>
                <w:sz w:val="24"/>
              </w:rPr>
              <w:t>2</w:t>
            </w:r>
          </w:p>
        </w:tc>
        <w:tc>
          <w:tcPr>
            <w:vAlign w:val="center"/>
          </w:tcPr>
          <w:p>
            <w:pPr>
              <w:jc w:val="center"/>
            </w:pPr>
            <w:r>
              <w:rPr>
                <w:color w:val="000000"/>
                <w:sz w:val="24"/>
              </w:rPr>
              <w:t>180208</w:t>
            </w:r>
          </w:p>
        </w:tc>
        <w:tc>
          <w:tcPr>
            <w:vAlign w:val="center"/>
          </w:tcPr>
          <w:p>
            <w:pPr>
              <w:jc w:val="center"/>
            </w:pPr>
            <w:r>
              <w:rPr>
                <w:color w:val="000000"/>
                <w:sz w:val="24"/>
              </w:rPr>
              <w:t>18国开08</w:t>
            </w:r>
          </w:p>
        </w:tc>
        <w:tc>
          <w:tcPr>
            <w:vAlign w:val="center"/>
          </w:tcPr>
          <w:p>
            <w:pPr>
              <w:jc w:val="right"/>
            </w:pPr>
            <w:r>
              <w:rPr>
                <w:color w:val="000000"/>
                <w:sz w:val="24"/>
              </w:rPr>
              <w:t>260,000</w:t>
            </w:r>
          </w:p>
        </w:tc>
        <w:tc>
          <w:tcPr>
            <w:vAlign w:val="center"/>
          </w:tcPr>
          <w:p>
            <w:pPr>
              <w:jc w:val="right"/>
            </w:pPr>
            <w:r>
              <w:rPr>
                <w:color w:val="000000"/>
                <w:sz w:val="24"/>
              </w:rPr>
              <w:t>26,392,600.00</w:t>
            </w:r>
          </w:p>
        </w:tc>
        <w:tc>
          <w:tcPr>
            <w:vAlign w:val="center"/>
          </w:tcPr>
          <w:p>
            <w:pPr>
              <w:jc w:val="right"/>
            </w:pPr>
            <w:r>
              <w:rPr>
                <w:color w:val="000000"/>
                <w:sz w:val="24"/>
              </w:rPr>
              <w:t>3.44</w:t>
            </w:r>
          </w:p>
        </w:tc>
      </w:tr>
      <w:tr>
        <w:tc>
          <w:tcPr>
            <w:vAlign w:val="center"/>
          </w:tcPr>
          <w:p>
            <w:pPr>
              <w:jc w:val="center"/>
            </w:pPr>
            <w:r>
              <w:rPr>
                <w:color w:val="000000"/>
                <w:sz w:val="24"/>
              </w:rPr>
              <w:t>3</w:t>
            </w:r>
          </w:p>
        </w:tc>
        <w:tc>
          <w:tcPr>
            <w:vAlign w:val="center"/>
          </w:tcPr>
          <w:p>
            <w:pPr>
              <w:jc w:val="center"/>
            </w:pPr>
            <w:r>
              <w:rPr>
                <w:color w:val="000000"/>
                <w:sz w:val="24"/>
              </w:rPr>
              <w:t>101800792</w:t>
            </w:r>
          </w:p>
        </w:tc>
        <w:tc>
          <w:tcPr>
            <w:vAlign w:val="center"/>
          </w:tcPr>
          <w:p>
            <w:pPr>
              <w:jc w:val="center"/>
            </w:pPr>
            <w:r>
              <w:rPr>
                <w:color w:val="000000"/>
                <w:sz w:val="24"/>
              </w:rPr>
              <w:t>18津城建MTN012A</w:t>
            </w:r>
          </w:p>
        </w:tc>
        <w:tc>
          <w:tcPr>
            <w:vAlign w:val="center"/>
          </w:tcPr>
          <w:p>
            <w:pPr>
              <w:jc w:val="right"/>
            </w:pPr>
            <w:r>
              <w:rPr>
                <w:color w:val="000000"/>
                <w:sz w:val="24"/>
              </w:rPr>
              <w:t>200,000</w:t>
            </w:r>
          </w:p>
        </w:tc>
        <w:tc>
          <w:tcPr>
            <w:vAlign w:val="center"/>
          </w:tcPr>
          <w:p>
            <w:pPr>
              <w:jc w:val="right"/>
            </w:pPr>
            <w:r>
              <w:rPr>
                <w:color w:val="000000"/>
                <w:sz w:val="24"/>
              </w:rPr>
              <w:t>20,578,000.00</w:t>
            </w:r>
          </w:p>
        </w:tc>
        <w:tc>
          <w:tcPr>
            <w:vAlign w:val="center"/>
          </w:tcPr>
          <w:p>
            <w:pPr>
              <w:jc w:val="right"/>
            </w:pPr>
            <w:r>
              <w:rPr>
                <w:color w:val="000000"/>
                <w:sz w:val="24"/>
              </w:rPr>
              <w:t>2.68</w:t>
            </w:r>
          </w:p>
        </w:tc>
      </w:tr>
      <w:tr>
        <w:tc>
          <w:tcPr>
            <w:vAlign w:val="center"/>
          </w:tcPr>
          <w:p>
            <w:pPr>
              <w:jc w:val="center"/>
            </w:pPr>
            <w:r>
              <w:rPr>
                <w:color w:val="000000"/>
                <w:sz w:val="24"/>
              </w:rPr>
              <w:t>4</w:t>
            </w:r>
          </w:p>
        </w:tc>
        <w:tc>
          <w:tcPr>
            <w:vAlign w:val="center"/>
          </w:tcPr>
          <w:p>
            <w:pPr>
              <w:jc w:val="center"/>
            </w:pPr>
            <w:r>
              <w:rPr>
                <w:color w:val="000000"/>
                <w:sz w:val="24"/>
              </w:rPr>
              <w:t>101800773</w:t>
            </w:r>
          </w:p>
        </w:tc>
        <w:tc>
          <w:tcPr>
            <w:vAlign w:val="center"/>
          </w:tcPr>
          <w:p>
            <w:pPr>
              <w:jc w:val="center"/>
            </w:pPr>
            <w:r>
              <w:rPr>
                <w:color w:val="000000"/>
                <w:sz w:val="24"/>
              </w:rPr>
              <w:t>18首钢MTN002</w:t>
            </w:r>
          </w:p>
        </w:tc>
        <w:tc>
          <w:tcPr>
            <w:vAlign w:val="center"/>
          </w:tcPr>
          <w:p>
            <w:pPr>
              <w:jc w:val="right"/>
            </w:pPr>
            <w:r>
              <w:rPr>
                <w:color w:val="000000"/>
                <w:sz w:val="24"/>
              </w:rPr>
              <w:t>200,000</w:t>
            </w:r>
          </w:p>
        </w:tc>
        <w:tc>
          <w:tcPr>
            <w:vAlign w:val="center"/>
          </w:tcPr>
          <w:p>
            <w:pPr>
              <w:jc w:val="right"/>
            </w:pPr>
            <w:r>
              <w:rPr>
                <w:color w:val="000000"/>
                <w:sz w:val="24"/>
              </w:rPr>
              <w:t>20,540,000.00</w:t>
            </w:r>
          </w:p>
        </w:tc>
        <w:tc>
          <w:tcPr>
            <w:vAlign w:val="center"/>
          </w:tcPr>
          <w:p>
            <w:pPr>
              <w:jc w:val="right"/>
            </w:pPr>
            <w:r>
              <w:rPr>
                <w:color w:val="000000"/>
                <w:sz w:val="24"/>
              </w:rPr>
              <w:t>2.68</w:t>
            </w:r>
          </w:p>
        </w:tc>
      </w:tr>
      <w:tr>
        <w:tc>
          <w:tcPr>
            <w:vAlign w:val="center"/>
          </w:tcPr>
          <w:p>
            <w:pPr>
              <w:jc w:val="center"/>
            </w:pPr>
            <w:r>
              <w:rPr>
                <w:color w:val="000000"/>
                <w:sz w:val="24"/>
              </w:rPr>
              <w:t>5</w:t>
            </w:r>
          </w:p>
        </w:tc>
        <w:tc>
          <w:tcPr>
            <w:vAlign w:val="center"/>
          </w:tcPr>
          <w:p>
            <w:pPr>
              <w:jc w:val="center"/>
            </w:pPr>
            <w:r>
              <w:rPr>
                <w:color w:val="000000"/>
                <w:sz w:val="24"/>
              </w:rPr>
              <w:t>101900751</w:t>
            </w:r>
          </w:p>
        </w:tc>
        <w:tc>
          <w:tcPr>
            <w:vAlign w:val="center"/>
          </w:tcPr>
          <w:p>
            <w:pPr>
              <w:jc w:val="center"/>
            </w:pPr>
            <w:r>
              <w:rPr>
                <w:color w:val="000000"/>
                <w:sz w:val="24"/>
              </w:rPr>
              <w:t>19陕延油MTN004</w:t>
            </w:r>
          </w:p>
        </w:tc>
        <w:tc>
          <w:tcPr>
            <w:vAlign w:val="center"/>
          </w:tcPr>
          <w:p>
            <w:pPr>
              <w:jc w:val="right"/>
            </w:pPr>
            <w:r>
              <w:rPr>
                <w:color w:val="000000"/>
                <w:sz w:val="24"/>
              </w:rPr>
              <w:t>200,000</w:t>
            </w:r>
          </w:p>
        </w:tc>
        <w:tc>
          <w:tcPr>
            <w:vAlign w:val="center"/>
          </w:tcPr>
          <w:p>
            <w:pPr>
              <w:jc w:val="right"/>
            </w:pPr>
            <w:r>
              <w:rPr>
                <w:color w:val="000000"/>
                <w:sz w:val="24"/>
              </w:rPr>
              <w:t>20,346,000.00</w:t>
            </w:r>
          </w:p>
        </w:tc>
        <w:tc>
          <w:tcPr>
            <w:vAlign w:val="center"/>
          </w:tcPr>
          <w:p>
            <w:pPr>
              <w:jc w:val="right"/>
            </w:pPr>
            <w:r>
              <w:rPr>
                <w:color w:val="000000"/>
                <w:sz w:val="24"/>
              </w:rPr>
              <w:t>2.65</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168620</w:t>
            </w:r>
          </w:p>
        </w:tc>
        <w:tc>
          <w:tcPr>
            <w:vAlign w:val="center"/>
          </w:tcPr>
          <w:p>
            <w:pPr>
              <w:jc w:val="center"/>
            </w:pPr>
            <w:r>
              <w:rPr>
                <w:color w:val="000000"/>
                <w:sz w:val="24"/>
              </w:rPr>
              <w:t>益行03A1</w:t>
            </w:r>
          </w:p>
        </w:tc>
        <w:tc>
          <w:tcPr>
            <w:vAlign w:val="center"/>
          </w:tcPr>
          <w:p>
            <w:pPr>
              <w:jc w:val="right"/>
            </w:pPr>
            <w:r>
              <w:rPr>
                <w:color w:val="000000"/>
                <w:sz w:val="24"/>
              </w:rPr>
              <w:t>200,000</w:t>
            </w:r>
          </w:p>
        </w:tc>
        <w:tc>
          <w:tcPr>
            <w:vAlign w:val="center"/>
          </w:tcPr>
          <w:p>
            <w:pPr>
              <w:jc w:val="right"/>
            </w:pPr>
            <w:r>
              <w:rPr>
                <w:color w:val="000000"/>
                <w:sz w:val="24"/>
              </w:rPr>
              <w:t>20,000,000.00</w:t>
            </w:r>
          </w:p>
        </w:tc>
        <w:tc>
          <w:tcPr>
            <w:vAlign w:val="center"/>
          </w:tcPr>
          <w:p>
            <w:pPr>
              <w:jc w:val="right"/>
            </w:pPr>
            <w:r>
              <w:rPr>
                <w:color w:val="000000"/>
                <w:sz w:val="24"/>
              </w:rPr>
              <w:t>2.61</w:t>
            </w:r>
          </w:p>
        </w:tc>
      </w:tr>
      <w:tr>
        <w:tc>
          <w:tcPr>
            <w:vAlign w:val="center"/>
          </w:tcPr>
          <w:p>
            <w:pPr>
              <w:jc w:val="center"/>
            </w:pPr>
            <w:r>
              <w:rPr>
                <w:color w:val="000000"/>
                <w:sz w:val="24"/>
              </w:rPr>
              <w:t>2</w:t>
            </w:r>
          </w:p>
        </w:tc>
        <w:tc>
          <w:tcPr>
            <w:vAlign w:val="center"/>
          </w:tcPr>
          <w:p>
            <w:pPr>
              <w:jc w:val="center"/>
            </w:pPr>
            <w:r>
              <w:rPr>
                <w:color w:val="000000"/>
                <w:sz w:val="24"/>
              </w:rPr>
              <w:t>138020</w:t>
            </w:r>
          </w:p>
        </w:tc>
        <w:tc>
          <w:tcPr>
            <w:vAlign w:val="center"/>
          </w:tcPr>
          <w:p>
            <w:pPr>
              <w:jc w:val="center"/>
            </w:pPr>
            <w:r>
              <w:rPr>
                <w:color w:val="000000"/>
                <w:sz w:val="24"/>
              </w:rPr>
              <w:t>绿城15优</w:t>
            </w:r>
          </w:p>
        </w:tc>
        <w:tc>
          <w:tcPr>
            <w:vAlign w:val="center"/>
          </w:tcPr>
          <w:p>
            <w:pPr>
              <w:jc w:val="right"/>
            </w:pPr>
            <w:r>
              <w:rPr>
                <w:color w:val="000000"/>
                <w:sz w:val="24"/>
              </w:rPr>
              <w:t>100,000</w:t>
            </w:r>
          </w:p>
        </w:tc>
        <w:tc>
          <w:tcPr>
            <w:vAlign w:val="center"/>
          </w:tcPr>
          <w:p>
            <w:pPr>
              <w:jc w:val="right"/>
            </w:pPr>
            <w:r>
              <w:rPr>
                <w:color w:val="000000"/>
                <w:sz w:val="24"/>
              </w:rPr>
              <w:t>10,068,000.00</w:t>
            </w:r>
          </w:p>
        </w:tc>
        <w:tc>
          <w:tcPr>
            <w:vAlign w:val="center"/>
          </w:tcPr>
          <w:p>
            <w:pPr>
              <w:jc w:val="right"/>
            </w:pPr>
            <w:r>
              <w:rPr>
                <w:color w:val="000000"/>
                <w:sz w:val="24"/>
              </w:rPr>
              <w:t>1.31</w:t>
            </w:r>
          </w:p>
        </w:tc>
      </w:tr>
      <w:tr>
        <w:tc>
          <w:tcPr>
            <w:vAlign w:val="center"/>
          </w:tcPr>
          <w:p>
            <w:pPr>
              <w:jc w:val="center"/>
            </w:pPr>
            <w:r>
              <w:rPr>
                <w:color w:val="000000"/>
                <w:sz w:val="24"/>
              </w:rPr>
              <w:t>3</w:t>
            </w:r>
          </w:p>
        </w:tc>
        <w:tc>
          <w:tcPr>
            <w:vAlign w:val="center"/>
          </w:tcPr>
          <w:p>
            <w:pPr>
              <w:jc w:val="center"/>
            </w:pPr>
            <w:r>
              <w:rPr>
                <w:color w:val="000000"/>
                <w:sz w:val="24"/>
              </w:rPr>
              <w:t>168608</w:t>
            </w:r>
          </w:p>
        </w:tc>
        <w:tc>
          <w:tcPr>
            <w:vAlign w:val="center"/>
          </w:tcPr>
          <w:p>
            <w:pPr>
              <w:jc w:val="center"/>
            </w:pPr>
            <w:r>
              <w:rPr>
                <w:color w:val="000000"/>
                <w:sz w:val="24"/>
              </w:rPr>
              <w:t>健弘04A</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1.30</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2019年11月18日，北京市规划委员会石景山分局对首钢集团有限公司“因设计失误造成实测建筑面积超出规划许可建筑面积”的行为罚款额58765.25元。</w:t>
      </w:r>
    </w:p>
    <w:p>
      <w:pPr>
        <w:widowControl/>
        <w:spacing w:line="360" w:lineRule="auto"/>
        <w:rPr>
          <w:color w:val="000000"/>
          <w:sz w:val="24"/>
        </w:rPr>
      </w:pPr>
      <w:r>
        <w:rPr>
          <w:color w:val="000000"/>
          <w:sz w:val="24"/>
        </w:rPr>
        <w:t>本基金投资18首钢MTN002的投资决策程序符合公司投资制度的规定。</w:t>
      </w:r>
    </w:p>
    <w:p>
      <w:pPr>
        <w:widowControl/>
        <w:spacing w:line="360" w:lineRule="auto"/>
        <w:rPr>
          <w:color w:val="000000"/>
          <w:sz w:val="24"/>
        </w:rPr>
      </w:pPr>
      <w:r>
        <w:rPr>
          <w:color w:val="000000"/>
          <w:sz w:val="24"/>
        </w:rPr>
        <w:t>除18首钢MTN002外，本基金投资的前十名证券的发行主体本期没有出现被监管部门立案调查，或在报告编制日前一年内受到公开谴责、处罚的情形。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34,597.19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1,000,000.00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10,026,554.66</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400,100.00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11,461,251.85</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F016DD" w:rsidRPr="00E85E29" w:rsidTr="00F4518C">
        <w:tc>
          <w:tcPr>
            <w:tcW w:type="dxa" w:w="108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302"/>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301"/>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805"/>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type="dxa" w:w="1655"/>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type="dxa" w:w="1367"/>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流通受限情况说明</w:t>
            </w:r>
          </w:p>
        </w:tc>
      </w:tr>
      <w:tr>
        <w:tc>
          <w:tcPr>
            <w:vAlign w:val="center"/>
          </w:tcPr>
          <w:p>
            <w:pPr>
              <w:jc w:val="center"/>
            </w:pPr>
            <w:r>
              <w:rPr>
                <w:color w:val="000000"/>
                <w:sz w:val="24"/>
              </w:rPr>
              <w:t>1</w:t>
            </w:r>
          </w:p>
        </w:tc>
        <w:tc>
          <w:tcPr>
            <w:vAlign w:val="center"/>
          </w:tcPr>
          <w:p>
            <w:pPr>
              <w:jc w:val="center"/>
            </w:pPr>
            <w:r>
              <w:rPr>
                <w:color w:val="000000"/>
                <w:sz w:val="24"/>
              </w:rPr>
              <w:t>688126</w:t>
            </w:r>
          </w:p>
        </w:tc>
        <w:tc>
          <w:tcPr>
            <w:vAlign w:val="center"/>
          </w:tcPr>
          <w:p>
            <w:pPr>
              <w:jc w:val="center"/>
            </w:pPr>
            <w:r>
              <w:rPr>
                <w:color w:val="000000"/>
                <w:sz w:val="24"/>
              </w:rPr>
              <w:t>沪硅产业</w:t>
            </w:r>
          </w:p>
        </w:tc>
        <w:tc>
          <w:tcPr>
            <w:vAlign w:val="center"/>
          </w:tcPr>
          <w:p>
            <w:pPr>
              <w:jc w:val="right"/>
            </w:pPr>
            <w:r>
              <w:rPr>
                <w:color w:val="000000"/>
                <w:sz w:val="24"/>
              </w:rPr>
              <w:t>5,808,707.52</w:t>
            </w:r>
          </w:p>
        </w:tc>
        <w:tc>
          <w:tcPr>
            <w:vAlign w:val="center"/>
          </w:tcPr>
          <w:p>
            <w:pPr>
              <w:jc w:val="right"/>
            </w:pPr>
            <w:r>
              <w:rPr>
                <w:color w:val="000000"/>
                <w:sz w:val="24"/>
              </w:rPr>
              <w:t>0.76</w:t>
            </w:r>
          </w:p>
        </w:tc>
        <w:tc>
          <w:tcPr>
            <w:vAlign w:val="center"/>
          </w:tcPr>
          <w:p>
            <w:pPr>
              <w:jc w:val="right"/>
            </w:pPr>
            <w:r>
              <w:rPr>
                <w:color w:val="000000"/>
                <w:sz w:val="24"/>
              </w:rPr>
              <w:t>新股流通受限</w:t>
            </w:r>
          </w:p>
        </w:tc>
      </w:tr>
      <w:tr>
        <w:tc>
          <w:tcPr>
            <w:vAlign w:val="center"/>
          </w:tcPr>
          <w:p>
            <w:pPr>
              <w:jc w:val="center"/>
            </w:pPr>
            <w:r>
              <w:rPr>
                <w:color w:val="000000"/>
                <w:sz w:val="24"/>
              </w:rPr>
              <w:t>2</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5,593,327.12</w:t>
            </w:r>
          </w:p>
        </w:tc>
        <w:tc>
          <w:tcPr>
            <w:vAlign w:val="center"/>
          </w:tcPr>
          <w:p>
            <w:pPr>
              <w:jc w:val="right"/>
            </w:pPr>
            <w:r>
              <w:rPr>
                <w:color w:val="000000"/>
                <w:sz w:val="24"/>
              </w:rPr>
              <w:t>0.73</w:t>
            </w:r>
          </w:p>
        </w:tc>
        <w:tc>
          <w:tcPr>
            <w:vAlign w:val="center"/>
          </w:tcPr>
          <w:p>
            <w:pPr>
              <w:jc w:val="right"/>
            </w:pPr>
            <w:r>
              <w:rPr>
                <w:color w:val="000000"/>
                <w:sz w:val="24"/>
              </w:rPr>
              <w:t>新股流通受限</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易方达新鑫混合I</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易方达新鑫混合E</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391,493,949.14</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29,186,698.86</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277,721,879.00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47,615,140.84</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116,742,612.53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224,026.49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552,473,215.61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76,577,813.21</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2020年04月01日~2020年05月25日</w:t>
            </w:r>
          </w:p>
        </w:tc>
        <w:tc>
          <w:tcPr>
            <w:vAlign w:val="center"/>
          </w:tcPr>
          <w:p>
            <w:pPr>
              <w:jc w:val="center"/>
            </w:pPr>
            <w:r>
              <w:rPr>
                <w:sz w:val="24"/>
              </w:rPr>
              <w:t>93,108,938.55</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93,108,938.55</w:t>
            </w:r>
          </w:p>
        </w:tc>
        <w:tc>
          <w:tcPr>
            <w:vAlign w:val="center"/>
          </w:tcPr>
          <w:p>
            <w:pPr>
              <w:jc w:val="center"/>
            </w:pPr>
            <w:r>
              <w:rPr>
                <w:sz w:val="24"/>
              </w:rPr>
              <w:t>14.80%</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1.中国证监会准予易方达新鑫灵活配置混合型证券投资基金注册的文件；</w:t>
      </w:r>
    </w:p>
    <w:p>
      <w:pPr>
        <w:spacing w:line="360" w:lineRule="auto"/>
        <w:ind w:firstLine="480" w:firstLineChars="200"/>
        <w:rPr>
          <w:color w:val="000000"/>
          <w:sz w:val="24"/>
        </w:rPr>
      </w:pPr>
      <w:r>
        <w:rPr>
          <w:color w:val="000000"/>
          <w:sz w:val="24"/>
        </w:rPr>
        <w:t>2.《易方达新鑫灵活配置混合型证券投资基金基金合同》；</w:t>
      </w:r>
    </w:p>
    <w:p>
      <w:pPr>
        <w:spacing w:line="360" w:lineRule="auto"/>
        <w:ind w:firstLine="480" w:firstLineChars="200"/>
        <w:rPr>
          <w:color w:val="000000"/>
          <w:sz w:val="24"/>
        </w:rPr>
      </w:pPr>
      <w:r>
        <w:rPr>
          <w:color w:val="000000"/>
          <w:sz w:val="24"/>
        </w:rPr>
        <w:t>3.《易方达新鑫灵活配置混合型证券投资基金托管协议》；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易方达新鑫灵活配置混合型证券投资基金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