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易方达新利灵活配置混合型证券投资基金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中国邮政储蓄银行股份有限公司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基金托管人中国邮政储蓄银行股份有限公司根据本基金合同规定，于2020年7月17日复核了本报告中的财务指标、净值表现和投资组合报告等内容，保证复核内容不存在虚假记载、误导性陈述或者重大遗漏。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易方达新利混合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001249</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001249</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2015年4月30日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530,704,012.42</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本基金在控制风险的前提下，追求基金资产的稳健增值。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控制风险的前提下，追求基金资产的稳健增值。通过定量与定性相结合的宏观及市场分析，确定组合中股票、债券等资产类别的配置比例。严格遵守低估值的股票投资逻辑，以绝对收益为目标，力争获得稳健、持续的投资收益。</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一年期人民币定期存款利率（税后）+2%</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本基金为混合型基金，理论上其预期风险与预期收益水平低于股票型基金，高于债券型基金和货币市场基金。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中国邮政储蓄银行股份有限公司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11,119,639.37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10,771,483.16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0.0252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744,062,014.06</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1.402</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1.96%</w:t>
            </w:r>
          </w:p>
        </w:tc>
        <w:tc>
          <w:tcPr>
            <w:vAlign w:val="center"/>
          </w:tcPr>
          <w:p>
            <w:pPr>
              <w:jc w:val="center"/>
            </w:pPr>
            <w:r>
              <w:rPr>
                <w:color w:val="000000"/>
                <w:kern w:val="0"/>
                <w:sz w:val="24"/>
                <w:szCs w:val="24"/>
              </w:rPr>
              <w:t>0.16%</w:t>
            </w:r>
          </w:p>
        </w:tc>
        <w:tc>
          <w:tcPr>
            <w:vAlign w:val="center"/>
          </w:tcPr>
          <w:p>
            <w:pPr>
              <w:jc w:val="center"/>
            </w:pPr>
            <w:r>
              <w:rPr>
                <w:color w:val="000000"/>
                <w:kern w:val="0"/>
                <w:sz w:val="24"/>
                <w:szCs w:val="24"/>
              </w:rPr>
              <w:t>0.88%</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1.08%</w:t>
            </w:r>
          </w:p>
        </w:tc>
        <w:tc>
          <w:tcPr>
            <w:vAlign w:val="center"/>
          </w:tcPr>
          <w:p>
            <w:pPr>
              <w:jc w:val="center"/>
            </w:pPr>
            <w:r>
              <w:rPr>
                <w:color w:val="000000"/>
                <w:kern w:val="0"/>
                <w:sz w:val="24"/>
                <w:szCs w:val="24"/>
              </w:rPr>
              <w:t>0.15%</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4.24%</w:t>
            </w:r>
          </w:p>
        </w:tc>
        <w:tc>
          <w:tcPr>
            <w:vAlign w:val="center"/>
          </w:tcPr>
          <w:p>
            <w:pPr>
              <w:jc w:val="center"/>
            </w:pPr>
            <w:r>
              <w:rPr>
                <w:color w:val="000000"/>
                <w:kern w:val="0"/>
                <w:sz w:val="24"/>
                <w:szCs w:val="24"/>
              </w:rPr>
              <w:t>0.23%</w:t>
            </w:r>
          </w:p>
        </w:tc>
        <w:tc>
          <w:tcPr>
            <w:vAlign w:val="center"/>
          </w:tcPr>
          <w:p>
            <w:pPr>
              <w:jc w:val="center"/>
            </w:pPr>
            <w:r>
              <w:rPr>
                <w:color w:val="000000"/>
                <w:kern w:val="0"/>
                <w:sz w:val="24"/>
                <w:szCs w:val="24"/>
              </w:rPr>
              <w:t>1.77%</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2.47%</w:t>
            </w:r>
          </w:p>
        </w:tc>
        <w:tc>
          <w:tcPr>
            <w:vAlign w:val="center"/>
          </w:tcPr>
          <w:p>
            <w:pPr>
              <w:jc w:val="center"/>
            </w:pPr>
            <w:r>
              <w:rPr>
                <w:color w:val="000000"/>
                <w:kern w:val="0"/>
                <w:sz w:val="24"/>
                <w:szCs w:val="24"/>
              </w:rPr>
              <w:t>0.22%</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12.52%</w:t>
            </w:r>
          </w:p>
        </w:tc>
        <w:tc>
          <w:tcPr>
            <w:vAlign w:val="center"/>
          </w:tcPr>
          <w:p>
            <w:pPr>
              <w:jc w:val="center"/>
            </w:pPr>
            <w:r>
              <w:rPr>
                <w:color w:val="000000"/>
                <w:kern w:val="0"/>
                <w:sz w:val="24"/>
                <w:szCs w:val="24"/>
              </w:rPr>
              <w:t>0.24%</w:t>
            </w:r>
          </w:p>
        </w:tc>
        <w:tc>
          <w:tcPr>
            <w:vAlign w:val="center"/>
          </w:tcPr>
          <w:p>
            <w:pPr>
              <w:jc w:val="center"/>
            </w:pPr>
            <w:r>
              <w:rPr>
                <w:color w:val="000000"/>
                <w:kern w:val="0"/>
                <w:sz w:val="24"/>
                <w:szCs w:val="24"/>
              </w:rPr>
              <w:t>3.56%</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8.96%</w:t>
            </w:r>
          </w:p>
        </w:tc>
        <w:tc>
          <w:tcPr>
            <w:vAlign w:val="center"/>
          </w:tcPr>
          <w:p>
            <w:pPr>
              <w:jc w:val="center"/>
            </w:pPr>
            <w:r>
              <w:rPr>
                <w:color w:val="000000"/>
                <w:kern w:val="0"/>
                <w:sz w:val="24"/>
                <w:szCs w:val="24"/>
              </w:rPr>
              <w:t>0.23%</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27.45%</w:t>
            </w:r>
          </w:p>
        </w:tc>
        <w:tc>
          <w:tcPr>
            <w:vAlign w:val="center"/>
          </w:tcPr>
          <w:p>
            <w:pPr>
              <w:jc w:val="center"/>
            </w:pPr>
            <w:r>
              <w:rPr>
                <w:color w:val="000000"/>
                <w:kern w:val="0"/>
                <w:sz w:val="24"/>
                <w:szCs w:val="24"/>
              </w:rPr>
              <w:t>0.31%</w:t>
            </w:r>
          </w:p>
        </w:tc>
        <w:tc>
          <w:tcPr>
            <w:vAlign w:val="center"/>
          </w:tcPr>
          <w:p>
            <w:pPr>
              <w:jc w:val="center"/>
            </w:pPr>
            <w:r>
              <w:rPr>
                <w:color w:val="000000"/>
                <w:kern w:val="0"/>
                <w:sz w:val="24"/>
                <w:szCs w:val="24"/>
              </w:rPr>
              <w:t>10.66%</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16.79%</w:t>
            </w:r>
          </w:p>
        </w:tc>
        <w:tc>
          <w:tcPr>
            <w:vAlign w:val="center"/>
          </w:tcPr>
          <w:p>
            <w:pPr>
              <w:jc w:val="center"/>
            </w:pPr>
            <w:r>
              <w:rPr>
                <w:color w:val="000000"/>
                <w:kern w:val="0"/>
                <w:sz w:val="24"/>
                <w:szCs w:val="24"/>
              </w:rPr>
              <w:t>0.30%</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39.50%</w:t>
            </w:r>
          </w:p>
        </w:tc>
        <w:tc>
          <w:tcPr>
            <w:vAlign w:val="center"/>
          </w:tcPr>
          <w:p>
            <w:pPr>
              <w:jc w:val="center"/>
            </w:pPr>
            <w:r>
              <w:rPr>
                <w:color w:val="000000"/>
                <w:kern w:val="0"/>
                <w:sz w:val="24"/>
                <w:szCs w:val="24"/>
              </w:rPr>
              <w:t>0.25%</w:t>
            </w:r>
          </w:p>
        </w:tc>
        <w:tc>
          <w:tcPr>
            <w:vAlign w:val="center"/>
          </w:tcPr>
          <w:p>
            <w:pPr>
              <w:jc w:val="center"/>
            </w:pPr>
            <w:r>
              <w:rPr>
                <w:color w:val="000000"/>
                <w:kern w:val="0"/>
                <w:sz w:val="24"/>
                <w:szCs w:val="24"/>
              </w:rPr>
              <w:t>17.88%</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21.62%</w:t>
            </w:r>
          </w:p>
        </w:tc>
        <w:tc>
          <w:tcPr>
            <w:vAlign w:val="center"/>
          </w:tcPr>
          <w:p>
            <w:pPr>
              <w:jc w:val="center"/>
            </w:pPr>
            <w:r>
              <w:rPr>
                <w:color w:val="000000"/>
                <w:kern w:val="0"/>
                <w:sz w:val="24"/>
                <w:szCs w:val="24"/>
              </w:rPr>
              <w:t>0.24%</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40.20%</w:t>
            </w:r>
          </w:p>
        </w:tc>
        <w:tc>
          <w:tcPr>
            <w:vAlign w:val="center"/>
          </w:tcPr>
          <w:p>
            <w:pPr>
              <w:jc w:val="center"/>
            </w:pPr>
            <w:r>
              <w:rPr>
                <w:color w:val="000000"/>
                <w:kern w:val="0"/>
                <w:sz w:val="24"/>
                <w:szCs w:val="24"/>
              </w:rPr>
              <w:t>0.25%</w:t>
            </w:r>
          </w:p>
        </w:tc>
        <w:tc>
          <w:tcPr>
            <w:vAlign w:val="center"/>
          </w:tcPr>
          <w:p>
            <w:pPr>
              <w:jc w:val="center"/>
            </w:pPr>
            <w:r>
              <w:rPr>
                <w:color w:val="000000"/>
                <w:kern w:val="0"/>
                <w:sz w:val="24"/>
                <w:szCs w:val="24"/>
              </w:rPr>
              <w:t>18.62%</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21.58%</w:t>
            </w:r>
          </w:p>
        </w:tc>
        <w:tc>
          <w:tcPr>
            <w:vAlign w:val="center"/>
          </w:tcPr>
          <w:p>
            <w:pPr>
              <w:jc w:val="center"/>
            </w:pPr>
            <w:r>
              <w:rPr>
                <w:color w:val="000000"/>
                <w:kern w:val="0"/>
                <w:sz w:val="24"/>
                <w:szCs w:val="24"/>
              </w:rPr>
              <w:t>0.24%</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易方达新利灵活配置混合型证券投资基金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2015年4月30日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注：自基金合同生效至报告期末，基金份额净值增长率为40.20% ，同期业绩比较基准收益率为18.62%。</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韩阅川</w:t>
            </w:r>
          </w:p>
        </w:tc>
        <w:tc>
          <w:tcPr>
            <w:vAlign w:val="center"/>
          </w:tcPr>
          <w:p>
            <w:pPr>
              <w:jc w:val="left"/>
            </w:pPr>
            <w:r>
              <w:rPr>
                <w:color w:val="000000"/>
                <w:sz w:val="24"/>
              </w:rPr>
              <w:t>本基金的基金经理、易方达新享灵活配置混合型证券投资基金的基金经理、易方达瑞祥灵活配置混合型证券投资基金的基金经理、易方达瑞兴灵活配置混合型证券投资基金的基金经理、易方达瑞智灵活配置混合型证券投资基金的基金经理、易方达新鑫灵活配置混合型证券投资基金的基金经理、易方达瑞景灵活配置混合型证券投资基金的基金经理、易方达新益灵活配置混合型证券投资基金的基金经理、易方达瑞选灵活配置混合型证券投资基金的基金经理、易方达裕鑫债券型证券投资基金的基金经理、易方达瑞祺灵活配置混合型证券投资基金的基金经理、易方达鑫转招利混合型证券投资基金的基金经理、易方达鑫转添利混合型证券投资基金的基金经理、易方达瑞和灵活配置混合型证券投资基金的基金经理、易方达瑞信灵活配置混合型证券投资基金的基金经理、易方达瑞川灵活配置混合型发起式证券投资基金的基金经理、易方达丰惠混合型证券投资基金的基金经理、易方达新收益灵活配置混合型证券投资基金的基金经理助理</w:t>
            </w:r>
          </w:p>
        </w:tc>
        <w:tc>
          <w:tcPr>
            <w:vAlign w:val="center"/>
          </w:tcPr>
          <w:p>
            <w:pPr>
              <w:jc w:val="center"/>
            </w:pPr>
            <w:r>
              <w:rPr>
                <w:color w:val="000000"/>
                <w:sz w:val="24"/>
              </w:rPr>
              <w:t>2019-06-26</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易方达瑞信灵活配置混合型证券投资基金基金经理助理、易方达瑞和灵活配置混合型证券投资基金基金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pPr>
        <w:spacing w:line="360" w:lineRule="auto"/>
        <w:ind w:firstLine="480" w:firstLineChars="200"/>
        <w:rPr>
          <w:color w:val="000000"/>
          <w:sz w:val="24"/>
          <w:szCs w:val="24"/>
        </w:rPr>
      </w:pPr>
      <w:r>
        <w:rPr>
          <w:color w:val="000000"/>
          <w:sz w:val="24"/>
          <w:szCs w:val="24"/>
        </w:rPr>
        <w:t>权益市场方面，二季度整体收涨，各类风格及指数品种均呈现较好的弹性。从一季度末开始，在海外金融风险期过后，国内及海外资本市场均有较强的表现，体现出风险偏好的快速提升。从国内市场来看，A股主要沿着业绩“确定性”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5月，中美贸易摩擦再度有所升温，美国疫情进入二次爆发，致使TMT板块的风险偏好有小幅降温，但在海外市场持续强劲的背景下，北上资金不改前期持续流入的趋势，市场并未出现明显调整，保持着结构性行情的震荡格局。6月份以来，资本市场改革政策逐步推出，创业板注册制的快速推进、三板精选层基金的发布等，显著提升了权益市场的风险偏好，也催生二季度后期科技板块的强劲反弹。</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组合在二季度均以自下而上策略为主，精选高分红、低估值、较高ROE的优质个股并长期持有。债券方面，组合继续维持较高的杠杆和中性的久期水平，整体仍按照票息策略的偏绝对收益操作思路为主。此外，组合仍积极参与科创版打新。</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截至报告期末，本基金份额净值为1.402元，本报告期份额净值增长率为1.96%，同期业绩比较基准收益率为0.88%。</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133,794,939.24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14.99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133,794,939.24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14.99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744,539,321.28</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83.44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715,471,321.28</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80.18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29,068,000.00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3.26</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4,040,990.22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0.45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9,963,847.74</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892,339,098.48</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8,312,786.25</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1.12</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68,799,215.78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9.25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6,345,003.12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0.85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2,892,051.00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0.39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18,297,720.32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2.46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370,481.77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14,047,499.00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1.89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14,730,182.00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133,794,939.24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17.98</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601816</w:t>
            </w:r>
          </w:p>
        </w:tc>
        <w:tc>
          <w:tcPr>
            <w:vAlign w:val="center"/>
          </w:tcPr>
          <w:p>
            <w:pPr>
              <w:jc w:val="center"/>
            </w:pPr>
            <w:r>
              <w:rPr>
                <w:color w:val="000000"/>
                <w:kern w:val="0"/>
                <w:sz w:val="24"/>
                <w:szCs w:val="24"/>
              </w:rPr>
              <w:t>京沪高铁</w:t>
            </w:r>
          </w:p>
        </w:tc>
        <w:tc>
          <w:tcPr>
            <w:vAlign w:val="center"/>
          </w:tcPr>
          <w:p>
            <w:pPr>
              <w:jc w:val="right"/>
            </w:pPr>
            <w:r>
              <w:rPr>
                <w:color w:val="000000"/>
                <w:kern w:val="0"/>
                <w:sz w:val="24"/>
                <w:szCs w:val="24"/>
              </w:rPr>
              <w:t>906,536</w:t>
            </w:r>
          </w:p>
        </w:tc>
        <w:tc>
          <w:tcPr>
            <w:vAlign w:val="center"/>
          </w:tcPr>
          <w:p>
            <w:pPr>
              <w:jc w:val="right"/>
            </w:pPr>
            <w:r>
              <w:rPr>
                <w:color w:val="000000"/>
                <w:kern w:val="0"/>
                <w:sz w:val="24"/>
                <w:szCs w:val="24"/>
              </w:rPr>
              <w:t>5,593,327.12</w:t>
            </w:r>
          </w:p>
        </w:tc>
        <w:tc>
          <w:tcPr>
            <w:vAlign w:val="center"/>
          </w:tcPr>
          <w:p>
            <w:pPr>
              <w:jc w:val="right"/>
            </w:pPr>
            <w:r>
              <w:rPr>
                <w:color w:val="000000"/>
                <w:kern w:val="0"/>
                <w:sz w:val="24"/>
                <w:szCs w:val="24"/>
              </w:rPr>
              <w:t>0.75</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600585</w:t>
            </w:r>
          </w:p>
        </w:tc>
        <w:tc>
          <w:tcPr>
            <w:vAlign w:val="center"/>
          </w:tcPr>
          <w:p>
            <w:pPr>
              <w:jc w:val="center"/>
            </w:pPr>
            <w:r>
              <w:rPr>
                <w:color w:val="000000"/>
                <w:kern w:val="0"/>
                <w:sz w:val="24"/>
                <w:szCs w:val="24"/>
              </w:rPr>
              <w:t>海螺水泥</w:t>
            </w:r>
          </w:p>
        </w:tc>
        <w:tc>
          <w:tcPr>
            <w:vAlign w:val="center"/>
          </w:tcPr>
          <w:p>
            <w:pPr>
              <w:jc w:val="right"/>
            </w:pPr>
            <w:r>
              <w:rPr>
                <w:color w:val="000000"/>
                <w:kern w:val="0"/>
                <w:sz w:val="24"/>
                <w:szCs w:val="24"/>
              </w:rPr>
              <w:t>82,000</w:t>
            </w:r>
          </w:p>
        </w:tc>
        <w:tc>
          <w:tcPr>
            <w:vAlign w:val="center"/>
          </w:tcPr>
          <w:p>
            <w:pPr>
              <w:jc w:val="right"/>
            </w:pPr>
            <w:r>
              <w:rPr>
                <w:color w:val="000000"/>
                <w:kern w:val="0"/>
                <w:sz w:val="24"/>
                <w:szCs w:val="24"/>
              </w:rPr>
              <w:t>4,338,620.00</w:t>
            </w:r>
          </w:p>
        </w:tc>
        <w:tc>
          <w:tcPr>
            <w:vAlign w:val="center"/>
          </w:tcPr>
          <w:p>
            <w:pPr>
              <w:jc w:val="right"/>
            </w:pPr>
            <w:r>
              <w:rPr>
                <w:color w:val="000000"/>
                <w:kern w:val="0"/>
                <w:sz w:val="24"/>
                <w:szCs w:val="24"/>
              </w:rPr>
              <w:t>0.58</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600383</w:t>
            </w:r>
          </w:p>
        </w:tc>
        <w:tc>
          <w:tcPr>
            <w:vAlign w:val="center"/>
          </w:tcPr>
          <w:p>
            <w:pPr>
              <w:jc w:val="center"/>
            </w:pPr>
            <w:r>
              <w:rPr>
                <w:color w:val="000000"/>
                <w:kern w:val="0"/>
                <w:sz w:val="24"/>
                <w:szCs w:val="24"/>
              </w:rPr>
              <w:t>金地集团</w:t>
            </w:r>
          </w:p>
        </w:tc>
        <w:tc>
          <w:tcPr>
            <w:vAlign w:val="center"/>
          </w:tcPr>
          <w:p>
            <w:pPr>
              <w:jc w:val="right"/>
            </w:pPr>
            <w:r>
              <w:rPr>
                <w:color w:val="000000"/>
                <w:kern w:val="0"/>
                <w:sz w:val="24"/>
                <w:szCs w:val="24"/>
              </w:rPr>
              <w:t>262,500</w:t>
            </w:r>
          </w:p>
        </w:tc>
        <w:tc>
          <w:tcPr>
            <w:vAlign w:val="center"/>
          </w:tcPr>
          <w:p>
            <w:pPr>
              <w:jc w:val="right"/>
            </w:pPr>
            <w:r>
              <w:rPr>
                <w:color w:val="000000"/>
                <w:kern w:val="0"/>
                <w:sz w:val="24"/>
                <w:szCs w:val="24"/>
              </w:rPr>
              <w:t>3,596,250.00</w:t>
            </w:r>
          </w:p>
        </w:tc>
        <w:tc>
          <w:tcPr>
            <w:vAlign w:val="center"/>
          </w:tcPr>
          <w:p>
            <w:pPr>
              <w:jc w:val="right"/>
            </w:pPr>
            <w:r>
              <w:rPr>
                <w:color w:val="000000"/>
                <w:kern w:val="0"/>
                <w:sz w:val="24"/>
                <w:szCs w:val="24"/>
              </w:rPr>
              <w:t>0.48</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600900</w:t>
            </w:r>
          </w:p>
        </w:tc>
        <w:tc>
          <w:tcPr>
            <w:vAlign w:val="center"/>
          </w:tcPr>
          <w:p>
            <w:pPr>
              <w:jc w:val="center"/>
            </w:pPr>
            <w:r>
              <w:rPr>
                <w:color w:val="000000"/>
                <w:kern w:val="0"/>
                <w:sz w:val="24"/>
                <w:szCs w:val="24"/>
              </w:rPr>
              <w:t>长江电力</w:t>
            </w:r>
          </w:p>
        </w:tc>
        <w:tc>
          <w:tcPr>
            <w:vAlign w:val="center"/>
          </w:tcPr>
          <w:p>
            <w:pPr>
              <w:jc w:val="right"/>
            </w:pPr>
            <w:r>
              <w:rPr>
                <w:color w:val="000000"/>
                <w:kern w:val="0"/>
                <w:sz w:val="24"/>
                <w:szCs w:val="24"/>
              </w:rPr>
              <w:t>186,800</w:t>
            </w:r>
          </w:p>
        </w:tc>
        <w:tc>
          <w:tcPr>
            <w:vAlign w:val="center"/>
          </w:tcPr>
          <w:p>
            <w:pPr>
              <w:jc w:val="right"/>
            </w:pPr>
            <w:r>
              <w:rPr>
                <w:color w:val="000000"/>
                <w:kern w:val="0"/>
                <w:sz w:val="24"/>
                <w:szCs w:val="24"/>
              </w:rPr>
              <w:t>3,537,992.00</w:t>
            </w:r>
          </w:p>
        </w:tc>
        <w:tc>
          <w:tcPr>
            <w:vAlign w:val="center"/>
          </w:tcPr>
          <w:p>
            <w:pPr>
              <w:jc w:val="right"/>
            </w:pPr>
            <w:r>
              <w:rPr>
                <w:color w:val="000000"/>
                <w:kern w:val="0"/>
                <w:sz w:val="24"/>
                <w:szCs w:val="24"/>
              </w:rPr>
              <w:t>0.48</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002242</w:t>
            </w:r>
          </w:p>
        </w:tc>
        <w:tc>
          <w:tcPr>
            <w:vAlign w:val="center"/>
          </w:tcPr>
          <w:p>
            <w:pPr>
              <w:jc w:val="center"/>
            </w:pPr>
            <w:r>
              <w:rPr>
                <w:color w:val="000000"/>
                <w:kern w:val="0"/>
                <w:sz w:val="24"/>
                <w:szCs w:val="24"/>
              </w:rPr>
              <w:t>九阳股份</w:t>
            </w:r>
          </w:p>
        </w:tc>
        <w:tc>
          <w:tcPr>
            <w:vAlign w:val="center"/>
          </w:tcPr>
          <w:p>
            <w:pPr>
              <w:jc w:val="right"/>
            </w:pPr>
            <w:r>
              <w:rPr>
                <w:color w:val="000000"/>
                <w:kern w:val="0"/>
                <w:sz w:val="24"/>
                <w:szCs w:val="24"/>
              </w:rPr>
              <w:t>93,800</w:t>
            </w:r>
          </w:p>
        </w:tc>
        <w:tc>
          <w:tcPr>
            <w:vAlign w:val="center"/>
          </w:tcPr>
          <w:p>
            <w:pPr>
              <w:jc w:val="right"/>
            </w:pPr>
            <w:r>
              <w:rPr>
                <w:color w:val="000000"/>
                <w:kern w:val="0"/>
                <w:sz w:val="24"/>
                <w:szCs w:val="24"/>
              </w:rPr>
              <w:t>3,495,926.00</w:t>
            </w:r>
          </w:p>
        </w:tc>
        <w:tc>
          <w:tcPr>
            <w:vAlign w:val="center"/>
          </w:tcPr>
          <w:p>
            <w:pPr>
              <w:jc w:val="right"/>
            </w:pPr>
            <w:r>
              <w:rPr>
                <w:color w:val="000000"/>
                <w:kern w:val="0"/>
                <w:sz w:val="24"/>
                <w:szCs w:val="24"/>
              </w:rPr>
              <w:t>0.47</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601877</w:t>
            </w:r>
          </w:p>
        </w:tc>
        <w:tc>
          <w:tcPr>
            <w:vAlign w:val="center"/>
          </w:tcPr>
          <w:p>
            <w:pPr>
              <w:jc w:val="center"/>
            </w:pPr>
            <w:r>
              <w:rPr>
                <w:color w:val="000000"/>
                <w:kern w:val="0"/>
                <w:sz w:val="24"/>
                <w:szCs w:val="24"/>
              </w:rPr>
              <w:t>正泰电器</w:t>
            </w:r>
          </w:p>
        </w:tc>
        <w:tc>
          <w:tcPr>
            <w:vAlign w:val="center"/>
          </w:tcPr>
          <w:p>
            <w:pPr>
              <w:jc w:val="right"/>
            </w:pPr>
            <w:r>
              <w:rPr>
                <w:color w:val="000000"/>
                <w:kern w:val="0"/>
                <w:sz w:val="24"/>
                <w:szCs w:val="24"/>
              </w:rPr>
              <w:t>132,200</w:t>
            </w:r>
          </w:p>
        </w:tc>
        <w:tc>
          <w:tcPr>
            <w:vAlign w:val="center"/>
          </w:tcPr>
          <w:p>
            <w:pPr>
              <w:jc w:val="right"/>
            </w:pPr>
            <w:r>
              <w:rPr>
                <w:color w:val="000000"/>
                <w:kern w:val="0"/>
                <w:sz w:val="24"/>
                <w:szCs w:val="24"/>
              </w:rPr>
              <w:t>3,483,470.00</w:t>
            </w:r>
          </w:p>
        </w:tc>
        <w:tc>
          <w:tcPr>
            <w:vAlign w:val="center"/>
          </w:tcPr>
          <w:p>
            <w:pPr>
              <w:jc w:val="right"/>
            </w:pPr>
            <w:r>
              <w:rPr>
                <w:color w:val="000000"/>
                <w:kern w:val="0"/>
                <w:sz w:val="24"/>
                <w:szCs w:val="24"/>
              </w:rPr>
              <w:t>0.47</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600048</w:t>
            </w:r>
          </w:p>
        </w:tc>
        <w:tc>
          <w:tcPr>
            <w:vAlign w:val="center"/>
          </w:tcPr>
          <w:p>
            <w:pPr>
              <w:jc w:val="center"/>
            </w:pPr>
            <w:r>
              <w:rPr>
                <w:color w:val="000000"/>
                <w:kern w:val="0"/>
                <w:sz w:val="24"/>
                <w:szCs w:val="24"/>
              </w:rPr>
              <w:t>保利地产</w:t>
            </w:r>
          </w:p>
        </w:tc>
        <w:tc>
          <w:tcPr>
            <w:vAlign w:val="center"/>
          </w:tcPr>
          <w:p>
            <w:pPr>
              <w:jc w:val="right"/>
            </w:pPr>
            <w:r>
              <w:rPr>
                <w:color w:val="000000"/>
                <w:kern w:val="0"/>
                <w:sz w:val="24"/>
                <w:szCs w:val="24"/>
              </w:rPr>
              <w:t>234,800</w:t>
            </w:r>
          </w:p>
        </w:tc>
        <w:tc>
          <w:tcPr>
            <w:vAlign w:val="center"/>
          </w:tcPr>
          <w:p>
            <w:pPr>
              <w:jc w:val="right"/>
            </w:pPr>
            <w:r>
              <w:rPr>
                <w:color w:val="000000"/>
                <w:kern w:val="0"/>
                <w:sz w:val="24"/>
                <w:szCs w:val="24"/>
              </w:rPr>
              <w:t>3,470,344.00</w:t>
            </w:r>
          </w:p>
        </w:tc>
        <w:tc>
          <w:tcPr>
            <w:vAlign w:val="center"/>
          </w:tcPr>
          <w:p>
            <w:pPr>
              <w:jc w:val="right"/>
            </w:pPr>
            <w:r>
              <w:rPr>
                <w:color w:val="000000"/>
                <w:kern w:val="0"/>
                <w:sz w:val="24"/>
                <w:szCs w:val="24"/>
              </w:rPr>
              <w:t>0.47</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002352</w:t>
            </w:r>
          </w:p>
        </w:tc>
        <w:tc>
          <w:tcPr>
            <w:vAlign w:val="center"/>
          </w:tcPr>
          <w:p>
            <w:pPr>
              <w:jc w:val="center"/>
            </w:pPr>
            <w:r>
              <w:rPr>
                <w:color w:val="000000"/>
                <w:kern w:val="0"/>
                <w:sz w:val="24"/>
                <w:szCs w:val="24"/>
              </w:rPr>
              <w:t>顺丰控股</w:t>
            </w:r>
          </w:p>
        </w:tc>
        <w:tc>
          <w:tcPr>
            <w:vAlign w:val="center"/>
          </w:tcPr>
          <w:p>
            <w:pPr>
              <w:jc w:val="right"/>
            </w:pPr>
            <w:r>
              <w:rPr>
                <w:color w:val="000000"/>
                <w:kern w:val="0"/>
                <w:sz w:val="24"/>
                <w:szCs w:val="24"/>
              </w:rPr>
              <w:t>61,800</w:t>
            </w:r>
          </w:p>
        </w:tc>
        <w:tc>
          <w:tcPr>
            <w:vAlign w:val="center"/>
          </w:tcPr>
          <w:p>
            <w:pPr>
              <w:jc w:val="right"/>
            </w:pPr>
            <w:r>
              <w:rPr>
                <w:color w:val="000000"/>
                <w:kern w:val="0"/>
                <w:sz w:val="24"/>
                <w:szCs w:val="24"/>
              </w:rPr>
              <w:t>3,380,460.00</w:t>
            </w:r>
          </w:p>
        </w:tc>
        <w:tc>
          <w:tcPr>
            <w:vAlign w:val="center"/>
          </w:tcPr>
          <w:p>
            <w:pPr>
              <w:jc w:val="right"/>
            </w:pPr>
            <w:r>
              <w:rPr>
                <w:color w:val="000000"/>
                <w:kern w:val="0"/>
                <w:sz w:val="24"/>
                <w:szCs w:val="24"/>
              </w:rPr>
              <w:t>0.45</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002601</w:t>
            </w:r>
          </w:p>
        </w:tc>
        <w:tc>
          <w:tcPr>
            <w:vAlign w:val="center"/>
          </w:tcPr>
          <w:p>
            <w:pPr>
              <w:jc w:val="center"/>
            </w:pPr>
            <w:r>
              <w:rPr>
                <w:color w:val="000000"/>
                <w:kern w:val="0"/>
                <w:sz w:val="24"/>
                <w:szCs w:val="24"/>
              </w:rPr>
              <w:t>龙蟒佰利</w:t>
            </w:r>
          </w:p>
        </w:tc>
        <w:tc>
          <w:tcPr>
            <w:vAlign w:val="center"/>
          </w:tcPr>
          <w:p>
            <w:pPr>
              <w:jc w:val="right"/>
            </w:pPr>
            <w:r>
              <w:rPr>
                <w:color w:val="000000"/>
                <w:kern w:val="0"/>
                <w:sz w:val="24"/>
                <w:szCs w:val="24"/>
              </w:rPr>
              <w:t>178,600</w:t>
            </w:r>
          </w:p>
        </w:tc>
        <w:tc>
          <w:tcPr>
            <w:vAlign w:val="center"/>
          </w:tcPr>
          <w:p>
            <w:pPr>
              <w:jc w:val="right"/>
            </w:pPr>
            <w:r>
              <w:rPr>
                <w:color w:val="000000"/>
                <w:kern w:val="0"/>
                <w:sz w:val="24"/>
                <w:szCs w:val="24"/>
              </w:rPr>
              <w:t>3,304,100.00</w:t>
            </w:r>
          </w:p>
        </w:tc>
        <w:tc>
          <w:tcPr>
            <w:vAlign w:val="center"/>
          </w:tcPr>
          <w:p>
            <w:pPr>
              <w:jc w:val="right"/>
            </w:pPr>
            <w:r>
              <w:rPr>
                <w:color w:val="000000"/>
                <w:kern w:val="0"/>
                <w:sz w:val="24"/>
                <w:szCs w:val="24"/>
              </w:rPr>
              <w:t>0.44</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002078</w:t>
            </w:r>
          </w:p>
        </w:tc>
        <w:tc>
          <w:tcPr>
            <w:vAlign w:val="center"/>
          </w:tcPr>
          <w:p>
            <w:pPr>
              <w:jc w:val="center"/>
            </w:pPr>
            <w:r>
              <w:rPr>
                <w:color w:val="000000"/>
                <w:kern w:val="0"/>
                <w:sz w:val="24"/>
                <w:szCs w:val="24"/>
              </w:rPr>
              <w:t>太阳纸业</w:t>
            </w:r>
          </w:p>
        </w:tc>
        <w:tc>
          <w:tcPr>
            <w:vAlign w:val="center"/>
          </w:tcPr>
          <w:p>
            <w:pPr>
              <w:jc w:val="right"/>
            </w:pPr>
            <w:r>
              <w:rPr>
                <w:color w:val="000000"/>
                <w:kern w:val="0"/>
                <w:sz w:val="24"/>
                <w:szCs w:val="24"/>
              </w:rPr>
              <w:t>343,800</w:t>
            </w:r>
          </w:p>
        </w:tc>
        <w:tc>
          <w:tcPr>
            <w:vAlign w:val="center"/>
          </w:tcPr>
          <w:p>
            <w:pPr>
              <w:jc w:val="right"/>
            </w:pPr>
            <w:r>
              <w:rPr>
                <w:color w:val="000000"/>
                <w:kern w:val="0"/>
                <w:sz w:val="24"/>
                <w:szCs w:val="24"/>
              </w:rPr>
              <w:t>3,272,976.00</w:t>
            </w:r>
          </w:p>
        </w:tc>
        <w:tc>
          <w:tcPr>
            <w:vAlign w:val="center"/>
          </w:tcPr>
          <w:p>
            <w:pPr>
              <w:jc w:val="right"/>
            </w:pPr>
            <w:r>
              <w:rPr>
                <w:color w:val="000000"/>
                <w:kern w:val="0"/>
                <w:sz w:val="24"/>
                <w:szCs w:val="24"/>
              </w:rPr>
              <w:t>0.44</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1,100,550.00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0.15</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36,313,600.00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4.88</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36,313,600.00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4.88</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108,570,100.00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14.59</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40,058,000.00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5.38</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528,470,000.00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71.02</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959,071.28</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0.13</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715,471,321.28</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96.16</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163541</w:t>
            </w:r>
          </w:p>
        </w:tc>
        <w:tc>
          <w:tcPr>
            <w:vAlign w:val="center"/>
          </w:tcPr>
          <w:p>
            <w:pPr>
              <w:jc w:val="center"/>
            </w:pPr>
            <w:r>
              <w:rPr>
                <w:color w:val="000000"/>
                <w:kern w:val="0"/>
                <w:sz w:val="24"/>
                <w:szCs w:val="24"/>
              </w:rPr>
              <w:t>20诚通10</w:t>
            </w:r>
          </w:p>
        </w:tc>
        <w:tc>
          <w:tcPr>
            <w:vAlign w:val="center"/>
          </w:tcPr>
          <w:p>
            <w:pPr>
              <w:jc w:val="right"/>
            </w:pPr>
            <w:r>
              <w:rPr>
                <w:color w:val="000000"/>
                <w:kern w:val="0"/>
                <w:sz w:val="24"/>
                <w:szCs w:val="24"/>
              </w:rPr>
              <w:t>300,000</w:t>
            </w:r>
          </w:p>
        </w:tc>
        <w:tc>
          <w:tcPr>
            <w:vAlign w:val="center"/>
          </w:tcPr>
          <w:p>
            <w:pPr>
              <w:jc w:val="right"/>
            </w:pPr>
            <w:r>
              <w:rPr>
                <w:color w:val="000000"/>
                <w:kern w:val="0"/>
                <w:sz w:val="24"/>
                <w:szCs w:val="24"/>
              </w:rPr>
              <w:t>29,709,000.00</w:t>
            </w:r>
          </w:p>
        </w:tc>
        <w:tc>
          <w:tcPr>
            <w:vAlign w:val="center"/>
          </w:tcPr>
          <w:p>
            <w:pPr>
              <w:jc w:val="right"/>
            </w:pPr>
            <w:r>
              <w:rPr>
                <w:color w:val="000000"/>
                <w:kern w:val="0"/>
                <w:sz w:val="24"/>
                <w:szCs w:val="24"/>
              </w:rPr>
              <w:t>3.99</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101800751</w:t>
            </w:r>
          </w:p>
        </w:tc>
        <w:tc>
          <w:tcPr>
            <w:vAlign w:val="center"/>
          </w:tcPr>
          <w:p>
            <w:pPr>
              <w:jc w:val="center"/>
            </w:pPr>
            <w:r>
              <w:rPr>
                <w:color w:val="000000"/>
                <w:kern w:val="0"/>
                <w:sz w:val="24"/>
                <w:szCs w:val="24"/>
              </w:rPr>
              <w:t>18中铝集MTN002B</w:t>
            </w:r>
          </w:p>
        </w:tc>
        <w:tc>
          <w:tcPr>
            <w:vAlign w:val="center"/>
          </w:tcPr>
          <w:p>
            <w:pPr>
              <w:jc w:val="right"/>
            </w:pPr>
            <w:r>
              <w:rPr>
                <w:color w:val="000000"/>
                <w:kern w:val="0"/>
                <w:sz w:val="24"/>
                <w:szCs w:val="24"/>
              </w:rPr>
              <w:t>200,000</w:t>
            </w:r>
          </w:p>
        </w:tc>
        <w:tc>
          <w:tcPr>
            <w:vAlign w:val="center"/>
          </w:tcPr>
          <w:p>
            <w:pPr>
              <w:jc w:val="right"/>
            </w:pPr>
            <w:r>
              <w:rPr>
                <w:color w:val="000000"/>
                <w:kern w:val="0"/>
                <w:sz w:val="24"/>
                <w:szCs w:val="24"/>
              </w:rPr>
              <w:t>21,144,000.00</w:t>
            </w:r>
          </w:p>
        </w:tc>
        <w:tc>
          <w:tcPr>
            <w:vAlign w:val="center"/>
          </w:tcPr>
          <w:p>
            <w:pPr>
              <w:jc w:val="right"/>
            </w:pPr>
            <w:r>
              <w:rPr>
                <w:color w:val="000000"/>
                <w:kern w:val="0"/>
                <w:sz w:val="24"/>
                <w:szCs w:val="24"/>
              </w:rPr>
              <w:t>2.84</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101900134</w:t>
            </w:r>
          </w:p>
        </w:tc>
        <w:tc>
          <w:tcPr>
            <w:vAlign w:val="center"/>
          </w:tcPr>
          <w:p>
            <w:pPr>
              <w:jc w:val="center"/>
            </w:pPr>
            <w:r>
              <w:rPr>
                <w:color w:val="000000"/>
                <w:kern w:val="0"/>
                <w:sz w:val="24"/>
                <w:szCs w:val="24"/>
              </w:rPr>
              <w:t>19首钢MTN001</w:t>
            </w:r>
          </w:p>
        </w:tc>
        <w:tc>
          <w:tcPr>
            <w:vAlign w:val="center"/>
          </w:tcPr>
          <w:p>
            <w:pPr>
              <w:jc w:val="right"/>
            </w:pPr>
            <w:r>
              <w:rPr>
                <w:color w:val="000000"/>
                <w:kern w:val="0"/>
                <w:sz w:val="24"/>
                <w:szCs w:val="24"/>
              </w:rPr>
              <w:t>200,000</w:t>
            </w:r>
          </w:p>
        </w:tc>
        <w:tc>
          <w:tcPr>
            <w:vAlign w:val="center"/>
          </w:tcPr>
          <w:p>
            <w:pPr>
              <w:jc w:val="right"/>
            </w:pPr>
            <w:r>
              <w:rPr>
                <w:color w:val="000000"/>
                <w:kern w:val="0"/>
                <w:sz w:val="24"/>
                <w:szCs w:val="24"/>
              </w:rPr>
              <w:t>20,542,000.00</w:t>
            </w:r>
          </w:p>
        </w:tc>
        <w:tc>
          <w:tcPr>
            <w:vAlign w:val="center"/>
          </w:tcPr>
          <w:p>
            <w:pPr>
              <w:jc w:val="right"/>
            </w:pPr>
            <w:r>
              <w:rPr>
                <w:color w:val="000000"/>
                <w:kern w:val="0"/>
                <w:sz w:val="24"/>
                <w:szCs w:val="24"/>
              </w:rPr>
              <w:t>2.76</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101800202</w:t>
            </w:r>
          </w:p>
        </w:tc>
        <w:tc>
          <w:tcPr>
            <w:vAlign w:val="center"/>
          </w:tcPr>
          <w:p>
            <w:pPr>
              <w:jc w:val="center"/>
            </w:pPr>
            <w:r>
              <w:rPr>
                <w:color w:val="000000"/>
                <w:kern w:val="0"/>
                <w:sz w:val="24"/>
                <w:szCs w:val="24"/>
              </w:rPr>
              <w:t>18天恒置业MTN001</w:t>
            </w:r>
          </w:p>
        </w:tc>
        <w:tc>
          <w:tcPr>
            <w:vAlign w:val="center"/>
          </w:tcPr>
          <w:p>
            <w:pPr>
              <w:jc w:val="right"/>
            </w:pPr>
            <w:r>
              <w:rPr>
                <w:color w:val="000000"/>
                <w:kern w:val="0"/>
                <w:sz w:val="24"/>
                <w:szCs w:val="24"/>
              </w:rPr>
              <w:t>200,000</w:t>
            </w:r>
          </w:p>
        </w:tc>
        <w:tc>
          <w:tcPr>
            <w:vAlign w:val="center"/>
          </w:tcPr>
          <w:p>
            <w:pPr>
              <w:jc w:val="right"/>
            </w:pPr>
            <w:r>
              <w:rPr>
                <w:color w:val="000000"/>
                <w:kern w:val="0"/>
                <w:sz w:val="24"/>
                <w:szCs w:val="24"/>
              </w:rPr>
              <w:t>20,514,000.00</w:t>
            </w:r>
          </w:p>
        </w:tc>
        <w:tc>
          <w:tcPr>
            <w:vAlign w:val="center"/>
          </w:tcPr>
          <w:p>
            <w:pPr>
              <w:jc w:val="right"/>
            </w:pPr>
            <w:r>
              <w:rPr>
                <w:color w:val="000000"/>
                <w:kern w:val="0"/>
                <w:sz w:val="24"/>
                <w:szCs w:val="24"/>
              </w:rPr>
              <w:t>2.76</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101801334</w:t>
            </w:r>
          </w:p>
        </w:tc>
        <w:tc>
          <w:tcPr>
            <w:vAlign w:val="center"/>
          </w:tcPr>
          <w:p>
            <w:pPr>
              <w:jc w:val="center"/>
            </w:pPr>
            <w:r>
              <w:rPr>
                <w:color w:val="000000"/>
                <w:kern w:val="0"/>
                <w:sz w:val="24"/>
                <w:szCs w:val="24"/>
              </w:rPr>
              <w:t>18河钢集MTN011</w:t>
            </w:r>
          </w:p>
        </w:tc>
        <w:tc>
          <w:tcPr>
            <w:vAlign w:val="center"/>
          </w:tcPr>
          <w:p>
            <w:pPr>
              <w:jc w:val="right"/>
            </w:pPr>
            <w:r>
              <w:rPr>
                <w:color w:val="000000"/>
                <w:kern w:val="0"/>
                <w:sz w:val="24"/>
                <w:szCs w:val="24"/>
              </w:rPr>
              <w:t>200,000</w:t>
            </w:r>
          </w:p>
        </w:tc>
        <w:tc>
          <w:tcPr>
            <w:vAlign w:val="center"/>
          </w:tcPr>
          <w:p>
            <w:pPr>
              <w:jc w:val="right"/>
            </w:pPr>
            <w:r>
              <w:rPr>
                <w:color w:val="000000"/>
                <w:kern w:val="0"/>
                <w:sz w:val="24"/>
                <w:szCs w:val="24"/>
              </w:rPr>
              <w:t>20,408,000.00</w:t>
            </w:r>
          </w:p>
        </w:tc>
        <w:tc>
          <w:tcPr>
            <w:vAlign w:val="center"/>
          </w:tcPr>
          <w:p>
            <w:pPr>
              <w:jc w:val="right"/>
            </w:pPr>
            <w:r>
              <w:rPr>
                <w:color w:val="000000"/>
                <w:kern w:val="0"/>
                <w:sz w:val="24"/>
                <w:szCs w:val="24"/>
              </w:rPr>
              <w:t>2.74</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802"/>
        <w:gridCol w:w="1742"/>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证券代码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证券名称</w:t>
            </w:r>
          </w:p>
        </w:tc>
        <w:tc>
          <w:tcPr>
            <w:tcW w:type="dxa" w:w="1802"/>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（份）</w:t>
            </w:r>
          </w:p>
        </w:tc>
        <w:tc>
          <w:tcPr>
            <w:tcW w:type="dxa" w:w="1742"/>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139873</w:t>
            </w:r>
          </w:p>
        </w:tc>
        <w:tc>
          <w:tcPr>
            <w:vAlign w:val="center"/>
          </w:tcPr>
          <w:p>
            <w:pPr>
              <w:jc w:val="center"/>
            </w:pPr>
            <w:r>
              <w:rPr>
                <w:color w:val="000000"/>
                <w:kern w:val="0"/>
                <w:sz w:val="24"/>
                <w:szCs w:val="24"/>
              </w:rPr>
              <w:t>永熙优10</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10,068,000.00</w:t>
            </w:r>
          </w:p>
        </w:tc>
        <w:tc>
          <w:tcPr>
            <w:vAlign w:val="center"/>
          </w:tcPr>
          <w:p>
            <w:pPr>
              <w:jc w:val="right"/>
            </w:pPr>
            <w:r>
              <w:rPr>
                <w:color w:val="000000"/>
                <w:kern w:val="0"/>
                <w:sz w:val="24"/>
                <w:szCs w:val="24"/>
              </w:rPr>
              <w:t>1.35</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168589</w:t>
            </w:r>
          </w:p>
        </w:tc>
        <w:tc>
          <w:tcPr>
            <w:vAlign w:val="center"/>
          </w:tcPr>
          <w:p>
            <w:pPr>
              <w:jc w:val="center"/>
            </w:pPr>
            <w:r>
              <w:rPr>
                <w:color w:val="000000"/>
                <w:kern w:val="0"/>
                <w:sz w:val="24"/>
                <w:szCs w:val="24"/>
              </w:rPr>
              <w:t>天信7A</w:t>
            </w:r>
          </w:p>
        </w:tc>
        <w:tc>
          <w:tcPr>
            <w:vAlign w:val="center"/>
          </w:tcPr>
          <w:p>
            <w:pPr>
              <w:jc w:val="right"/>
            </w:pPr>
            <w:r>
              <w:rPr>
                <w:color w:val="000000"/>
                <w:kern w:val="0"/>
                <w:sz w:val="24"/>
                <w:szCs w:val="24"/>
              </w:rPr>
              <w:t>100,000</w:t>
            </w:r>
          </w:p>
        </w:tc>
        <w:tc>
          <w:tcPr>
            <w:vAlign w:val="center"/>
          </w:tcPr>
          <w:p>
            <w:pPr>
              <w:jc w:val="right"/>
            </w:pPr>
            <w:r>
              <w:rPr>
                <w:color w:val="000000"/>
                <w:kern w:val="0"/>
                <w:sz w:val="24"/>
                <w:szCs w:val="24"/>
              </w:rPr>
              <w:t>10,000,000.00</w:t>
            </w:r>
          </w:p>
        </w:tc>
        <w:tc>
          <w:tcPr>
            <w:vAlign w:val="center"/>
          </w:tcPr>
          <w:p>
            <w:pPr>
              <w:jc w:val="right"/>
            </w:pPr>
            <w:r>
              <w:rPr>
                <w:color w:val="000000"/>
                <w:kern w:val="0"/>
                <w:sz w:val="24"/>
                <w:szCs w:val="24"/>
              </w:rPr>
              <w:t>1.34</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168733</w:t>
            </w:r>
          </w:p>
        </w:tc>
        <w:tc>
          <w:tcPr>
            <w:vAlign w:val="center"/>
          </w:tcPr>
          <w:p>
            <w:pPr>
              <w:jc w:val="center"/>
            </w:pPr>
            <w:r>
              <w:rPr>
                <w:color w:val="000000"/>
                <w:kern w:val="0"/>
                <w:sz w:val="24"/>
                <w:szCs w:val="24"/>
              </w:rPr>
              <w:t>申程01优</w:t>
            </w:r>
          </w:p>
        </w:tc>
        <w:tc>
          <w:tcPr>
            <w:vAlign w:val="center"/>
          </w:tcPr>
          <w:p>
            <w:pPr>
              <w:jc w:val="right"/>
            </w:pPr>
            <w:r>
              <w:rPr>
                <w:color w:val="000000"/>
                <w:kern w:val="0"/>
                <w:sz w:val="24"/>
                <w:szCs w:val="24"/>
              </w:rPr>
              <w:t>90,000</w:t>
            </w:r>
          </w:p>
        </w:tc>
        <w:tc>
          <w:tcPr>
            <w:vAlign w:val="center"/>
          </w:tcPr>
          <w:p>
            <w:pPr>
              <w:jc w:val="right"/>
            </w:pPr>
            <w:r>
              <w:rPr>
                <w:color w:val="000000"/>
                <w:kern w:val="0"/>
                <w:sz w:val="24"/>
                <w:szCs w:val="24"/>
              </w:rPr>
              <w:t>9,000,000.00</w:t>
            </w:r>
          </w:p>
        </w:tc>
        <w:tc>
          <w:tcPr>
            <w:vAlign w:val="center"/>
          </w:tcPr>
          <w:p>
            <w:pPr>
              <w:jc w:val="right"/>
            </w:pPr>
            <w:r>
              <w:rPr>
                <w:color w:val="000000"/>
                <w:kern w:val="0"/>
                <w:sz w:val="24"/>
                <w:szCs w:val="24"/>
              </w:rPr>
              <w:t>1.21</w:t>
            </w:r>
          </w:p>
        </w:tc>
      </w:tr>
    </w:tbl>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2019年11月18日，北京市规划委员会石景山分局对首钢集团有限公司“因设计失误造成实测建筑面积超出规划许可建筑面积”的行为罚款额58765.25元。</w:t>
      </w:r>
    </w:p>
    <w:p>
      <w:pPr>
        <w:spacing w:line="360" w:lineRule="auto"/>
        <w:rPr>
          <w:rFonts w:ascii="宋体" w:hAnsi="宋体"/>
          <w:color w:val="000000"/>
          <w:sz w:val="24"/>
          <w:szCs w:val="24"/>
        </w:rPr>
      </w:pPr>
      <w:r>
        <w:rPr>
          <w:rFonts w:ascii="宋体" w:hAnsi="宋体"/>
          <w:color w:val="000000"/>
          <w:sz w:val="24"/>
          <w:szCs w:val="24"/>
        </w:rPr>
        <w:t>本基金投资19首钢MTN001的投资决策程序符合公司投资制度的规定。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除19首钢MTN001外，本基金投资的前十名证券的发行主体本期没有出现被监管部门立案调查，或在报告编制日前一年内受到公开谴责、处罚的情形。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28,701.15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9,668,641.67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266,504.92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9,963,847.74</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750D48" w:rsidRPr="00264E55" w:rsidTr="00B05049">
        <w:tc>
          <w:tcPr>
            <w:tcW w:type="dxa" w:w="1083"/>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302"/>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股票代码</w:t>
            </w:r>
          </w:p>
        </w:tc>
        <w:tc>
          <w:tcPr>
            <w:tcW w:type="dxa" w:w="1301"/>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股票名称</w:t>
            </w:r>
          </w:p>
        </w:tc>
        <w:tc>
          <w:tcPr>
            <w:tcW w:type="dxa" w:w="180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流通受限部分的公允价值</w:t>
            </w:r>
            <w:r w:rsidR="005F7917" w:rsidRPr="00B227EA">
              <w:rPr>
                <w:color w:val="000000"/>
                <w:kern w:val="0"/>
                <w:sz w:val="24"/>
                <w:szCs w:val="24"/>
              </w:rPr>
              <w:t>（元）</w:t>
            </w:r>
          </w:p>
        </w:tc>
        <w:tc>
          <w:tcPr>
            <w:tcW w:type="dxa" w:w="165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c>
          <w:tcPr>
            <w:tcW w:type="dxa" w:w="1367"/>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流通受限情况说明</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601816</w:t>
            </w:r>
          </w:p>
        </w:tc>
        <w:tc>
          <w:tcPr>
            <w:vAlign w:val="center"/>
          </w:tcPr>
          <w:p>
            <w:pPr>
              <w:jc w:val="center"/>
            </w:pPr>
            <w:r>
              <w:rPr>
                <w:color w:val="000000"/>
                <w:kern w:val="0"/>
                <w:sz w:val="24"/>
                <w:szCs w:val="24"/>
              </w:rPr>
              <w:t>京沪高铁</w:t>
            </w:r>
          </w:p>
        </w:tc>
        <w:tc>
          <w:tcPr>
            <w:vAlign w:val="center"/>
          </w:tcPr>
          <w:p>
            <w:pPr>
              <w:jc w:val="right"/>
            </w:pPr>
            <w:r>
              <w:rPr>
                <w:color w:val="000000"/>
                <w:kern w:val="0"/>
                <w:sz w:val="24"/>
                <w:szCs w:val="24"/>
              </w:rPr>
              <w:t>5,593,327.12</w:t>
            </w:r>
          </w:p>
        </w:tc>
        <w:tc>
          <w:tcPr>
            <w:vAlign w:val="center"/>
          </w:tcPr>
          <w:p>
            <w:pPr>
              <w:jc w:val="right"/>
            </w:pPr>
            <w:r>
              <w:rPr>
                <w:color w:val="000000"/>
                <w:kern w:val="0"/>
                <w:sz w:val="24"/>
                <w:szCs w:val="24"/>
              </w:rPr>
              <w:t>0.75</w:t>
            </w:r>
          </w:p>
        </w:tc>
        <w:tc>
          <w:tcPr>
            <w:vAlign w:val="center"/>
          </w:tcPr>
          <w:p>
            <w:pPr>
              <w:jc w:val="right"/>
            </w:pPr>
            <w:r>
              <w:rPr>
                <w:color w:val="000000"/>
                <w:kern w:val="0"/>
                <w:sz w:val="24"/>
                <w:szCs w:val="24"/>
              </w:rPr>
              <w:t>新股流通受限</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361,622,600.32</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222,684,421.61</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53,603,009.51</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530,704,012.42</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1.中国证监会准予易方达新利灵活配置混合型证券投资基金注册的文件；</w:t>
      </w:r>
    </w:p>
    <w:p>
      <w:pPr>
        <w:spacing w:line="360" w:lineRule="auto"/>
        <w:ind w:firstLine="480" w:firstLineChars="200"/>
        <w:rPr>
          <w:color w:val="000000"/>
          <w:sz w:val="24"/>
          <w:szCs w:val="24"/>
        </w:rPr>
      </w:pPr>
      <w:r>
        <w:rPr>
          <w:color w:val="000000"/>
          <w:sz w:val="24"/>
          <w:szCs w:val="24"/>
        </w:rPr>
        <w:t>2.《易方达新利灵活配置混合型证券投资基金基金合同》；</w:t>
      </w:r>
    </w:p>
    <w:p>
      <w:pPr>
        <w:spacing w:line="360" w:lineRule="auto"/>
        <w:ind w:firstLine="480" w:firstLineChars="200"/>
        <w:rPr>
          <w:color w:val="000000"/>
          <w:sz w:val="24"/>
          <w:szCs w:val="24"/>
        </w:rPr>
      </w:pPr>
      <w:r>
        <w:rPr>
          <w:color w:val="000000"/>
          <w:sz w:val="24"/>
          <w:szCs w:val="24"/>
        </w:rPr>
        <w:t>3.《易方达新利灵活配置混合型证券投资基金托管协议》；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易方达新利灵活配置混合型证券投资基金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