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易方达新收益灵活配置混合型证券投资基金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中国邮政储蓄银行股份有限公司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易方达新收益混合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001216</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2015年4月17日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206,533,778.12</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pPr>
              <w:adjustRightInd w:val="0"/>
              <w:spacing w:before="29" w:line="360" w:lineRule="auto"/>
              <w:ind w:left="17"/>
              <w:jc w:val="left"/>
              <w:rPr>
                <w:color w:val="000000"/>
                <w:sz w:val="24"/>
              </w:rPr>
            </w:pPr>
            <w:r>
              <w:rPr>
                <w:color w:val="000000"/>
                <w:kern w:val="0"/>
                <w:sz w:val="24"/>
              </w:rPr>
              <w:t>本基金通过对宏观经济走势、市场估值与流动性、政策导向等因素的分析来确定股票、债券等资产类别的配置比例。</w:t>
            </w:r>
          </w:p>
          <w:p>
            <w:pPr>
              <w:adjustRightInd w:val="0"/>
              <w:spacing w:before="29" w:line="360" w:lineRule="auto"/>
              <w:ind w:left="17"/>
              <w:jc w:val="left"/>
              <w:rPr>
                <w:color w:val="000000"/>
                <w:sz w:val="24"/>
              </w:rPr>
            </w:pPr>
            <w:r>
              <w:rPr>
                <w:color w:val="000000"/>
                <w:kern w:val="0"/>
                <w:sz w:val="24"/>
              </w:rPr>
              <w:t>股票投资方面，通过对行业景气度、竞争格局等因素综合评估来动态调整行业配置比例，并精选盈利能力强、财务状况良好、公司治理结构合理、估值水平偏低的个股进行配置。</w:t>
            </w:r>
          </w:p>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债券投资方面。本基金结合对宏观经济、市场利率、供求变化等因素的综合分析，根据交易所市场与银行间市场类属资产的风险收益特征，确定类属资产的最优权重。在券种选择上，本基金以长期利率趋势分析为基础，结合经济变化趋势、货币政策及不同债券品种的收益率水平、流动性和信用风险等因素，实施积极主动的债券投资管理。</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一年期人民币定期存款利率（税后）+2%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中国邮政储蓄银行股份有限公司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易方达新收益混合A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易方达新收益混合C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001216</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001217</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84,715,956.52</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121,817,821.60</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易方达新收益混合A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易方达新收益混合C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5,825,176.43</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6,490,775.67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56,118,384.55</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71,254,638.14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0.5474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0.4956</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214,136,143.36</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301,085,467.55</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2.528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2.472</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易方达新收益混合A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29.11%</w:t>
            </w:r>
          </w:p>
        </w:tc>
        <w:tc>
          <w:tcPr>
            <w:vAlign w:val="center"/>
          </w:tcPr>
          <w:p>
            <w:pPr>
              <w:jc w:val="center"/>
            </w:pPr>
            <w:r>
              <w:rPr>
                <w:color w:val="000000"/>
                <w:sz w:val="24"/>
              </w:rPr>
              <w:t>0.99%</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28.23%</w:t>
            </w:r>
          </w:p>
        </w:tc>
        <w:tc>
          <w:tcPr>
            <w:vAlign w:val="center"/>
          </w:tcPr>
          <w:p>
            <w:pPr>
              <w:jc w:val="center"/>
            </w:pPr>
            <w:r>
              <w:rPr>
                <w:color w:val="000000"/>
                <w:sz w:val="24"/>
              </w:rPr>
              <w:t>0.98%</w:t>
            </w:r>
          </w:p>
        </w:tc>
      </w:tr>
      <w:tr>
        <w:tc>
          <w:tcPr>
            <w:vAlign w:val="center"/>
          </w:tcPr>
          <w:p>
            <w:pPr>
              <w:jc w:val="left"/>
            </w:pPr>
            <w:r>
              <w:rPr>
                <w:color w:val="000000"/>
                <w:sz w:val="24"/>
              </w:rPr>
              <w:t>过去六个月</w:t>
            </w:r>
          </w:p>
        </w:tc>
        <w:tc>
          <w:tcPr>
            <w:vAlign w:val="center"/>
          </w:tcPr>
          <w:p>
            <w:pPr>
              <w:jc w:val="center"/>
            </w:pPr>
            <w:r>
              <w:rPr>
                <w:color w:val="000000"/>
                <w:sz w:val="24"/>
              </w:rPr>
              <w:t>23.44%</w:t>
            </w:r>
          </w:p>
        </w:tc>
        <w:tc>
          <w:tcPr>
            <w:vAlign w:val="center"/>
          </w:tcPr>
          <w:p>
            <w:pPr>
              <w:jc w:val="center"/>
            </w:pPr>
            <w:r>
              <w:rPr>
                <w:color w:val="000000"/>
                <w:sz w:val="24"/>
              </w:rPr>
              <w:t>1.53%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21.67%</w:t>
            </w:r>
          </w:p>
        </w:tc>
        <w:tc>
          <w:tcPr>
            <w:vAlign w:val="center"/>
          </w:tcPr>
          <w:p>
            <w:pPr>
              <w:jc w:val="center"/>
            </w:pPr>
            <w:r>
              <w:rPr>
                <w:color w:val="000000"/>
                <w:sz w:val="24"/>
              </w:rPr>
              <w:t>1.52%</w:t>
            </w:r>
          </w:p>
        </w:tc>
      </w:tr>
      <w:tr>
        <w:tc>
          <w:tcPr>
            <w:vAlign w:val="center"/>
          </w:tcPr>
          <w:p>
            <w:pPr>
              <w:jc w:val="left"/>
            </w:pPr>
            <w:r>
              <w:rPr>
                <w:color w:val="000000"/>
                <w:sz w:val="24"/>
              </w:rPr>
              <w:t>过去一年</w:t>
            </w:r>
          </w:p>
        </w:tc>
        <w:tc>
          <w:tcPr>
            <w:vAlign w:val="center"/>
          </w:tcPr>
          <w:p>
            <w:pPr>
              <w:jc w:val="center"/>
            </w:pPr>
            <w:r>
              <w:rPr>
                <w:color w:val="000000"/>
                <w:sz w:val="24"/>
              </w:rPr>
              <w:t>51.11%</w:t>
            </w:r>
          </w:p>
        </w:tc>
        <w:tc>
          <w:tcPr>
            <w:vAlign w:val="center"/>
          </w:tcPr>
          <w:p>
            <w:pPr>
              <w:jc w:val="center"/>
            </w:pPr>
            <w:r>
              <w:rPr>
                <w:color w:val="000000"/>
                <w:sz w:val="24"/>
              </w:rPr>
              <w:t>1.25%</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47.55%</w:t>
            </w:r>
          </w:p>
        </w:tc>
        <w:tc>
          <w:tcPr>
            <w:vAlign w:val="center"/>
          </w:tcPr>
          <w:p>
            <w:pPr>
              <w:jc w:val="center"/>
            </w:pPr>
            <w:r>
              <w:rPr>
                <w:color w:val="000000"/>
                <w:sz w:val="24"/>
              </w:rPr>
              <w:t>1.24%</w:t>
            </w:r>
          </w:p>
        </w:tc>
      </w:tr>
      <w:tr>
        <w:tc>
          <w:tcPr>
            <w:vAlign w:val="center"/>
          </w:tcPr>
          <w:p>
            <w:pPr>
              <w:jc w:val="left"/>
            </w:pPr>
            <w:r>
              <w:rPr>
                <w:color w:val="000000"/>
                <w:sz w:val="24"/>
              </w:rPr>
              <w:t>过去三年</w:t>
            </w:r>
          </w:p>
        </w:tc>
        <w:tc>
          <w:tcPr>
            <w:vAlign w:val="center"/>
          </w:tcPr>
          <w:p>
            <w:pPr>
              <w:jc w:val="center"/>
            </w:pPr>
            <w:r>
              <w:rPr>
                <w:color w:val="000000"/>
                <w:sz w:val="24"/>
              </w:rPr>
              <w:t>113.87%</w:t>
            </w:r>
          </w:p>
        </w:tc>
        <w:tc>
          <w:tcPr>
            <w:vAlign w:val="center"/>
          </w:tcPr>
          <w:p>
            <w:pPr>
              <w:jc w:val="center"/>
            </w:pPr>
            <w:r>
              <w:rPr>
                <w:color w:val="000000"/>
                <w:sz w:val="24"/>
              </w:rPr>
              <w:t>0.94%</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103.21%</w:t>
            </w:r>
          </w:p>
        </w:tc>
        <w:tc>
          <w:tcPr>
            <w:vAlign w:val="center"/>
          </w:tcPr>
          <w:p>
            <w:pPr>
              <w:jc w:val="center"/>
            </w:pPr>
            <w:r>
              <w:rPr>
                <w:color w:val="000000"/>
                <w:sz w:val="24"/>
              </w:rPr>
              <w:t>0.93%</w:t>
            </w:r>
          </w:p>
        </w:tc>
      </w:tr>
      <w:tr>
        <w:tc>
          <w:tcPr>
            <w:vAlign w:val="center"/>
          </w:tcPr>
          <w:p>
            <w:pPr>
              <w:jc w:val="left"/>
            </w:pPr>
            <w:r>
              <w:rPr>
                <w:color w:val="000000"/>
                <w:sz w:val="24"/>
              </w:rPr>
              <w:t>过去五年</w:t>
            </w:r>
          </w:p>
        </w:tc>
        <w:tc>
          <w:tcPr>
            <w:vAlign w:val="center"/>
          </w:tcPr>
          <w:p>
            <w:pPr>
              <w:jc w:val="center"/>
            </w:pPr>
            <w:r>
              <w:rPr>
                <w:color w:val="000000"/>
                <w:sz w:val="24"/>
              </w:rPr>
              <w:t>139.17%</w:t>
            </w:r>
          </w:p>
        </w:tc>
        <w:tc>
          <w:tcPr>
            <w:vAlign w:val="center"/>
          </w:tcPr>
          <w:p>
            <w:pPr>
              <w:jc w:val="center"/>
            </w:pPr>
            <w:r>
              <w:rPr>
                <w:color w:val="000000"/>
                <w:sz w:val="24"/>
              </w:rPr>
              <w:t>0.73%</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121.29%</w:t>
            </w:r>
          </w:p>
        </w:tc>
        <w:tc>
          <w:tcPr>
            <w:vAlign w:val="center"/>
          </w:tcPr>
          <w:p>
            <w:pPr>
              <w:jc w:val="center"/>
            </w:pPr>
            <w:r>
              <w:rPr>
                <w:color w:val="000000"/>
                <w:sz w:val="24"/>
              </w:rPr>
              <w:t>0.72%</w:t>
            </w:r>
          </w:p>
        </w:tc>
      </w:tr>
      <w:tr>
        <w:tc>
          <w:tcPr>
            <w:vAlign w:val="center"/>
          </w:tcPr>
          <w:p>
            <w:pPr>
              <w:jc w:val="left"/>
            </w:pPr>
            <w:r>
              <w:rPr>
                <w:color w:val="000000"/>
                <w:sz w:val="24"/>
              </w:rPr>
              <w:t>自基金合同生效起至今</w:t>
            </w:r>
          </w:p>
        </w:tc>
        <w:tc>
          <w:tcPr>
            <w:vAlign w:val="center"/>
          </w:tcPr>
          <w:p>
            <w:pPr>
              <w:jc w:val="center"/>
            </w:pPr>
            <w:r>
              <w:rPr>
                <w:color w:val="000000"/>
                <w:sz w:val="24"/>
              </w:rPr>
              <w:t>152.80%</w:t>
            </w:r>
          </w:p>
        </w:tc>
        <w:tc>
          <w:tcPr>
            <w:vAlign w:val="center"/>
          </w:tcPr>
          <w:p>
            <w:pPr>
              <w:jc w:val="center"/>
            </w:pPr>
            <w:r>
              <w:rPr>
                <w:color w:val="000000"/>
                <w:sz w:val="24"/>
              </w:rPr>
              <w:t>0.72%</w:t>
            </w:r>
          </w:p>
        </w:tc>
        <w:tc>
          <w:tcPr>
            <w:vAlign w:val="center"/>
          </w:tcPr>
          <w:p>
            <w:pPr>
              <w:jc w:val="center"/>
            </w:pPr>
            <w:r>
              <w:rPr>
                <w:color w:val="000000"/>
                <w:sz w:val="24"/>
              </w:rPr>
              <w:t>18.78%</w:t>
            </w:r>
          </w:p>
        </w:tc>
        <w:tc>
          <w:tcPr>
            <w:vAlign w:val="center"/>
          </w:tcPr>
          <w:p>
            <w:pPr>
              <w:jc w:val="center"/>
            </w:pPr>
            <w:r>
              <w:rPr>
                <w:color w:val="000000"/>
                <w:sz w:val="24"/>
              </w:rPr>
              <w:t>0.01%</w:t>
            </w:r>
          </w:p>
        </w:tc>
        <w:tc>
          <w:tcPr>
            <w:vAlign w:val="center"/>
          </w:tcPr>
          <w:p>
            <w:pPr>
              <w:jc w:val="center"/>
            </w:pPr>
            <w:r>
              <w:rPr>
                <w:color w:val="000000"/>
                <w:sz w:val="24"/>
              </w:rPr>
              <w:t>134.02%</w:t>
            </w:r>
          </w:p>
        </w:tc>
        <w:tc>
          <w:tcPr>
            <w:vAlign w:val="center"/>
          </w:tcPr>
          <w:p>
            <w:pPr>
              <w:jc w:val="center"/>
            </w:pPr>
            <w:r>
              <w:rPr>
                <w:color w:val="000000"/>
                <w:sz w:val="24"/>
              </w:rPr>
              <w:t>0.71%</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易方达新收益混合C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29.02%</w:t>
            </w:r>
          </w:p>
        </w:tc>
        <w:tc>
          <w:tcPr>
            <w:vAlign w:val="center"/>
          </w:tcPr>
          <w:p>
            <w:pPr>
              <w:jc w:val="center"/>
            </w:pPr>
            <w:r>
              <w:rPr>
                <w:color w:val="000000"/>
                <w:sz w:val="24"/>
              </w:rPr>
              <w:t>0.99%</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28.14%</w:t>
            </w:r>
          </w:p>
        </w:tc>
        <w:tc>
          <w:tcPr>
            <w:vAlign w:val="center"/>
          </w:tcPr>
          <w:p>
            <w:pPr>
              <w:jc w:val="center"/>
            </w:pPr>
            <w:r>
              <w:rPr>
                <w:color w:val="000000"/>
                <w:sz w:val="24"/>
              </w:rPr>
              <w:t>0.98%</w:t>
            </w:r>
          </w:p>
        </w:tc>
      </w:tr>
      <w:tr>
        <w:tc>
          <w:tcPr>
            <w:vAlign w:val="center"/>
          </w:tcPr>
          <w:p>
            <w:pPr>
              <w:jc w:val="left"/>
            </w:pPr>
            <w:r>
              <w:rPr>
                <w:color w:val="000000"/>
                <w:sz w:val="24"/>
              </w:rPr>
              <w:t>过去六个月</w:t>
            </w:r>
          </w:p>
        </w:tc>
        <w:tc>
          <w:tcPr>
            <w:vAlign w:val="center"/>
          </w:tcPr>
          <w:p>
            <w:pPr>
              <w:jc w:val="center"/>
            </w:pPr>
            <w:r>
              <w:rPr>
                <w:color w:val="000000"/>
                <w:sz w:val="24"/>
              </w:rPr>
              <w:t>23.35%</w:t>
            </w:r>
          </w:p>
        </w:tc>
        <w:tc>
          <w:tcPr>
            <w:vAlign w:val="center"/>
          </w:tcPr>
          <w:p>
            <w:pPr>
              <w:jc w:val="center"/>
            </w:pPr>
            <w:r>
              <w:rPr>
                <w:color w:val="000000"/>
                <w:sz w:val="24"/>
              </w:rPr>
              <w:t>1.53%</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21.58%</w:t>
            </w:r>
          </w:p>
        </w:tc>
        <w:tc>
          <w:tcPr>
            <w:vAlign w:val="center"/>
          </w:tcPr>
          <w:p>
            <w:pPr>
              <w:jc w:val="center"/>
            </w:pPr>
            <w:r>
              <w:rPr>
                <w:color w:val="000000"/>
                <w:sz w:val="24"/>
              </w:rPr>
              <w:t>1.52%</w:t>
            </w:r>
          </w:p>
        </w:tc>
      </w:tr>
      <w:tr>
        <w:tc>
          <w:tcPr>
            <w:vAlign w:val="center"/>
          </w:tcPr>
          <w:p>
            <w:pPr>
              <w:jc w:val="left"/>
            </w:pPr>
            <w:r>
              <w:rPr>
                <w:color w:val="000000"/>
                <w:sz w:val="24"/>
              </w:rPr>
              <w:t>过去一年</w:t>
            </w:r>
          </w:p>
        </w:tc>
        <w:tc>
          <w:tcPr>
            <w:vAlign w:val="center"/>
          </w:tcPr>
          <w:p>
            <w:pPr>
              <w:jc w:val="center"/>
            </w:pPr>
            <w:r>
              <w:rPr>
                <w:color w:val="000000"/>
                <w:sz w:val="24"/>
              </w:rPr>
              <w:t>50.73%</w:t>
            </w:r>
          </w:p>
        </w:tc>
        <w:tc>
          <w:tcPr>
            <w:vAlign w:val="center"/>
          </w:tcPr>
          <w:p>
            <w:pPr>
              <w:jc w:val="center"/>
            </w:pPr>
            <w:r>
              <w:rPr>
                <w:color w:val="000000"/>
                <w:sz w:val="24"/>
              </w:rPr>
              <w:t>1.25%</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47.17%</w:t>
            </w:r>
          </w:p>
        </w:tc>
        <w:tc>
          <w:tcPr>
            <w:vAlign w:val="center"/>
          </w:tcPr>
          <w:p>
            <w:pPr>
              <w:jc w:val="center"/>
            </w:pPr>
            <w:r>
              <w:rPr>
                <w:color w:val="000000"/>
                <w:sz w:val="24"/>
              </w:rPr>
              <w:t>1.24%</w:t>
            </w:r>
          </w:p>
        </w:tc>
      </w:tr>
      <w:tr>
        <w:tc>
          <w:tcPr>
            <w:vAlign w:val="center"/>
          </w:tcPr>
          <w:p>
            <w:pPr>
              <w:jc w:val="left"/>
            </w:pPr>
            <w:r>
              <w:rPr>
                <w:color w:val="000000"/>
                <w:sz w:val="24"/>
              </w:rPr>
              <w:t>过去三年</w:t>
            </w:r>
          </w:p>
        </w:tc>
        <w:tc>
          <w:tcPr>
            <w:vAlign w:val="center"/>
          </w:tcPr>
          <w:p>
            <w:pPr>
              <w:jc w:val="center"/>
            </w:pPr>
            <w:r>
              <w:rPr>
                <w:color w:val="000000"/>
                <w:sz w:val="24"/>
              </w:rPr>
              <w:t>111.46%</w:t>
            </w:r>
          </w:p>
        </w:tc>
        <w:tc>
          <w:tcPr>
            <w:vAlign w:val="center"/>
          </w:tcPr>
          <w:p>
            <w:pPr>
              <w:jc w:val="center"/>
            </w:pPr>
            <w:r>
              <w:rPr>
                <w:color w:val="000000"/>
                <w:sz w:val="24"/>
              </w:rPr>
              <w:t>0.94%</w:t>
            </w:r>
          </w:p>
        </w:tc>
        <w:tc>
          <w:tcPr>
            <w:vAlign w:val="center"/>
          </w:tcPr>
          <w:p>
            <w:pPr>
              <w:jc w:val="center"/>
            </w:pPr>
            <w:r>
              <w:rPr>
                <w:color w:val="000000"/>
                <w:sz w:val="24"/>
              </w:rPr>
              <w:t>10.66%</w:t>
            </w:r>
          </w:p>
        </w:tc>
        <w:tc>
          <w:tcPr>
            <w:vAlign w:val="center"/>
          </w:tcPr>
          <w:p>
            <w:pPr>
              <w:jc w:val="center"/>
            </w:pPr>
            <w:r>
              <w:rPr>
                <w:color w:val="000000"/>
                <w:sz w:val="24"/>
              </w:rPr>
              <w:t>0.01%</w:t>
            </w:r>
          </w:p>
        </w:tc>
        <w:tc>
          <w:tcPr>
            <w:vAlign w:val="center"/>
          </w:tcPr>
          <w:p>
            <w:pPr>
              <w:jc w:val="center"/>
            </w:pPr>
            <w:r>
              <w:rPr>
                <w:color w:val="000000"/>
                <w:sz w:val="24"/>
              </w:rPr>
              <w:t>100.80%</w:t>
            </w:r>
          </w:p>
        </w:tc>
        <w:tc>
          <w:tcPr>
            <w:vAlign w:val="center"/>
          </w:tcPr>
          <w:p>
            <w:pPr>
              <w:jc w:val="center"/>
            </w:pPr>
            <w:r>
              <w:rPr>
                <w:color w:val="000000"/>
                <w:sz w:val="24"/>
              </w:rPr>
              <w:t>0.93%</w:t>
            </w:r>
          </w:p>
        </w:tc>
      </w:tr>
      <w:tr>
        <w:tc>
          <w:tcPr>
            <w:vAlign w:val="center"/>
          </w:tcPr>
          <w:p>
            <w:pPr>
              <w:jc w:val="left"/>
            </w:pPr>
            <w:r>
              <w:rPr>
                <w:color w:val="000000"/>
                <w:sz w:val="24"/>
              </w:rPr>
              <w:t>过去五年</w:t>
            </w:r>
          </w:p>
        </w:tc>
        <w:tc>
          <w:tcPr>
            <w:vAlign w:val="center"/>
          </w:tcPr>
          <w:p>
            <w:pPr>
              <w:jc w:val="center"/>
            </w:pPr>
            <w:r>
              <w:rPr>
                <w:color w:val="000000"/>
                <w:sz w:val="24"/>
              </w:rPr>
              <w:t>133.87%</w:t>
            </w:r>
          </w:p>
        </w:tc>
        <w:tc>
          <w:tcPr>
            <w:vAlign w:val="center"/>
          </w:tcPr>
          <w:p>
            <w:pPr>
              <w:jc w:val="center"/>
            </w:pPr>
            <w:r>
              <w:rPr>
                <w:color w:val="000000"/>
                <w:sz w:val="24"/>
              </w:rPr>
              <w:t>0.73%</w:t>
            </w:r>
          </w:p>
        </w:tc>
        <w:tc>
          <w:tcPr>
            <w:vAlign w:val="center"/>
          </w:tcPr>
          <w:p>
            <w:pPr>
              <w:jc w:val="center"/>
            </w:pPr>
            <w:r>
              <w:rPr>
                <w:color w:val="000000"/>
                <w:sz w:val="24"/>
              </w:rPr>
              <w:t>17.88%</w:t>
            </w:r>
          </w:p>
        </w:tc>
        <w:tc>
          <w:tcPr>
            <w:vAlign w:val="center"/>
          </w:tcPr>
          <w:p>
            <w:pPr>
              <w:jc w:val="center"/>
            </w:pPr>
            <w:r>
              <w:rPr>
                <w:color w:val="000000"/>
                <w:sz w:val="24"/>
              </w:rPr>
              <w:t>0.01%</w:t>
            </w:r>
          </w:p>
        </w:tc>
        <w:tc>
          <w:tcPr>
            <w:vAlign w:val="center"/>
          </w:tcPr>
          <w:p>
            <w:pPr>
              <w:jc w:val="center"/>
            </w:pPr>
            <w:r>
              <w:rPr>
                <w:color w:val="000000"/>
                <w:sz w:val="24"/>
              </w:rPr>
              <w:t>115.99%</w:t>
            </w:r>
          </w:p>
        </w:tc>
        <w:tc>
          <w:tcPr>
            <w:vAlign w:val="center"/>
          </w:tcPr>
          <w:p>
            <w:pPr>
              <w:jc w:val="center"/>
            </w:pPr>
            <w:r>
              <w:rPr>
                <w:color w:val="000000"/>
                <w:sz w:val="24"/>
              </w:rPr>
              <w:t>0.72%</w:t>
            </w:r>
          </w:p>
        </w:tc>
      </w:tr>
      <w:tr>
        <w:tc>
          <w:tcPr>
            <w:vAlign w:val="center"/>
          </w:tcPr>
          <w:p>
            <w:pPr>
              <w:jc w:val="left"/>
            </w:pPr>
            <w:r>
              <w:rPr>
                <w:color w:val="000000"/>
                <w:sz w:val="24"/>
              </w:rPr>
              <w:t>自基金合同生效起至今</w:t>
            </w:r>
          </w:p>
        </w:tc>
        <w:tc>
          <w:tcPr>
            <w:vAlign w:val="center"/>
          </w:tcPr>
          <w:p>
            <w:pPr>
              <w:jc w:val="center"/>
            </w:pPr>
            <w:r>
              <w:rPr>
                <w:color w:val="000000"/>
                <w:sz w:val="24"/>
              </w:rPr>
              <w:t>147.20%</w:t>
            </w:r>
          </w:p>
        </w:tc>
        <w:tc>
          <w:tcPr>
            <w:vAlign w:val="center"/>
          </w:tcPr>
          <w:p>
            <w:pPr>
              <w:jc w:val="center"/>
            </w:pPr>
            <w:r>
              <w:rPr>
                <w:color w:val="000000"/>
                <w:sz w:val="24"/>
              </w:rPr>
              <w:t>0.72%</w:t>
            </w:r>
          </w:p>
        </w:tc>
        <w:tc>
          <w:tcPr>
            <w:vAlign w:val="center"/>
          </w:tcPr>
          <w:p>
            <w:pPr>
              <w:jc w:val="center"/>
            </w:pPr>
            <w:r>
              <w:rPr>
                <w:color w:val="000000"/>
                <w:sz w:val="24"/>
              </w:rPr>
              <w:t>18.78%</w:t>
            </w:r>
          </w:p>
        </w:tc>
        <w:tc>
          <w:tcPr>
            <w:vAlign w:val="center"/>
          </w:tcPr>
          <w:p>
            <w:pPr>
              <w:jc w:val="center"/>
            </w:pPr>
            <w:r>
              <w:rPr>
                <w:color w:val="000000"/>
                <w:sz w:val="24"/>
              </w:rPr>
              <w:t>0.01%</w:t>
            </w:r>
          </w:p>
        </w:tc>
        <w:tc>
          <w:tcPr>
            <w:vAlign w:val="center"/>
          </w:tcPr>
          <w:p>
            <w:pPr>
              <w:jc w:val="center"/>
            </w:pPr>
            <w:r>
              <w:rPr>
                <w:color w:val="000000"/>
                <w:sz w:val="24"/>
              </w:rPr>
              <w:t>128.42%</w:t>
            </w:r>
          </w:p>
        </w:tc>
        <w:tc>
          <w:tcPr>
            <w:vAlign w:val="center"/>
          </w:tcPr>
          <w:p>
            <w:pPr>
              <w:jc w:val="center"/>
            </w:pPr>
            <w:r>
              <w:rPr>
                <w:color w:val="000000"/>
                <w:sz w:val="24"/>
              </w:rPr>
              <w:t>0.71%</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易方达新收益灵活配置混合型证券投资基金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（2015年4月17日至2020年6月30日）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易方达新收益混合A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易方达新收益混合C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注：自基金合同生效至报告期末，A类基金份额净值增长率为152.80%，C类基金份额净值增长率为147.20%，同期业绩比较基准收益率为18.78%。</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张清华</w:t>
            </w:r>
          </w:p>
        </w:tc>
        <w:tc>
          <w:tcPr>
            <w:vAlign w:val="center"/>
          </w:tcPr>
          <w:p>
            <w:pPr>
              <w:jc w:val="left"/>
            </w:pPr>
            <w:r>
              <w:rPr>
                <w:color w:val="000000"/>
                <w:sz w:val="24"/>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丰华债券型证券投资基金的基金经理、混合资产投资部总经理</w:t>
            </w:r>
          </w:p>
        </w:tc>
        <w:tc>
          <w:tcPr>
            <w:vAlign w:val="center"/>
          </w:tcPr>
          <w:p>
            <w:pPr>
              <w:jc w:val="center"/>
            </w:pPr>
            <w:r>
              <w:rPr>
                <w:color w:val="000000"/>
                <w:sz w:val="24"/>
              </w:rPr>
              <w:t>2018-12-25</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操作上，组合权益整体维持较高仓位水平，持仓仍以白马蓝筹为主，同时积极参与科创版打新。债券方面，组合维持仓位水平，以保持流动性为主。</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2.528元，本报告期份额净值增长率为29.11%，同期业绩比较基准收益率为0.88%；C类基金份额净值为2.472元，本报告期份额净值增长率为29.02%，同期业绩比较基准收益率为0.88%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486,940,934.13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91.92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486,940,934.13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91.92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26,013,000.00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4.91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26,013,000.00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4.91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10,693,693.62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2.02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6,075,000.88</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529,722,628.63</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355,217,680.35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68.94</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12,766.32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0.00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5,593,327.12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1.09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33,495,622.76</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6.50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47,893,156.50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9.30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44,728,381.08</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8.68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486,940,934.13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94.51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300628</w:t>
            </w:r>
          </w:p>
        </w:tc>
        <w:tc>
          <w:tcPr>
            <w:vAlign w:val="center"/>
          </w:tcPr>
          <w:p>
            <w:pPr>
              <w:jc w:val="center"/>
            </w:pPr>
            <w:r>
              <w:rPr>
                <w:color w:val="000000"/>
                <w:sz w:val="24"/>
              </w:rPr>
              <w:t>亿联网络</w:t>
            </w:r>
          </w:p>
        </w:tc>
        <w:tc>
          <w:tcPr>
            <w:vAlign w:val="center"/>
          </w:tcPr>
          <w:p>
            <w:pPr>
              <w:jc w:val="right"/>
            </w:pPr>
            <w:r>
              <w:rPr>
                <w:color w:val="000000"/>
                <w:sz w:val="24"/>
              </w:rPr>
              <w:t>748,800</w:t>
            </w:r>
          </w:p>
        </w:tc>
        <w:tc>
          <w:tcPr>
            <w:vAlign w:val="center"/>
          </w:tcPr>
          <w:p>
            <w:pPr>
              <w:jc w:val="right"/>
            </w:pPr>
            <w:r>
              <w:rPr>
                <w:color w:val="000000"/>
                <w:sz w:val="24"/>
              </w:rPr>
              <w:t>51,113,088.00</w:t>
            </w:r>
          </w:p>
        </w:tc>
        <w:tc>
          <w:tcPr>
            <w:vAlign w:val="center"/>
          </w:tcPr>
          <w:p>
            <w:pPr>
              <w:jc w:val="right"/>
            </w:pPr>
            <w:r>
              <w:rPr>
                <w:color w:val="000000"/>
                <w:sz w:val="24"/>
              </w:rPr>
              <w:t>9.92</w:t>
            </w:r>
          </w:p>
        </w:tc>
      </w:tr>
      <w:tr>
        <w:tc>
          <w:tcPr>
            <w:vAlign w:val="center"/>
          </w:tcPr>
          <w:p>
            <w:pPr>
              <w:jc w:val="center"/>
            </w:pPr>
            <w:r>
              <w:rPr>
                <w:color w:val="000000"/>
                <w:sz w:val="24"/>
              </w:rPr>
              <w:t>2</w:t>
            </w:r>
          </w:p>
        </w:tc>
        <w:tc>
          <w:tcPr>
            <w:vAlign w:val="center"/>
          </w:tcPr>
          <w:p>
            <w:pPr>
              <w:jc w:val="center"/>
            </w:pPr>
            <w:r>
              <w:rPr>
                <w:color w:val="000000"/>
                <w:sz w:val="24"/>
              </w:rPr>
              <w:t>600763</w:t>
            </w:r>
          </w:p>
        </w:tc>
        <w:tc>
          <w:tcPr>
            <w:vAlign w:val="center"/>
          </w:tcPr>
          <w:p>
            <w:pPr>
              <w:jc w:val="center"/>
            </w:pPr>
            <w:r>
              <w:rPr>
                <w:color w:val="000000"/>
                <w:sz w:val="24"/>
              </w:rPr>
              <w:t>通策医疗</w:t>
            </w:r>
          </w:p>
        </w:tc>
        <w:tc>
          <w:tcPr>
            <w:vAlign w:val="center"/>
          </w:tcPr>
          <w:p>
            <w:pPr>
              <w:jc w:val="right"/>
            </w:pPr>
            <w:r>
              <w:rPr>
                <w:color w:val="000000"/>
                <w:sz w:val="24"/>
              </w:rPr>
              <w:t>268,204</w:t>
            </w:r>
          </w:p>
        </w:tc>
        <w:tc>
          <w:tcPr>
            <w:vAlign w:val="center"/>
          </w:tcPr>
          <w:p>
            <w:pPr>
              <w:jc w:val="right"/>
            </w:pPr>
            <w:r>
              <w:rPr>
                <w:color w:val="000000"/>
                <w:sz w:val="24"/>
              </w:rPr>
              <w:t>44,728,381.08</w:t>
            </w:r>
          </w:p>
        </w:tc>
        <w:tc>
          <w:tcPr>
            <w:vAlign w:val="center"/>
          </w:tcPr>
          <w:p>
            <w:pPr>
              <w:jc w:val="right"/>
            </w:pPr>
            <w:r>
              <w:rPr>
                <w:color w:val="000000"/>
                <w:sz w:val="24"/>
              </w:rPr>
              <w:t>8.68</w:t>
            </w:r>
          </w:p>
        </w:tc>
      </w:tr>
      <w:tr>
        <w:tc>
          <w:tcPr>
            <w:vAlign w:val="center"/>
          </w:tcPr>
          <w:p>
            <w:pPr>
              <w:jc w:val="center"/>
            </w:pPr>
            <w:r>
              <w:rPr>
                <w:color w:val="000000"/>
                <w:sz w:val="24"/>
              </w:rPr>
              <w:t>3</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836,791</w:t>
            </w:r>
          </w:p>
        </w:tc>
        <w:tc>
          <w:tcPr>
            <w:vAlign w:val="center"/>
          </w:tcPr>
          <w:p>
            <w:pPr>
              <w:jc w:val="right"/>
            </w:pPr>
            <w:r>
              <w:rPr>
                <w:color w:val="000000"/>
                <w:sz w:val="24"/>
              </w:rPr>
              <w:t>41,764,238.81</w:t>
            </w:r>
          </w:p>
        </w:tc>
        <w:tc>
          <w:tcPr>
            <w:vAlign w:val="center"/>
          </w:tcPr>
          <w:p>
            <w:pPr>
              <w:jc w:val="right"/>
            </w:pPr>
            <w:r>
              <w:rPr>
                <w:color w:val="000000"/>
                <w:sz w:val="24"/>
              </w:rPr>
              <w:t>8.11</w:t>
            </w:r>
          </w:p>
        </w:tc>
      </w:tr>
      <w:tr>
        <w:tc>
          <w:tcPr>
            <w:vAlign w:val="center"/>
          </w:tcPr>
          <w:p>
            <w:pPr>
              <w:jc w:val="center"/>
            </w:pPr>
            <w:r>
              <w:rPr>
                <w:color w:val="000000"/>
                <w:sz w:val="24"/>
              </w:rPr>
              <w:t>4</w:t>
            </w:r>
          </w:p>
        </w:tc>
        <w:tc>
          <w:tcPr>
            <w:vAlign w:val="center"/>
          </w:tcPr>
          <w:p>
            <w:pPr>
              <w:jc w:val="center"/>
            </w:pPr>
            <w:r>
              <w:rPr>
                <w:color w:val="000000"/>
                <w:sz w:val="24"/>
              </w:rPr>
              <w:t>603259</w:t>
            </w:r>
          </w:p>
        </w:tc>
        <w:tc>
          <w:tcPr>
            <w:vAlign w:val="center"/>
          </w:tcPr>
          <w:p>
            <w:pPr>
              <w:jc w:val="center"/>
            </w:pPr>
            <w:r>
              <w:rPr>
                <w:color w:val="000000"/>
                <w:sz w:val="24"/>
              </w:rPr>
              <w:t>药明康德</w:t>
            </w:r>
          </w:p>
        </w:tc>
        <w:tc>
          <w:tcPr>
            <w:vAlign w:val="center"/>
          </w:tcPr>
          <w:p>
            <w:pPr>
              <w:jc w:val="right"/>
            </w:pPr>
            <w:r>
              <w:rPr>
                <w:color w:val="000000"/>
                <w:sz w:val="24"/>
              </w:rPr>
              <w:t>432,208</w:t>
            </w:r>
          </w:p>
        </w:tc>
        <w:tc>
          <w:tcPr>
            <w:vAlign w:val="center"/>
          </w:tcPr>
          <w:p>
            <w:pPr>
              <w:jc w:val="right"/>
            </w:pPr>
            <w:r>
              <w:rPr>
                <w:color w:val="000000"/>
                <w:sz w:val="24"/>
              </w:rPr>
              <w:t>41,751,292.80</w:t>
            </w:r>
          </w:p>
        </w:tc>
        <w:tc>
          <w:tcPr>
            <w:vAlign w:val="center"/>
          </w:tcPr>
          <w:p>
            <w:pPr>
              <w:jc w:val="right"/>
            </w:pPr>
            <w:r>
              <w:rPr>
                <w:color w:val="000000"/>
                <w:sz w:val="24"/>
              </w:rPr>
              <w:t>8.10</w:t>
            </w:r>
          </w:p>
        </w:tc>
      </w:tr>
      <w:tr>
        <w:tc>
          <w:tcPr>
            <w:vAlign w:val="center"/>
          </w:tcPr>
          <w:p>
            <w:pPr>
              <w:jc w:val="center"/>
            </w:pPr>
            <w:r>
              <w:rPr>
                <w:color w:val="000000"/>
                <w:sz w:val="24"/>
              </w:rPr>
              <w:t>5</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1,006,940</w:t>
            </w:r>
          </w:p>
        </w:tc>
        <w:tc>
          <w:tcPr>
            <w:vAlign w:val="center"/>
          </w:tcPr>
          <w:p>
            <w:pPr>
              <w:jc w:val="right"/>
            </w:pPr>
            <w:r>
              <w:rPr>
                <w:color w:val="000000"/>
                <w:sz w:val="24"/>
              </w:rPr>
              <w:t>41,012,666.20</w:t>
            </w:r>
          </w:p>
        </w:tc>
        <w:tc>
          <w:tcPr>
            <w:vAlign w:val="center"/>
          </w:tcPr>
          <w:p>
            <w:pPr>
              <w:jc w:val="right"/>
            </w:pPr>
            <w:r>
              <w:rPr>
                <w:color w:val="000000"/>
                <w:sz w:val="24"/>
              </w:rPr>
              <w:t>7.96</w:t>
            </w:r>
          </w:p>
        </w:tc>
      </w:tr>
      <w:tr>
        <w:tc>
          <w:tcPr>
            <w:vAlign w:val="center"/>
          </w:tcPr>
          <w:p>
            <w:pPr>
              <w:jc w:val="center"/>
            </w:pPr>
            <w:r>
              <w:rPr>
                <w:color w:val="000000"/>
                <w:sz w:val="24"/>
              </w:rPr>
              <w:t>6</w:t>
            </w:r>
          </w:p>
        </w:tc>
        <w:tc>
          <w:tcPr>
            <w:vAlign w:val="center"/>
          </w:tcPr>
          <w:p>
            <w:pPr>
              <w:jc w:val="center"/>
            </w:pPr>
            <w:r>
              <w:rPr>
                <w:color w:val="000000"/>
                <w:sz w:val="24"/>
              </w:rPr>
              <w:t>600161</w:t>
            </w:r>
          </w:p>
        </w:tc>
        <w:tc>
          <w:tcPr>
            <w:vAlign w:val="center"/>
          </w:tcPr>
          <w:p>
            <w:pPr>
              <w:jc w:val="center"/>
            </w:pPr>
            <w:r>
              <w:rPr>
                <w:color w:val="000000"/>
                <w:sz w:val="24"/>
              </w:rPr>
              <w:t>天坛生物</w:t>
            </w:r>
          </w:p>
        </w:tc>
        <w:tc>
          <w:tcPr>
            <w:vAlign w:val="center"/>
          </w:tcPr>
          <w:p>
            <w:pPr>
              <w:jc w:val="right"/>
            </w:pPr>
            <w:r>
              <w:rPr>
                <w:color w:val="000000"/>
                <w:sz w:val="24"/>
              </w:rPr>
              <w:t>741,524</w:t>
            </w:r>
          </w:p>
        </w:tc>
        <w:tc>
          <w:tcPr>
            <w:vAlign w:val="center"/>
          </w:tcPr>
          <w:p>
            <w:pPr>
              <w:jc w:val="right"/>
            </w:pPr>
            <w:r>
              <w:rPr>
                <w:color w:val="000000"/>
                <w:sz w:val="24"/>
              </w:rPr>
              <w:t>33,613,282.92</w:t>
            </w:r>
          </w:p>
        </w:tc>
        <w:tc>
          <w:tcPr>
            <w:vAlign w:val="center"/>
          </w:tcPr>
          <w:p>
            <w:pPr>
              <w:jc w:val="right"/>
            </w:pPr>
            <w:r>
              <w:rPr>
                <w:color w:val="000000"/>
                <w:sz w:val="24"/>
              </w:rPr>
              <w:t>6.52</w:t>
            </w:r>
          </w:p>
        </w:tc>
      </w:tr>
      <w:tr>
        <w:tc>
          <w:tcPr>
            <w:vAlign w:val="center"/>
          </w:tcPr>
          <w:p>
            <w:pPr>
              <w:jc w:val="center"/>
            </w:pPr>
            <w:r>
              <w:rPr>
                <w:color w:val="000000"/>
                <w:sz w:val="24"/>
              </w:rPr>
              <w:t>7</w:t>
            </w:r>
          </w:p>
        </w:tc>
        <w:tc>
          <w:tcPr>
            <w:vAlign w:val="center"/>
          </w:tcPr>
          <w:p>
            <w:pPr>
              <w:jc w:val="center"/>
            </w:pPr>
            <w:r>
              <w:rPr>
                <w:color w:val="000000"/>
                <w:sz w:val="24"/>
              </w:rPr>
              <w:t>688188</w:t>
            </w:r>
          </w:p>
        </w:tc>
        <w:tc>
          <w:tcPr>
            <w:vAlign w:val="center"/>
          </w:tcPr>
          <w:p>
            <w:pPr>
              <w:jc w:val="center"/>
            </w:pPr>
            <w:r>
              <w:rPr>
                <w:color w:val="000000"/>
                <w:sz w:val="24"/>
              </w:rPr>
              <w:t>柏楚电子</w:t>
            </w:r>
          </w:p>
        </w:tc>
        <w:tc>
          <w:tcPr>
            <w:vAlign w:val="center"/>
          </w:tcPr>
          <w:p>
            <w:pPr>
              <w:jc w:val="right"/>
            </w:pPr>
            <w:r>
              <w:rPr>
                <w:color w:val="000000"/>
                <w:sz w:val="24"/>
              </w:rPr>
              <w:t>194,856</w:t>
            </w:r>
          </w:p>
        </w:tc>
        <w:tc>
          <w:tcPr>
            <w:vAlign w:val="center"/>
          </w:tcPr>
          <w:p>
            <w:pPr>
              <w:jc w:val="right"/>
            </w:pPr>
            <w:r>
              <w:rPr>
                <w:color w:val="000000"/>
                <w:sz w:val="24"/>
              </w:rPr>
              <w:t>31,781,013.60</w:t>
            </w:r>
          </w:p>
        </w:tc>
        <w:tc>
          <w:tcPr>
            <w:vAlign w:val="center"/>
          </w:tcPr>
          <w:p>
            <w:pPr>
              <w:jc w:val="right"/>
            </w:pPr>
            <w:r>
              <w:rPr>
                <w:color w:val="000000"/>
                <w:sz w:val="24"/>
              </w:rPr>
              <w:t>6.17</w:t>
            </w:r>
          </w:p>
        </w:tc>
      </w:tr>
      <w:tr>
        <w:tc>
          <w:tcPr>
            <w:vAlign w:val="center"/>
          </w:tcPr>
          <w:p>
            <w:pPr>
              <w:jc w:val="center"/>
            </w:pPr>
            <w:r>
              <w:rPr>
                <w:color w:val="000000"/>
                <w:sz w:val="24"/>
              </w:rPr>
              <w:t>8</w:t>
            </w:r>
          </w:p>
        </w:tc>
        <w:tc>
          <w:tcPr>
            <w:vAlign w:val="center"/>
          </w:tcPr>
          <w:p>
            <w:pPr>
              <w:jc w:val="center"/>
            </w:pPr>
            <w:r>
              <w:rPr>
                <w:color w:val="000000"/>
                <w:sz w:val="24"/>
              </w:rPr>
              <w:t>600600</w:t>
            </w:r>
          </w:p>
        </w:tc>
        <w:tc>
          <w:tcPr>
            <w:vAlign w:val="center"/>
          </w:tcPr>
          <w:p>
            <w:pPr>
              <w:jc w:val="center"/>
            </w:pPr>
            <w:r>
              <w:rPr>
                <w:color w:val="000000"/>
                <w:sz w:val="24"/>
              </w:rPr>
              <w:t>青岛啤酒</w:t>
            </w:r>
          </w:p>
        </w:tc>
        <w:tc>
          <w:tcPr>
            <w:vAlign w:val="center"/>
          </w:tcPr>
          <w:p>
            <w:pPr>
              <w:jc w:val="right"/>
            </w:pPr>
            <w:r>
              <w:rPr>
                <w:color w:val="000000"/>
                <w:sz w:val="24"/>
              </w:rPr>
              <w:t>360,400</w:t>
            </w:r>
          </w:p>
        </w:tc>
        <w:tc>
          <w:tcPr>
            <w:vAlign w:val="center"/>
          </w:tcPr>
          <w:p>
            <w:pPr>
              <w:jc w:val="right"/>
            </w:pPr>
            <w:r>
              <w:rPr>
                <w:color w:val="000000"/>
                <w:sz w:val="24"/>
              </w:rPr>
              <w:t>27,570,600.00</w:t>
            </w:r>
          </w:p>
        </w:tc>
        <w:tc>
          <w:tcPr>
            <w:vAlign w:val="center"/>
          </w:tcPr>
          <w:p>
            <w:pPr>
              <w:jc w:val="right"/>
            </w:pPr>
            <w:r>
              <w:rPr>
                <w:color w:val="000000"/>
                <w:sz w:val="24"/>
              </w:rPr>
              <w:t>5.35</w:t>
            </w:r>
          </w:p>
        </w:tc>
      </w:tr>
      <w:tr>
        <w:tc>
          <w:tcPr>
            <w:vAlign w:val="center"/>
          </w:tcPr>
          <w:p>
            <w:pPr>
              <w:jc w:val="center"/>
            </w:pPr>
            <w:r>
              <w:rPr>
                <w:color w:val="000000"/>
                <w:sz w:val="24"/>
              </w:rPr>
              <w:t>9</w:t>
            </w:r>
          </w:p>
        </w:tc>
        <w:tc>
          <w:tcPr>
            <w:vAlign w:val="center"/>
          </w:tcPr>
          <w:p>
            <w:pPr>
              <w:jc w:val="center"/>
            </w:pPr>
            <w:r>
              <w:rPr>
                <w:color w:val="000000"/>
                <w:sz w:val="24"/>
              </w:rPr>
              <w:t>000860</w:t>
            </w:r>
          </w:p>
        </w:tc>
        <w:tc>
          <w:tcPr>
            <w:vAlign w:val="center"/>
          </w:tcPr>
          <w:p>
            <w:pPr>
              <w:jc w:val="center"/>
            </w:pPr>
            <w:r>
              <w:rPr>
                <w:color w:val="000000"/>
                <w:sz w:val="24"/>
              </w:rPr>
              <w:t>顺鑫农业</w:t>
            </w:r>
          </w:p>
        </w:tc>
        <w:tc>
          <w:tcPr>
            <w:vAlign w:val="center"/>
          </w:tcPr>
          <w:p>
            <w:pPr>
              <w:jc w:val="right"/>
            </w:pPr>
            <w:r>
              <w:rPr>
                <w:color w:val="000000"/>
                <w:sz w:val="24"/>
              </w:rPr>
              <w:t>458,690</w:t>
            </w:r>
          </w:p>
        </w:tc>
        <w:tc>
          <w:tcPr>
            <w:vAlign w:val="center"/>
          </w:tcPr>
          <w:p>
            <w:pPr>
              <w:jc w:val="right"/>
            </w:pPr>
            <w:r>
              <w:rPr>
                <w:color w:val="000000"/>
                <w:sz w:val="24"/>
              </w:rPr>
              <w:t>26,136,156.20</w:t>
            </w:r>
          </w:p>
        </w:tc>
        <w:tc>
          <w:tcPr>
            <w:vAlign w:val="center"/>
          </w:tcPr>
          <w:p>
            <w:pPr>
              <w:jc w:val="right"/>
            </w:pPr>
            <w:r>
              <w:rPr>
                <w:color w:val="000000"/>
                <w:sz w:val="24"/>
              </w:rPr>
              <w:t>5.07</w:t>
            </w:r>
          </w:p>
        </w:tc>
      </w:tr>
      <w:tr>
        <w:tc>
          <w:tcPr>
            <w:vAlign w:val="center"/>
          </w:tcPr>
          <w:p>
            <w:pPr>
              <w:jc w:val="center"/>
            </w:pPr>
            <w:r>
              <w:rPr>
                <w:color w:val="000000"/>
                <w:sz w:val="24"/>
              </w:rPr>
              <w:t>10</w:t>
            </w:r>
          </w:p>
        </w:tc>
        <w:tc>
          <w:tcPr>
            <w:vAlign w:val="center"/>
          </w:tcPr>
          <w:p>
            <w:pPr>
              <w:jc w:val="center"/>
            </w:pPr>
            <w:r>
              <w:rPr>
                <w:color w:val="000000"/>
                <w:sz w:val="24"/>
              </w:rPr>
              <w:t>600486</w:t>
            </w:r>
          </w:p>
        </w:tc>
        <w:tc>
          <w:tcPr>
            <w:vAlign w:val="center"/>
          </w:tcPr>
          <w:p>
            <w:pPr>
              <w:jc w:val="center"/>
            </w:pPr>
            <w:r>
              <w:rPr>
                <w:color w:val="000000"/>
                <w:sz w:val="24"/>
              </w:rPr>
              <w:t>扬农化工</w:t>
            </w:r>
          </w:p>
        </w:tc>
        <w:tc>
          <w:tcPr>
            <w:vAlign w:val="center"/>
          </w:tcPr>
          <w:p>
            <w:pPr>
              <w:jc w:val="right"/>
            </w:pPr>
            <w:r>
              <w:rPr>
                <w:color w:val="000000"/>
                <w:sz w:val="24"/>
              </w:rPr>
              <w:t>312,701</w:t>
            </w:r>
          </w:p>
        </w:tc>
        <w:tc>
          <w:tcPr>
            <w:vAlign w:val="center"/>
          </w:tcPr>
          <w:p>
            <w:pPr>
              <w:jc w:val="right"/>
            </w:pPr>
            <w:r>
              <w:rPr>
                <w:color w:val="000000"/>
                <w:sz w:val="24"/>
              </w:rPr>
              <w:t>25,797,832.50</w:t>
            </w:r>
          </w:p>
        </w:tc>
        <w:tc>
          <w:tcPr>
            <w:vAlign w:val="center"/>
          </w:tcPr>
          <w:p>
            <w:pPr>
              <w:jc w:val="right"/>
            </w:pPr>
            <w:r>
              <w:rPr>
                <w:color w:val="000000"/>
                <w:sz w:val="24"/>
              </w:rPr>
              <w:t>5.01</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26,013,000.00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5.05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26,013,000.00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5.05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019627</w:t>
            </w:r>
          </w:p>
        </w:tc>
        <w:tc>
          <w:tcPr>
            <w:vAlign w:val="center"/>
          </w:tcPr>
          <w:p>
            <w:pPr>
              <w:jc w:val="center"/>
            </w:pPr>
            <w:r>
              <w:rPr>
                <w:color w:val="000000"/>
                <w:sz w:val="24"/>
              </w:rPr>
              <w:t>20国债01</w:t>
            </w:r>
          </w:p>
        </w:tc>
        <w:tc>
          <w:tcPr>
            <w:vAlign w:val="center"/>
          </w:tcPr>
          <w:p>
            <w:pPr>
              <w:jc w:val="right"/>
            </w:pPr>
            <w:r>
              <w:rPr>
                <w:color w:val="000000"/>
                <w:sz w:val="24"/>
              </w:rPr>
              <w:t>260,000</w:t>
            </w:r>
          </w:p>
        </w:tc>
        <w:tc>
          <w:tcPr>
            <w:vAlign w:val="center"/>
          </w:tcPr>
          <w:p>
            <w:pPr>
              <w:jc w:val="right"/>
            </w:pPr>
            <w:r>
              <w:rPr>
                <w:color w:val="000000"/>
                <w:sz w:val="24"/>
              </w:rPr>
              <w:t>26,013,000.00</w:t>
            </w:r>
          </w:p>
        </w:tc>
        <w:tc>
          <w:tcPr>
            <w:vAlign w:val="center"/>
          </w:tcPr>
          <w:p>
            <w:pPr>
              <w:jc w:val="right"/>
            </w:pPr>
            <w:r>
              <w:rPr>
                <w:color w:val="000000"/>
                <w:sz w:val="24"/>
              </w:rPr>
              <w:t>5.05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267,559.25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517,697.78</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282,101.36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5,007,642.49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6,075,000.88</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易方达新收益混合A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易方达新收益混合C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102,156,986.14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161,364,640.78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18,923,708.83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29,471,706.48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36,364,738.45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69,018,525.66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84,715,956.52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121,817,821.60</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2020年04月01日~2020年06月23日</w:t>
            </w:r>
          </w:p>
        </w:tc>
        <w:tc>
          <w:tcPr>
            <w:vAlign w:val="center"/>
          </w:tcPr>
          <w:p>
            <w:pPr>
              <w:jc w:val="center"/>
            </w:pPr>
            <w:r>
              <w:rPr>
                <w:sz w:val="24"/>
              </w:rPr>
              <w:t>61,311,465.36</w:t>
            </w:r>
          </w:p>
        </w:tc>
        <w:tc>
          <w:tcPr>
            <w:vAlign w:val="center"/>
          </w:tcPr>
          <w:p>
            <w:pPr>
              <w:jc w:val="center"/>
            </w:pPr>
            <w:r>
              <w:rPr>
                <w:sz w:val="24"/>
              </w:rPr>
              <w:t>-</w:t>
            </w:r>
          </w:p>
        </w:tc>
        <w:tc>
          <w:tcPr>
            <w:vAlign w:val="center"/>
          </w:tcPr>
          <w:p>
            <w:pPr>
              <w:jc w:val="center"/>
            </w:pPr>
            <w:r>
              <w:rPr>
                <w:sz w:val="24"/>
              </w:rPr>
              <w:t>29,311,465.36</w:t>
            </w:r>
          </w:p>
        </w:tc>
        <w:tc>
          <w:tcPr>
            <w:vAlign w:val="center"/>
          </w:tcPr>
          <w:p>
            <w:pPr>
              <w:jc w:val="center"/>
            </w:pPr>
            <w:r>
              <w:rPr>
                <w:sz w:val="24"/>
              </w:rPr>
              <w:t>32,000,000.00</w:t>
            </w:r>
          </w:p>
        </w:tc>
        <w:tc>
          <w:tcPr>
            <w:vAlign w:val="center"/>
          </w:tcPr>
          <w:p>
            <w:pPr>
              <w:jc w:val="center"/>
            </w:pPr>
            <w:r>
              <w:rPr>
                <w:sz w:val="24"/>
              </w:rPr>
              <w:t>15.49%</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1.中国证监会准予易方达新收益灵活配置混合型证券投资基金注册的文件；</w:t>
      </w:r>
    </w:p>
    <w:p>
      <w:pPr>
        <w:spacing w:line="360" w:lineRule="auto"/>
        <w:ind w:firstLine="480" w:firstLineChars="200"/>
        <w:rPr>
          <w:color w:val="000000"/>
          <w:sz w:val="24"/>
        </w:rPr>
      </w:pPr>
      <w:r>
        <w:rPr>
          <w:color w:val="000000"/>
          <w:sz w:val="24"/>
        </w:rPr>
        <w:t>2.《易方达新收益灵活配置混合型证券投资基金基金合同》；</w:t>
      </w:r>
    </w:p>
    <w:p>
      <w:pPr>
        <w:spacing w:line="360" w:lineRule="auto"/>
        <w:ind w:firstLine="480" w:firstLineChars="200"/>
        <w:rPr>
          <w:color w:val="000000"/>
          <w:sz w:val="24"/>
        </w:rPr>
      </w:pPr>
      <w:r>
        <w:rPr>
          <w:color w:val="000000"/>
          <w:sz w:val="24"/>
        </w:rPr>
        <w:t>3.《易方达新收益灵活配置混合型证券投资基金托管协议》；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易方达新收益灵活配置混合型证券投资基金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