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易方达新常态灵活配置混合型证券投资基金</w:t>
      </w: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2020年第2季度报告</w:t>
      </w:r>
    </w:p>
    <w:p w:rsidR="00750D48" w:rsidRPr="00093704" w:rsidRDefault="00750D48" w:rsidP="00542546">
      <w:pPr>
        <w:spacing w:line="360" w:lineRule="auto"/>
        <w:jc w:val="center"/>
        <w:rPr>
          <w:rFonts w:ascii="宋体" w:hAnsi="宋体"/>
          <w:b/>
          <w:sz w:val="24"/>
          <w:szCs w:val="24"/>
        </w:rPr>
      </w:pPr>
      <w:r w:rsidRPr="00093704">
        <w:rPr>
          <w:rFonts w:ascii="宋体" w:hAnsi="宋体"/>
          <w:b/>
          <w:sz w:val="24"/>
          <w:szCs w:val="24"/>
        </w:rPr>
        <w:t>2020年6月30日</w:t>
      </w: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rPr>
          <w:rFonts w:ascii="宋体"/>
          <w:b/>
          <w:bCs/>
          <w:color w:val="000000"/>
          <w:sz w:val="24"/>
          <w:szCs w:val="24"/>
        </w:rPr>
      </w:pP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hAnsi="宋体"/>
          <w:b/>
          <w:color w:val="000000"/>
          <w:sz w:val="24"/>
          <w:szCs w:val="24"/>
        </w:rPr>
        <w:t>易方达基金管理有限公司</w:t>
      </w: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hAnsi="宋体"/>
          <w:b/>
          <w:color w:val="000000"/>
          <w:sz w:val="24"/>
          <w:szCs w:val="24"/>
        </w:rPr>
        <w:t>中国工商银行股份有限公司</w:t>
      </w:r>
    </w:p>
    <w:p w:rsidR="00750D48" w:rsidRPr="00264E55" w:rsidRDefault="00750D48" w:rsidP="00EB572F">
      <w:pPr>
        <w:spacing w:line="360" w:lineRule="auto"/>
        <w:ind w:firstLineChars="900" w:firstLine="2168"/>
        <w:rPr>
          <w:rFonts w:ascii="宋体" w:hAnsi="宋体"/>
          <w:b/>
          <w:color w:val="000000"/>
          <w:sz w:val="24"/>
          <w:szCs w:val="24"/>
        </w:rPr>
        <w:sectPr w:rsidR="00750D48" w:rsidRPr="00264E55" w:rsidSect="00304A12">
          <w:headerReference w:type="default" r:id="rId8"/>
          <w:footerReference w:type="default" r:id="rId9"/>
          <w:pgSz w:w="11926" w:h="15840"/>
          <w:pgMar w:top="1418" w:right="1418" w:bottom="851" w:left="1418" w:header="851" w:footer="992" w:gutter="0"/>
          <w:cols w:space="720"/>
          <w:noEndnote/>
        </w:sectPr>
      </w:pPr>
      <w:r w:rsidRPr="00264E55">
        <w:rPr>
          <w:rFonts w:ascii="宋体" w:hAnsi="宋体" w:hint="eastAsia"/>
          <w:b/>
          <w:color w:val="000000"/>
          <w:sz w:val="24"/>
          <w:szCs w:val="24"/>
        </w:rPr>
        <w:t>报告送出日期：</w:t>
      </w:r>
      <w:r w:rsidRPr="00264E55">
        <w:rPr>
          <w:rFonts w:ascii="宋体" w:hAnsi="宋体"/>
          <w:b/>
          <w:color w:val="000000"/>
          <w:sz w:val="24"/>
          <w:szCs w:val="24"/>
        </w:rPr>
        <w:t>二〇二〇年七月二十一日</w:t>
      </w:r>
    </w:p>
    <w:p w:rsidR="00750D48" w:rsidRPr="00264E55" w:rsidRDefault="00750D48" w:rsidP="004D28A3">
      <w:pPr>
        <w:pStyle w:val="1"/>
        <w:spacing w:beforeLines="100" w:before="312" w:afterLines="100" w:after="312"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rsidR="00841934" w:rsidRDefault="009E2552">
      <w:pPr>
        <w:spacing w:line="360" w:lineRule="auto"/>
        <w:ind w:firstLineChars="200" w:firstLine="480"/>
        <w:rPr>
          <w:color w:val="000000"/>
          <w:sz w:val="24"/>
          <w:szCs w:val="24"/>
        </w:rPr>
      </w:pPr>
      <w:r>
        <w:rPr>
          <w:color w:val="000000"/>
          <w:sz w:val="24"/>
          <w:szCs w:val="24"/>
        </w:rPr>
        <w:t>基金管理人的董事会及董事保证本报告所载资料不存在虚假记载、误导性陈述或重大遗漏，并对其内容的真实性、准确性和完整性承担个别及连带责任。</w:t>
      </w:r>
      <w:r>
        <w:rPr>
          <w:color w:val="000000"/>
          <w:sz w:val="24"/>
          <w:szCs w:val="24"/>
        </w:rPr>
        <w:t xml:space="preserve"> </w:t>
      </w:r>
    </w:p>
    <w:p w:rsidR="00841934" w:rsidRDefault="009E2552">
      <w:pPr>
        <w:spacing w:line="360" w:lineRule="auto"/>
        <w:ind w:firstLineChars="200" w:firstLine="480"/>
        <w:rPr>
          <w:color w:val="000000"/>
          <w:sz w:val="24"/>
          <w:szCs w:val="24"/>
        </w:rPr>
      </w:pPr>
      <w:r>
        <w:rPr>
          <w:color w:val="000000"/>
          <w:sz w:val="24"/>
          <w:szCs w:val="24"/>
        </w:rPr>
        <w:t>基金托管人中国工商银行股份有限公司根据本基金合同规定，于</w:t>
      </w:r>
      <w:r>
        <w:rPr>
          <w:color w:val="000000"/>
          <w:sz w:val="24"/>
          <w:szCs w:val="24"/>
        </w:rPr>
        <w:t>2020</w:t>
      </w:r>
      <w:r>
        <w:rPr>
          <w:color w:val="000000"/>
          <w:sz w:val="24"/>
          <w:szCs w:val="24"/>
        </w:rPr>
        <w:t>年</w:t>
      </w:r>
      <w:r>
        <w:rPr>
          <w:color w:val="000000"/>
          <w:sz w:val="24"/>
          <w:szCs w:val="24"/>
        </w:rPr>
        <w:t>7</w:t>
      </w:r>
      <w:r>
        <w:rPr>
          <w:color w:val="000000"/>
          <w:sz w:val="24"/>
          <w:szCs w:val="24"/>
        </w:rPr>
        <w:t>月</w:t>
      </w:r>
      <w:r>
        <w:rPr>
          <w:color w:val="000000"/>
          <w:sz w:val="24"/>
          <w:szCs w:val="24"/>
        </w:rPr>
        <w:t>17</w:t>
      </w:r>
      <w:r>
        <w:rPr>
          <w:color w:val="000000"/>
          <w:sz w:val="24"/>
          <w:szCs w:val="24"/>
        </w:rPr>
        <w:t>日复核了本报告中的财务指标、净值表现和投资组合报告等内容，保证复核内容不存在虚假记载、误导性陈述或者重大遗漏。</w:t>
      </w:r>
      <w:r>
        <w:rPr>
          <w:color w:val="000000"/>
          <w:sz w:val="24"/>
          <w:szCs w:val="24"/>
        </w:rPr>
        <w:t xml:space="preserve"> </w:t>
      </w:r>
    </w:p>
    <w:p w:rsidR="00841934" w:rsidRDefault="009E2552">
      <w:pPr>
        <w:spacing w:line="360" w:lineRule="auto"/>
        <w:ind w:firstLineChars="200" w:firstLine="480"/>
        <w:rPr>
          <w:color w:val="000000"/>
          <w:sz w:val="24"/>
          <w:szCs w:val="24"/>
        </w:rPr>
      </w:pPr>
      <w:r>
        <w:rPr>
          <w:color w:val="000000"/>
          <w:sz w:val="24"/>
          <w:szCs w:val="24"/>
        </w:rPr>
        <w:t>基金管理人承诺以诚实信用、勤勉尽责的原则管理和运用基金资产，但不保证基金一定盈利。</w:t>
      </w:r>
      <w:r>
        <w:rPr>
          <w:color w:val="000000"/>
          <w:sz w:val="24"/>
          <w:szCs w:val="24"/>
        </w:rPr>
        <w:t xml:space="preserve"> </w:t>
      </w:r>
    </w:p>
    <w:p w:rsidR="00841934" w:rsidRDefault="009E2552">
      <w:pPr>
        <w:spacing w:line="360" w:lineRule="auto"/>
        <w:ind w:firstLineChars="200" w:firstLine="480"/>
        <w:rPr>
          <w:color w:val="000000"/>
          <w:sz w:val="24"/>
          <w:szCs w:val="24"/>
        </w:rPr>
      </w:pPr>
      <w:r>
        <w:rPr>
          <w:color w:val="000000"/>
          <w:sz w:val="24"/>
          <w:szCs w:val="24"/>
        </w:rPr>
        <w:t>基金的过往业绩并不代表其未来表现。投资有风险，投资者在作出投资决策前应仔细阅读本基金的招募说明书。</w:t>
      </w:r>
      <w:r>
        <w:rPr>
          <w:color w:val="000000"/>
          <w:sz w:val="24"/>
          <w:szCs w:val="24"/>
        </w:rPr>
        <w:t xml:space="preserve"> </w:t>
      </w:r>
    </w:p>
    <w:p w:rsidR="00841934" w:rsidRDefault="009E2552">
      <w:pPr>
        <w:spacing w:line="360" w:lineRule="auto"/>
        <w:ind w:firstLineChars="200" w:firstLine="480"/>
        <w:rPr>
          <w:color w:val="000000"/>
          <w:sz w:val="24"/>
          <w:szCs w:val="24"/>
        </w:rPr>
      </w:pPr>
      <w:r>
        <w:rPr>
          <w:color w:val="000000"/>
          <w:sz w:val="24"/>
          <w:szCs w:val="24"/>
        </w:rPr>
        <w:t>本报告中财务资料未经审计。</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本报告期自</w:t>
      </w:r>
      <w:r w:rsidRPr="006C56AA">
        <w:rPr>
          <w:color w:val="000000"/>
          <w:sz w:val="24"/>
          <w:szCs w:val="24"/>
        </w:rPr>
        <w:t>2020</w:t>
      </w:r>
      <w:r w:rsidRPr="006C56AA">
        <w:rPr>
          <w:color w:val="000000"/>
          <w:sz w:val="24"/>
          <w:szCs w:val="24"/>
        </w:rPr>
        <w:t>年</w:t>
      </w:r>
      <w:r w:rsidRPr="006C56AA">
        <w:rPr>
          <w:color w:val="000000"/>
          <w:sz w:val="24"/>
          <w:szCs w:val="24"/>
        </w:rPr>
        <w:t>4</w:t>
      </w:r>
      <w:r w:rsidRPr="006C56AA">
        <w:rPr>
          <w:color w:val="000000"/>
          <w:sz w:val="24"/>
          <w:szCs w:val="24"/>
        </w:rPr>
        <w:t>月</w:t>
      </w:r>
      <w:r w:rsidRPr="006C56AA">
        <w:rPr>
          <w:color w:val="000000"/>
          <w:sz w:val="24"/>
          <w:szCs w:val="24"/>
        </w:rPr>
        <w:t>1</w:t>
      </w:r>
      <w:r w:rsidRPr="006C56AA">
        <w:rPr>
          <w:color w:val="000000"/>
          <w:sz w:val="24"/>
          <w:szCs w:val="24"/>
        </w:rPr>
        <w:t>日起至</w:t>
      </w:r>
      <w:r w:rsidRPr="006C56AA">
        <w:rPr>
          <w:color w:val="000000"/>
          <w:sz w:val="24"/>
          <w:szCs w:val="24"/>
        </w:rPr>
        <w:t>6</w:t>
      </w:r>
      <w:r w:rsidRPr="006C56AA">
        <w:rPr>
          <w:color w:val="000000"/>
          <w:sz w:val="24"/>
          <w:szCs w:val="24"/>
        </w:rPr>
        <w:t>月</w:t>
      </w:r>
      <w:r w:rsidRPr="006C56AA">
        <w:rPr>
          <w:color w:val="000000"/>
          <w:sz w:val="24"/>
          <w:szCs w:val="24"/>
        </w:rPr>
        <w:t>30</w:t>
      </w:r>
      <w:r w:rsidRPr="006C56AA">
        <w:rPr>
          <w:color w:val="000000"/>
          <w:sz w:val="24"/>
          <w:szCs w:val="24"/>
        </w:rPr>
        <w:t>日止。</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479"/>
      </w:tblGrid>
      <w:tr w:rsidR="00750D48" w:rsidRPr="00264E55" w:rsidTr="00500A03">
        <w:tc>
          <w:tcPr>
            <w:tcW w:w="2835" w:type="dxa"/>
          </w:tcPr>
          <w:p w:rsidR="00750D48" w:rsidRPr="00232B03" w:rsidRDefault="00750D48" w:rsidP="007B5AFB">
            <w:pPr>
              <w:adjustRightInd w:val="0"/>
              <w:spacing w:before="29" w:line="360" w:lineRule="auto"/>
              <w:ind w:left="17"/>
              <w:jc w:val="left"/>
              <w:rPr>
                <w:kern w:val="0"/>
                <w:sz w:val="24"/>
                <w:szCs w:val="24"/>
              </w:rPr>
            </w:pPr>
            <w:r w:rsidRPr="00232B03">
              <w:rPr>
                <w:kern w:val="0"/>
                <w:sz w:val="24"/>
                <w:szCs w:val="24"/>
              </w:rPr>
              <w:t>基金简称</w:t>
            </w:r>
          </w:p>
        </w:tc>
        <w:tc>
          <w:tcPr>
            <w:tcW w:w="5479" w:type="dxa"/>
          </w:tcPr>
          <w:p w:rsidR="00750D48" w:rsidRPr="00232B03" w:rsidRDefault="00750D48" w:rsidP="007B5AFB">
            <w:pPr>
              <w:adjustRightInd w:val="0"/>
              <w:spacing w:before="29" w:line="360" w:lineRule="auto"/>
              <w:ind w:left="17"/>
              <w:jc w:val="left"/>
              <w:rPr>
                <w:color w:val="000000"/>
                <w:kern w:val="0"/>
                <w:sz w:val="24"/>
                <w:szCs w:val="24"/>
              </w:rPr>
            </w:pPr>
            <w:r w:rsidRPr="00232B03">
              <w:rPr>
                <w:color w:val="000000"/>
                <w:kern w:val="0"/>
                <w:sz w:val="24"/>
                <w:szCs w:val="24"/>
              </w:rPr>
              <w:t>易方达新常态混合</w:t>
            </w:r>
          </w:p>
        </w:tc>
      </w:tr>
      <w:tr w:rsidR="00750D48" w:rsidRPr="00264E55" w:rsidTr="00D94B8D">
        <w:tc>
          <w:tcPr>
            <w:tcW w:w="2835" w:type="dxa"/>
          </w:tcPr>
          <w:p w:rsidR="00750D48" w:rsidRPr="00232B03" w:rsidRDefault="00750D48">
            <w:pPr>
              <w:adjustRightInd w:val="0"/>
              <w:spacing w:before="29" w:line="360" w:lineRule="auto"/>
              <w:ind w:left="17"/>
              <w:jc w:val="left"/>
              <w:rPr>
                <w:kern w:val="0"/>
                <w:sz w:val="24"/>
                <w:szCs w:val="24"/>
              </w:rPr>
            </w:pPr>
            <w:r w:rsidRPr="00232B03">
              <w:rPr>
                <w:kern w:val="0"/>
                <w:sz w:val="24"/>
                <w:szCs w:val="24"/>
              </w:rPr>
              <w:t>基金主代码</w:t>
            </w:r>
          </w:p>
        </w:tc>
        <w:tc>
          <w:tcPr>
            <w:tcW w:w="5479" w:type="dxa"/>
          </w:tcPr>
          <w:p w:rsidR="00750D48" w:rsidRPr="00232B03" w:rsidRDefault="00750D48">
            <w:pPr>
              <w:adjustRightInd w:val="0"/>
              <w:spacing w:before="29" w:line="360" w:lineRule="auto"/>
              <w:ind w:left="17"/>
              <w:jc w:val="left"/>
              <w:rPr>
                <w:color w:val="000000"/>
                <w:kern w:val="0"/>
                <w:sz w:val="24"/>
                <w:szCs w:val="24"/>
              </w:rPr>
            </w:pPr>
            <w:r w:rsidRPr="00232B03">
              <w:rPr>
                <w:color w:val="000000"/>
                <w:kern w:val="0"/>
                <w:sz w:val="24"/>
                <w:szCs w:val="24"/>
              </w:rPr>
              <w:t>001184</w:t>
            </w:r>
          </w:p>
        </w:tc>
      </w:tr>
      <w:tr w:rsidR="00750D48" w:rsidRPr="00264E55" w:rsidTr="00D94B8D">
        <w:tc>
          <w:tcPr>
            <w:tcW w:w="2835" w:type="dxa"/>
          </w:tcPr>
          <w:p w:rsidR="00750D48" w:rsidRPr="00232B03" w:rsidRDefault="00750D48" w:rsidP="00895A8A">
            <w:pPr>
              <w:adjustRightInd w:val="0"/>
              <w:spacing w:before="29" w:line="360" w:lineRule="auto"/>
              <w:ind w:left="17"/>
              <w:jc w:val="left"/>
              <w:rPr>
                <w:kern w:val="0"/>
                <w:sz w:val="24"/>
                <w:szCs w:val="24"/>
              </w:rPr>
            </w:pPr>
            <w:r w:rsidRPr="00232B03">
              <w:rPr>
                <w:kern w:val="0"/>
                <w:sz w:val="24"/>
                <w:szCs w:val="24"/>
              </w:rPr>
              <w:t>交易代码</w:t>
            </w:r>
          </w:p>
        </w:tc>
        <w:tc>
          <w:tcPr>
            <w:tcW w:w="5479" w:type="dxa"/>
          </w:tcPr>
          <w:p w:rsidR="00750D48" w:rsidRPr="00232B03" w:rsidRDefault="00750D48" w:rsidP="00895A8A">
            <w:pPr>
              <w:adjustRightInd w:val="0"/>
              <w:spacing w:before="29" w:line="360" w:lineRule="auto"/>
              <w:ind w:left="17"/>
              <w:jc w:val="left"/>
              <w:rPr>
                <w:color w:val="000000"/>
                <w:kern w:val="0"/>
                <w:sz w:val="24"/>
                <w:szCs w:val="24"/>
              </w:rPr>
            </w:pPr>
            <w:r w:rsidRPr="00232B03">
              <w:rPr>
                <w:kern w:val="0"/>
                <w:sz w:val="24"/>
              </w:rPr>
              <w:t>001184</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基金运作方式</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契约型开放式</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基金合同生效日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2015</w:t>
            </w:r>
            <w:r w:rsidRPr="00232B03">
              <w:rPr>
                <w:color w:val="000000"/>
                <w:kern w:val="0"/>
                <w:sz w:val="24"/>
                <w:szCs w:val="24"/>
              </w:rPr>
              <w:t>年</w:t>
            </w:r>
            <w:r w:rsidRPr="00232B03">
              <w:rPr>
                <w:color w:val="000000"/>
                <w:kern w:val="0"/>
                <w:sz w:val="24"/>
                <w:szCs w:val="24"/>
              </w:rPr>
              <w:t>4</w:t>
            </w:r>
            <w:r w:rsidRPr="00232B03">
              <w:rPr>
                <w:color w:val="000000"/>
                <w:kern w:val="0"/>
                <w:sz w:val="24"/>
                <w:szCs w:val="24"/>
              </w:rPr>
              <w:t>月</w:t>
            </w:r>
            <w:r w:rsidRPr="00232B03">
              <w:rPr>
                <w:color w:val="000000"/>
                <w:kern w:val="0"/>
                <w:sz w:val="24"/>
                <w:szCs w:val="24"/>
              </w:rPr>
              <w:t>30</w:t>
            </w:r>
            <w:r w:rsidRPr="00232B03">
              <w:rPr>
                <w:color w:val="000000"/>
                <w:kern w:val="0"/>
                <w:sz w:val="24"/>
                <w:szCs w:val="24"/>
              </w:rPr>
              <w:t>日</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报告期末基金份额总额</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5,169,821,948.57</w:t>
            </w:r>
            <w:r w:rsidRPr="00232B03">
              <w:rPr>
                <w:color w:val="000000"/>
                <w:kern w:val="0"/>
                <w:sz w:val="24"/>
                <w:szCs w:val="24"/>
              </w:rPr>
              <w:t>份</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投资目标</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本基金在控制风险的前提下，追求超越业绩比较基准的投资回报。</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投资策略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基于定量与定性相结合的宏观及市场分析，确定组合中股票、债券等资产类别的配置比例。在资产配置的基础上，本基金重点关注在中国经济呈现出增速放缓、结构不断优化、增长动力从要素驱动和投资驱动转向创新驱动的</w:t>
            </w:r>
            <w:r w:rsidRPr="00232B03">
              <w:rPr>
                <w:color w:val="000000"/>
                <w:kern w:val="0"/>
                <w:sz w:val="24"/>
                <w:szCs w:val="24"/>
              </w:rPr>
              <w:t>“</w:t>
            </w:r>
            <w:r w:rsidRPr="00232B03">
              <w:rPr>
                <w:color w:val="000000"/>
                <w:kern w:val="0"/>
                <w:sz w:val="24"/>
                <w:szCs w:val="24"/>
              </w:rPr>
              <w:t>新常</w:t>
            </w:r>
            <w:r w:rsidRPr="00232B03">
              <w:rPr>
                <w:color w:val="000000"/>
                <w:kern w:val="0"/>
                <w:sz w:val="24"/>
                <w:szCs w:val="24"/>
              </w:rPr>
              <w:lastRenderedPageBreak/>
              <w:t>态</w:t>
            </w:r>
            <w:r w:rsidRPr="00232B03">
              <w:rPr>
                <w:color w:val="000000"/>
                <w:kern w:val="0"/>
                <w:sz w:val="24"/>
                <w:szCs w:val="24"/>
              </w:rPr>
              <w:t>”</w:t>
            </w:r>
            <w:r w:rsidRPr="00232B03">
              <w:rPr>
                <w:color w:val="000000"/>
                <w:kern w:val="0"/>
                <w:sz w:val="24"/>
                <w:szCs w:val="24"/>
              </w:rPr>
              <w:t>背景下的新产业、新技术、新商业模式以及混合所有制改革、一带一路建设等投资机会。</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lastRenderedPageBreak/>
              <w:t>业绩比较基准</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中证</w:t>
            </w:r>
            <w:r w:rsidRPr="00232B03">
              <w:rPr>
                <w:color w:val="000000"/>
                <w:kern w:val="0"/>
                <w:sz w:val="24"/>
                <w:szCs w:val="24"/>
              </w:rPr>
              <w:t>800</w:t>
            </w:r>
            <w:r w:rsidRPr="00232B03">
              <w:rPr>
                <w:color w:val="000000"/>
                <w:kern w:val="0"/>
                <w:sz w:val="24"/>
                <w:szCs w:val="24"/>
              </w:rPr>
              <w:t>指数收益率</w:t>
            </w:r>
            <w:r w:rsidRPr="00232B03">
              <w:rPr>
                <w:color w:val="000000"/>
                <w:kern w:val="0"/>
                <w:sz w:val="24"/>
                <w:szCs w:val="24"/>
              </w:rPr>
              <w:t>×65%+</w:t>
            </w:r>
            <w:r w:rsidRPr="00232B03">
              <w:rPr>
                <w:color w:val="000000"/>
                <w:kern w:val="0"/>
                <w:sz w:val="24"/>
                <w:szCs w:val="24"/>
              </w:rPr>
              <w:t>一年期人民币定期存款利率（税后）</w:t>
            </w:r>
            <w:r w:rsidRPr="00232B03">
              <w:rPr>
                <w:color w:val="000000"/>
                <w:kern w:val="0"/>
                <w:sz w:val="24"/>
                <w:szCs w:val="24"/>
              </w:rPr>
              <w:t>×35%</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风险收益特征</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基金管理人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易方达基金管理有限公司</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基金托管人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中国工商银行股份有限公司</w:t>
            </w:r>
          </w:p>
        </w:tc>
      </w:tr>
    </w:tbl>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R="00392044" w:rsidRPr="006506EF" w:rsidRDefault="00392044" w:rsidP="00392044">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962"/>
      </w:tblGrid>
      <w:tr w:rsidR="000E6C02" w:rsidRPr="006506EF" w:rsidTr="000E6C02">
        <w:tc>
          <w:tcPr>
            <w:tcW w:w="3402" w:type="dxa"/>
            <w:vAlign w:val="center"/>
          </w:tcPr>
          <w:p w:rsidR="00392044" w:rsidRPr="006506EF" w:rsidRDefault="00392044" w:rsidP="00C3442A">
            <w:pPr>
              <w:adjustRightInd w:val="0"/>
              <w:spacing w:before="29" w:line="360" w:lineRule="auto"/>
              <w:ind w:left="17"/>
              <w:jc w:val="center"/>
              <w:rPr>
                <w:kern w:val="0"/>
                <w:sz w:val="24"/>
              </w:rPr>
            </w:pPr>
            <w:r w:rsidRPr="006506EF">
              <w:rPr>
                <w:kern w:val="0"/>
                <w:sz w:val="24"/>
              </w:rPr>
              <w:t>主要财务指标</w:t>
            </w:r>
          </w:p>
        </w:tc>
        <w:tc>
          <w:tcPr>
            <w:tcW w:w="4962" w:type="dxa"/>
            <w:vAlign w:val="center"/>
          </w:tcPr>
          <w:p w:rsidR="00392044" w:rsidRPr="006506EF" w:rsidRDefault="00392044" w:rsidP="00C3442A">
            <w:pPr>
              <w:adjustRightInd w:val="0"/>
              <w:spacing w:before="29" w:line="360" w:lineRule="auto"/>
              <w:ind w:left="17"/>
              <w:jc w:val="center"/>
              <w:rPr>
                <w:color w:val="000000"/>
                <w:sz w:val="24"/>
              </w:rPr>
            </w:pPr>
            <w:r w:rsidRPr="006506EF">
              <w:rPr>
                <w:color w:val="000000"/>
                <w:sz w:val="24"/>
              </w:rPr>
              <w:t>报告期</w:t>
            </w:r>
          </w:p>
          <w:p w:rsidR="00392044" w:rsidRPr="006506EF" w:rsidRDefault="00392044" w:rsidP="00C3442A">
            <w:pPr>
              <w:adjustRightInd w:val="0"/>
              <w:spacing w:before="29" w:line="360" w:lineRule="auto"/>
              <w:ind w:left="17"/>
              <w:jc w:val="center"/>
              <w:rPr>
                <w:color w:val="000000"/>
                <w:sz w:val="24"/>
              </w:rPr>
            </w:pPr>
            <w:r w:rsidRPr="006506EF">
              <w:rPr>
                <w:color w:val="000000"/>
                <w:sz w:val="24"/>
              </w:rPr>
              <w:t>(2020</w:t>
            </w:r>
            <w:r w:rsidRPr="006506EF">
              <w:rPr>
                <w:color w:val="000000"/>
                <w:sz w:val="24"/>
              </w:rPr>
              <w:t>年</w:t>
            </w:r>
            <w:r w:rsidRPr="006506EF">
              <w:rPr>
                <w:color w:val="000000"/>
                <w:sz w:val="24"/>
              </w:rPr>
              <w:t>4</w:t>
            </w:r>
            <w:r w:rsidRPr="006506EF">
              <w:rPr>
                <w:color w:val="000000"/>
                <w:sz w:val="24"/>
              </w:rPr>
              <w:t>月</w:t>
            </w:r>
            <w:r w:rsidRPr="006506EF">
              <w:rPr>
                <w:color w:val="000000"/>
                <w:sz w:val="24"/>
              </w:rPr>
              <w:t>1</w:t>
            </w:r>
            <w:r w:rsidRPr="006506EF">
              <w:rPr>
                <w:color w:val="000000"/>
                <w:sz w:val="24"/>
              </w:rPr>
              <w:t>日</w:t>
            </w:r>
            <w:r w:rsidRPr="006506EF">
              <w:rPr>
                <w:color w:val="000000"/>
                <w:sz w:val="24"/>
              </w:rPr>
              <w:t>-2020</w:t>
            </w:r>
            <w:r w:rsidRPr="006506EF">
              <w:rPr>
                <w:color w:val="000000"/>
                <w:sz w:val="24"/>
              </w:rPr>
              <w:t>年</w:t>
            </w:r>
            <w:r w:rsidRPr="006506EF">
              <w:rPr>
                <w:color w:val="000000"/>
                <w:sz w:val="24"/>
              </w:rPr>
              <w:t>6</w:t>
            </w:r>
            <w:r w:rsidRPr="006506EF">
              <w:rPr>
                <w:color w:val="000000"/>
                <w:sz w:val="24"/>
              </w:rPr>
              <w:t>月</w:t>
            </w:r>
            <w:r w:rsidRPr="006506EF">
              <w:rPr>
                <w:color w:val="000000"/>
                <w:sz w:val="24"/>
              </w:rPr>
              <w:t>30</w:t>
            </w:r>
            <w:r w:rsidRPr="006506EF">
              <w:rPr>
                <w:color w:val="000000"/>
                <w:sz w:val="24"/>
              </w:rPr>
              <w:t>日</w:t>
            </w:r>
            <w:r w:rsidRPr="006506EF">
              <w:rPr>
                <w:color w:val="000000"/>
                <w:sz w:val="24"/>
              </w:rPr>
              <w:t>)</w:t>
            </w:r>
          </w:p>
        </w:tc>
      </w:tr>
      <w:tr w:rsidR="000E6C02" w:rsidRPr="006506EF" w:rsidTr="000E6C02">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84,643,174.44</w:t>
            </w:r>
          </w:p>
        </w:tc>
      </w:tr>
      <w:tr w:rsidR="000E6C02" w:rsidRPr="006506EF" w:rsidTr="000E6C02">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2.</w:t>
            </w:r>
            <w:r w:rsidRPr="006506EF">
              <w:rPr>
                <w:kern w:val="0"/>
                <w:sz w:val="24"/>
              </w:rPr>
              <w:t>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513,557,385.32</w:t>
            </w:r>
          </w:p>
        </w:tc>
      </w:tr>
      <w:tr w:rsidR="000E6C02" w:rsidRPr="006506EF" w:rsidTr="000E6C02">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0.0951</w:t>
            </w:r>
          </w:p>
        </w:tc>
      </w:tr>
      <w:tr w:rsidR="000E6C02" w:rsidRPr="006506EF" w:rsidTr="000E6C02">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2,702,521,164.91</w:t>
            </w:r>
          </w:p>
        </w:tc>
      </w:tr>
      <w:tr w:rsidR="000E6C02" w:rsidRPr="006506EF" w:rsidTr="000E6C02">
        <w:trPr>
          <w:trHeight w:val="158"/>
        </w:trPr>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0.523</w:t>
            </w:r>
          </w:p>
        </w:tc>
      </w:tr>
    </w:tbl>
    <w:p w:rsidR="00841934" w:rsidRDefault="009E2552">
      <w:pPr>
        <w:spacing w:line="360" w:lineRule="auto"/>
        <w:ind w:firstLineChars="200" w:firstLine="480"/>
        <w:rPr>
          <w:color w:val="000000"/>
          <w:sz w:val="24"/>
          <w:szCs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750D48" w:rsidRPr="00232B03" w:rsidRDefault="00392044" w:rsidP="00232B03">
      <w:pPr>
        <w:spacing w:line="360" w:lineRule="auto"/>
        <w:ind w:firstLineChars="200" w:firstLine="480"/>
        <w:rPr>
          <w:color w:val="000000"/>
          <w:sz w:val="24"/>
          <w:szCs w:val="24"/>
        </w:rPr>
      </w:pPr>
      <w:r w:rsidRPr="006506EF">
        <w:rPr>
          <w:color w:val="000000"/>
          <w:sz w:val="24"/>
        </w:rPr>
        <w:t>2.</w:t>
      </w:r>
      <w:r w:rsidRPr="006506EF">
        <w:rPr>
          <w:color w:val="000000"/>
          <w:sz w:val="24"/>
        </w:rPr>
        <w:t>本期已实现收益指基金本期利息收入、投资收益、其他收入（不含公允价值变动收益）扣除相关费用后的余额，本期利润为本期已实现收益加上本期公允价值变动收益。</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R="00750D48" w:rsidRPr="00264E55" w:rsidRDefault="00750D48" w:rsidP="009E7C6A">
      <w:pPr>
        <w:autoSpaceDE w:val="0"/>
        <w:autoSpaceDN w:val="0"/>
        <w:adjustRightInd w:val="0"/>
        <w:spacing w:line="360" w:lineRule="auto"/>
        <w:jc w:val="left"/>
        <w:rPr>
          <w:rFonts w:ascii="宋体" w:cs="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hAnsi="宋体" w:cs="宋体" w:hint="eastAsia"/>
          <w:b/>
          <w:bCs/>
          <w:color w:val="000000"/>
          <w:kern w:val="0"/>
          <w:sz w:val="24"/>
          <w:szCs w:val="24"/>
        </w:rPr>
        <w:t>本报告期基金份额净值增长率及其与同期业绩比较基准收益率的比较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5"/>
        <w:gridCol w:w="1092"/>
        <w:gridCol w:w="1161"/>
        <w:gridCol w:w="1181"/>
        <w:gridCol w:w="1188"/>
        <w:gridCol w:w="1199"/>
        <w:gridCol w:w="1204"/>
      </w:tblGrid>
      <w:tr w:rsidR="00750D48" w:rsidRPr="00264E55" w:rsidTr="00B05049">
        <w:tc>
          <w:tcPr>
            <w:tcW w:w="1395"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p>
        </w:tc>
        <w:tc>
          <w:tcPr>
            <w:tcW w:w="1092"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w:t>
            </w:r>
            <w:r w:rsidRPr="00232B03">
              <w:rPr>
                <w:color w:val="000000"/>
                <w:kern w:val="0"/>
                <w:sz w:val="24"/>
                <w:szCs w:val="24"/>
              </w:rPr>
              <w:lastRenderedPageBreak/>
              <w:t>长率</w:t>
            </w:r>
            <w:r w:rsidRPr="00232B03">
              <w:rPr>
                <w:rFonts w:ascii="宋体" w:hAnsi="宋体" w:cs="宋体" w:hint="eastAsia"/>
                <w:color w:val="000000"/>
                <w:kern w:val="0"/>
                <w:sz w:val="24"/>
                <w:szCs w:val="24"/>
              </w:rPr>
              <w:t>①</w:t>
            </w:r>
          </w:p>
        </w:tc>
        <w:tc>
          <w:tcPr>
            <w:tcW w:w="116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净值增</w:t>
            </w:r>
            <w:r w:rsidRPr="00232B03">
              <w:rPr>
                <w:color w:val="000000"/>
                <w:kern w:val="0"/>
                <w:sz w:val="24"/>
                <w:szCs w:val="24"/>
              </w:rPr>
              <w:lastRenderedPageBreak/>
              <w:t>长率标准差</w:t>
            </w:r>
            <w:r w:rsidRPr="00232B03">
              <w:rPr>
                <w:rFonts w:ascii="宋体" w:hAnsi="宋体" w:cs="宋体" w:hint="eastAsia"/>
                <w:color w:val="000000"/>
                <w:kern w:val="0"/>
                <w:sz w:val="24"/>
                <w:szCs w:val="24"/>
              </w:rPr>
              <w:t>②</w:t>
            </w:r>
          </w:p>
        </w:tc>
        <w:tc>
          <w:tcPr>
            <w:tcW w:w="118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w:t>
            </w:r>
            <w:r w:rsidRPr="00232B03">
              <w:rPr>
                <w:color w:val="000000"/>
                <w:kern w:val="0"/>
                <w:sz w:val="24"/>
                <w:szCs w:val="24"/>
              </w:rPr>
              <w:lastRenderedPageBreak/>
              <w:t>较基准收益率</w:t>
            </w:r>
            <w:r w:rsidRPr="00232B03">
              <w:rPr>
                <w:rFonts w:ascii="宋体" w:hAnsi="宋体" w:cs="宋体" w:hint="eastAsia"/>
                <w:color w:val="000000"/>
                <w:kern w:val="0"/>
                <w:sz w:val="24"/>
                <w:szCs w:val="24"/>
              </w:rPr>
              <w:t>③</w:t>
            </w:r>
          </w:p>
        </w:tc>
        <w:tc>
          <w:tcPr>
            <w:tcW w:w="1188"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w:t>
            </w:r>
            <w:r w:rsidRPr="00232B03">
              <w:rPr>
                <w:color w:val="000000"/>
                <w:kern w:val="0"/>
                <w:sz w:val="24"/>
                <w:szCs w:val="24"/>
              </w:rPr>
              <w:lastRenderedPageBreak/>
              <w:t>较基准收益率标准差</w:t>
            </w:r>
            <w:r w:rsidRPr="00232B03">
              <w:rPr>
                <w:rFonts w:ascii="宋体" w:hAnsi="宋体" w:cs="宋体" w:hint="eastAsia"/>
                <w:color w:val="000000"/>
                <w:kern w:val="0"/>
                <w:sz w:val="24"/>
                <w:szCs w:val="24"/>
              </w:rPr>
              <w:t>④</w:t>
            </w:r>
          </w:p>
        </w:tc>
        <w:tc>
          <w:tcPr>
            <w:tcW w:w="1199"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lastRenderedPageBreak/>
              <w:t>①</w:t>
            </w:r>
            <w:r w:rsidRPr="00232B03">
              <w:rPr>
                <w:color w:val="000000"/>
                <w:kern w:val="0"/>
                <w:sz w:val="24"/>
                <w:szCs w:val="24"/>
              </w:rPr>
              <w:t>-</w:t>
            </w:r>
            <w:r w:rsidRPr="00232B03">
              <w:rPr>
                <w:rFonts w:ascii="宋体" w:hAnsi="宋体" w:cs="宋体" w:hint="eastAsia"/>
                <w:color w:val="000000"/>
                <w:kern w:val="0"/>
                <w:sz w:val="24"/>
                <w:szCs w:val="24"/>
              </w:rPr>
              <w:t>③</w:t>
            </w:r>
          </w:p>
        </w:tc>
        <w:tc>
          <w:tcPr>
            <w:tcW w:w="1204"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②</w:t>
            </w:r>
            <w:r w:rsidRPr="00232B03">
              <w:rPr>
                <w:color w:val="000000"/>
                <w:kern w:val="0"/>
                <w:sz w:val="24"/>
                <w:szCs w:val="24"/>
              </w:rPr>
              <w:t>-</w:t>
            </w:r>
            <w:r w:rsidRPr="00232B03">
              <w:rPr>
                <w:rFonts w:ascii="宋体" w:hAnsi="宋体" w:cs="宋体" w:hint="eastAsia"/>
                <w:color w:val="000000"/>
                <w:kern w:val="0"/>
                <w:sz w:val="24"/>
                <w:szCs w:val="24"/>
              </w:rPr>
              <w:t>④</w:t>
            </w:r>
          </w:p>
        </w:tc>
      </w:tr>
      <w:tr w:rsidR="00841934">
        <w:tc>
          <w:tcPr>
            <w:tcW w:w="1395" w:type="dxa"/>
            <w:vAlign w:val="center"/>
          </w:tcPr>
          <w:p w:rsidR="00841934" w:rsidRDefault="009E2552">
            <w:pPr>
              <w:jc w:val="left"/>
            </w:pPr>
            <w:r>
              <w:rPr>
                <w:color w:val="000000"/>
                <w:kern w:val="0"/>
                <w:sz w:val="24"/>
                <w:szCs w:val="24"/>
              </w:rPr>
              <w:t>过去三个月</w:t>
            </w:r>
          </w:p>
        </w:tc>
        <w:tc>
          <w:tcPr>
            <w:tcW w:w="1092" w:type="dxa"/>
            <w:vAlign w:val="center"/>
          </w:tcPr>
          <w:p w:rsidR="00841934" w:rsidRDefault="009E2552">
            <w:pPr>
              <w:jc w:val="center"/>
            </w:pPr>
            <w:r>
              <w:rPr>
                <w:color w:val="000000"/>
                <w:kern w:val="0"/>
                <w:sz w:val="24"/>
                <w:szCs w:val="24"/>
              </w:rPr>
              <w:t>22.48%</w:t>
            </w:r>
          </w:p>
        </w:tc>
        <w:tc>
          <w:tcPr>
            <w:tcW w:w="1161" w:type="dxa"/>
            <w:vAlign w:val="center"/>
          </w:tcPr>
          <w:p w:rsidR="00841934" w:rsidRDefault="009E2552">
            <w:pPr>
              <w:jc w:val="center"/>
            </w:pPr>
            <w:r>
              <w:rPr>
                <w:color w:val="000000"/>
                <w:kern w:val="0"/>
                <w:sz w:val="24"/>
                <w:szCs w:val="24"/>
              </w:rPr>
              <w:t>1.00%</w:t>
            </w:r>
          </w:p>
        </w:tc>
        <w:tc>
          <w:tcPr>
            <w:tcW w:w="1181" w:type="dxa"/>
            <w:vAlign w:val="center"/>
          </w:tcPr>
          <w:p w:rsidR="00841934" w:rsidRDefault="009E2552">
            <w:pPr>
              <w:jc w:val="center"/>
            </w:pPr>
            <w:r>
              <w:rPr>
                <w:color w:val="000000"/>
                <w:kern w:val="0"/>
                <w:sz w:val="24"/>
                <w:szCs w:val="24"/>
              </w:rPr>
              <w:t>8.97%</w:t>
            </w:r>
          </w:p>
        </w:tc>
        <w:tc>
          <w:tcPr>
            <w:tcW w:w="1188" w:type="dxa"/>
            <w:vAlign w:val="center"/>
          </w:tcPr>
          <w:p w:rsidR="00841934" w:rsidRDefault="009E2552">
            <w:pPr>
              <w:jc w:val="center"/>
            </w:pPr>
            <w:r>
              <w:rPr>
                <w:color w:val="000000"/>
                <w:kern w:val="0"/>
                <w:sz w:val="24"/>
                <w:szCs w:val="24"/>
              </w:rPr>
              <w:t>0.60%</w:t>
            </w:r>
          </w:p>
        </w:tc>
        <w:tc>
          <w:tcPr>
            <w:tcW w:w="1199" w:type="dxa"/>
            <w:vAlign w:val="center"/>
          </w:tcPr>
          <w:p w:rsidR="00841934" w:rsidRDefault="009E2552">
            <w:pPr>
              <w:jc w:val="center"/>
            </w:pPr>
            <w:r>
              <w:rPr>
                <w:color w:val="000000"/>
                <w:kern w:val="0"/>
                <w:sz w:val="24"/>
                <w:szCs w:val="24"/>
              </w:rPr>
              <w:t>13.51%</w:t>
            </w:r>
          </w:p>
        </w:tc>
        <w:tc>
          <w:tcPr>
            <w:tcW w:w="1204" w:type="dxa"/>
            <w:vAlign w:val="center"/>
          </w:tcPr>
          <w:p w:rsidR="00841934" w:rsidRDefault="009E2552">
            <w:pPr>
              <w:jc w:val="center"/>
            </w:pPr>
            <w:r>
              <w:rPr>
                <w:color w:val="000000"/>
                <w:kern w:val="0"/>
                <w:sz w:val="24"/>
                <w:szCs w:val="24"/>
              </w:rPr>
              <w:t>0.40%</w:t>
            </w:r>
          </w:p>
        </w:tc>
      </w:tr>
      <w:tr w:rsidR="00841934">
        <w:tc>
          <w:tcPr>
            <w:tcW w:w="1395" w:type="dxa"/>
            <w:vAlign w:val="center"/>
          </w:tcPr>
          <w:p w:rsidR="00841934" w:rsidRDefault="009E2552">
            <w:pPr>
              <w:jc w:val="left"/>
            </w:pPr>
            <w:r>
              <w:rPr>
                <w:color w:val="000000"/>
                <w:kern w:val="0"/>
                <w:sz w:val="24"/>
                <w:szCs w:val="24"/>
              </w:rPr>
              <w:t>过去六个月</w:t>
            </w:r>
          </w:p>
        </w:tc>
        <w:tc>
          <w:tcPr>
            <w:tcW w:w="1092" w:type="dxa"/>
            <w:vAlign w:val="center"/>
          </w:tcPr>
          <w:p w:rsidR="00841934" w:rsidRDefault="009E2552">
            <w:pPr>
              <w:jc w:val="center"/>
            </w:pPr>
            <w:r>
              <w:rPr>
                <w:color w:val="000000"/>
                <w:kern w:val="0"/>
                <w:sz w:val="24"/>
                <w:szCs w:val="24"/>
              </w:rPr>
              <w:t>14.19%</w:t>
            </w:r>
          </w:p>
        </w:tc>
        <w:tc>
          <w:tcPr>
            <w:tcW w:w="1161" w:type="dxa"/>
            <w:vAlign w:val="center"/>
          </w:tcPr>
          <w:p w:rsidR="00841934" w:rsidRDefault="009E2552">
            <w:pPr>
              <w:jc w:val="center"/>
            </w:pPr>
            <w:r>
              <w:rPr>
                <w:color w:val="000000"/>
                <w:kern w:val="0"/>
                <w:sz w:val="24"/>
                <w:szCs w:val="24"/>
              </w:rPr>
              <w:t>1.56%</w:t>
            </w:r>
          </w:p>
        </w:tc>
        <w:tc>
          <w:tcPr>
            <w:tcW w:w="1181" w:type="dxa"/>
            <w:vAlign w:val="center"/>
          </w:tcPr>
          <w:p w:rsidR="00841934" w:rsidRDefault="009E2552">
            <w:pPr>
              <w:jc w:val="center"/>
            </w:pPr>
            <w:r>
              <w:rPr>
                <w:color w:val="000000"/>
                <w:kern w:val="0"/>
                <w:sz w:val="24"/>
                <w:szCs w:val="24"/>
              </w:rPr>
              <w:t>3.16%</w:t>
            </w:r>
          </w:p>
        </w:tc>
        <w:tc>
          <w:tcPr>
            <w:tcW w:w="1188" w:type="dxa"/>
            <w:vAlign w:val="center"/>
          </w:tcPr>
          <w:p w:rsidR="00841934" w:rsidRDefault="009E2552">
            <w:pPr>
              <w:jc w:val="center"/>
            </w:pPr>
            <w:r>
              <w:rPr>
                <w:color w:val="000000"/>
                <w:kern w:val="0"/>
                <w:sz w:val="24"/>
                <w:szCs w:val="24"/>
              </w:rPr>
              <w:t>1.01%</w:t>
            </w:r>
          </w:p>
        </w:tc>
        <w:tc>
          <w:tcPr>
            <w:tcW w:w="1199" w:type="dxa"/>
            <w:vAlign w:val="center"/>
          </w:tcPr>
          <w:p w:rsidR="00841934" w:rsidRDefault="009E2552">
            <w:pPr>
              <w:jc w:val="center"/>
            </w:pPr>
            <w:r>
              <w:rPr>
                <w:color w:val="000000"/>
                <w:kern w:val="0"/>
                <w:sz w:val="24"/>
                <w:szCs w:val="24"/>
              </w:rPr>
              <w:t>11.03%</w:t>
            </w:r>
          </w:p>
        </w:tc>
        <w:tc>
          <w:tcPr>
            <w:tcW w:w="1204" w:type="dxa"/>
            <w:vAlign w:val="center"/>
          </w:tcPr>
          <w:p w:rsidR="00841934" w:rsidRDefault="009E2552">
            <w:pPr>
              <w:jc w:val="center"/>
            </w:pPr>
            <w:r>
              <w:rPr>
                <w:color w:val="000000"/>
                <w:kern w:val="0"/>
                <w:sz w:val="24"/>
                <w:szCs w:val="24"/>
              </w:rPr>
              <w:t>0.55%</w:t>
            </w:r>
          </w:p>
        </w:tc>
      </w:tr>
      <w:tr w:rsidR="00841934">
        <w:tc>
          <w:tcPr>
            <w:tcW w:w="1395" w:type="dxa"/>
            <w:vAlign w:val="center"/>
          </w:tcPr>
          <w:p w:rsidR="00841934" w:rsidRDefault="009E2552">
            <w:pPr>
              <w:jc w:val="left"/>
            </w:pPr>
            <w:r>
              <w:rPr>
                <w:color w:val="000000"/>
                <w:kern w:val="0"/>
                <w:sz w:val="24"/>
                <w:szCs w:val="24"/>
              </w:rPr>
              <w:t>过去一年</w:t>
            </w:r>
          </w:p>
        </w:tc>
        <w:tc>
          <w:tcPr>
            <w:tcW w:w="1092" w:type="dxa"/>
            <w:vAlign w:val="center"/>
          </w:tcPr>
          <w:p w:rsidR="00841934" w:rsidRDefault="009E2552">
            <w:pPr>
              <w:jc w:val="center"/>
            </w:pPr>
            <w:r>
              <w:rPr>
                <w:color w:val="000000"/>
                <w:kern w:val="0"/>
                <w:sz w:val="24"/>
                <w:szCs w:val="24"/>
              </w:rPr>
              <w:t>35.14%</w:t>
            </w:r>
          </w:p>
        </w:tc>
        <w:tc>
          <w:tcPr>
            <w:tcW w:w="1161" w:type="dxa"/>
            <w:vAlign w:val="center"/>
          </w:tcPr>
          <w:p w:rsidR="00841934" w:rsidRDefault="009E2552">
            <w:pPr>
              <w:jc w:val="center"/>
            </w:pPr>
            <w:r>
              <w:rPr>
                <w:color w:val="000000"/>
                <w:kern w:val="0"/>
                <w:sz w:val="24"/>
                <w:szCs w:val="24"/>
              </w:rPr>
              <w:t>1.24%</w:t>
            </w:r>
          </w:p>
        </w:tc>
        <w:tc>
          <w:tcPr>
            <w:tcW w:w="1181" w:type="dxa"/>
            <w:vAlign w:val="center"/>
          </w:tcPr>
          <w:p w:rsidR="00841934" w:rsidRDefault="009E2552">
            <w:pPr>
              <w:jc w:val="center"/>
            </w:pPr>
            <w:r>
              <w:rPr>
                <w:color w:val="000000"/>
                <w:kern w:val="0"/>
                <w:sz w:val="24"/>
                <w:szCs w:val="24"/>
              </w:rPr>
              <w:t>8.16%</w:t>
            </w:r>
          </w:p>
        </w:tc>
        <w:tc>
          <w:tcPr>
            <w:tcW w:w="1188" w:type="dxa"/>
            <w:vAlign w:val="center"/>
          </w:tcPr>
          <w:p w:rsidR="00841934" w:rsidRDefault="009E2552">
            <w:pPr>
              <w:jc w:val="center"/>
            </w:pPr>
            <w:r>
              <w:rPr>
                <w:color w:val="000000"/>
                <w:kern w:val="0"/>
                <w:sz w:val="24"/>
                <w:szCs w:val="24"/>
              </w:rPr>
              <w:t>0.81%</w:t>
            </w:r>
          </w:p>
        </w:tc>
        <w:tc>
          <w:tcPr>
            <w:tcW w:w="1199" w:type="dxa"/>
            <w:vAlign w:val="center"/>
          </w:tcPr>
          <w:p w:rsidR="00841934" w:rsidRDefault="009E2552">
            <w:pPr>
              <w:jc w:val="center"/>
            </w:pPr>
            <w:r>
              <w:rPr>
                <w:color w:val="000000"/>
                <w:kern w:val="0"/>
                <w:sz w:val="24"/>
                <w:szCs w:val="24"/>
              </w:rPr>
              <w:t>26.98%</w:t>
            </w:r>
          </w:p>
        </w:tc>
        <w:tc>
          <w:tcPr>
            <w:tcW w:w="1204" w:type="dxa"/>
            <w:vAlign w:val="center"/>
          </w:tcPr>
          <w:p w:rsidR="00841934" w:rsidRDefault="009E2552">
            <w:pPr>
              <w:jc w:val="center"/>
            </w:pPr>
            <w:r>
              <w:rPr>
                <w:color w:val="000000"/>
                <w:kern w:val="0"/>
                <w:sz w:val="24"/>
                <w:szCs w:val="24"/>
              </w:rPr>
              <w:t>0.43%</w:t>
            </w:r>
          </w:p>
        </w:tc>
      </w:tr>
      <w:tr w:rsidR="00841934">
        <w:tc>
          <w:tcPr>
            <w:tcW w:w="1395" w:type="dxa"/>
            <w:vAlign w:val="center"/>
          </w:tcPr>
          <w:p w:rsidR="00841934" w:rsidRDefault="009E2552">
            <w:pPr>
              <w:jc w:val="left"/>
            </w:pPr>
            <w:r>
              <w:rPr>
                <w:color w:val="000000"/>
                <w:kern w:val="0"/>
                <w:sz w:val="24"/>
                <w:szCs w:val="24"/>
              </w:rPr>
              <w:t>过去三年</w:t>
            </w:r>
          </w:p>
        </w:tc>
        <w:tc>
          <w:tcPr>
            <w:tcW w:w="1092" w:type="dxa"/>
            <w:vAlign w:val="center"/>
          </w:tcPr>
          <w:p w:rsidR="00841934" w:rsidRDefault="009E2552">
            <w:pPr>
              <w:jc w:val="center"/>
            </w:pPr>
            <w:r>
              <w:rPr>
                <w:color w:val="000000"/>
                <w:kern w:val="0"/>
                <w:sz w:val="24"/>
                <w:szCs w:val="24"/>
              </w:rPr>
              <w:t>3.16%</w:t>
            </w:r>
          </w:p>
        </w:tc>
        <w:tc>
          <w:tcPr>
            <w:tcW w:w="1161" w:type="dxa"/>
            <w:vAlign w:val="center"/>
          </w:tcPr>
          <w:p w:rsidR="00841934" w:rsidRDefault="009E2552">
            <w:pPr>
              <w:jc w:val="center"/>
            </w:pPr>
            <w:r>
              <w:rPr>
                <w:color w:val="000000"/>
                <w:kern w:val="0"/>
                <w:sz w:val="24"/>
                <w:szCs w:val="24"/>
              </w:rPr>
              <w:t>1.44%</w:t>
            </w:r>
          </w:p>
        </w:tc>
        <w:tc>
          <w:tcPr>
            <w:tcW w:w="1181" w:type="dxa"/>
            <w:vAlign w:val="center"/>
          </w:tcPr>
          <w:p w:rsidR="00841934" w:rsidRDefault="009E2552">
            <w:pPr>
              <w:jc w:val="center"/>
            </w:pPr>
            <w:r>
              <w:rPr>
                <w:color w:val="000000"/>
                <w:kern w:val="0"/>
                <w:sz w:val="24"/>
                <w:szCs w:val="24"/>
              </w:rPr>
              <w:t>8.72%</w:t>
            </w:r>
          </w:p>
        </w:tc>
        <w:tc>
          <w:tcPr>
            <w:tcW w:w="1188" w:type="dxa"/>
            <w:vAlign w:val="center"/>
          </w:tcPr>
          <w:p w:rsidR="00841934" w:rsidRDefault="009E2552">
            <w:pPr>
              <w:jc w:val="center"/>
            </w:pPr>
            <w:r>
              <w:rPr>
                <w:color w:val="000000"/>
                <w:kern w:val="0"/>
                <w:sz w:val="24"/>
                <w:szCs w:val="24"/>
              </w:rPr>
              <w:t>0.82%</w:t>
            </w:r>
          </w:p>
        </w:tc>
        <w:tc>
          <w:tcPr>
            <w:tcW w:w="1199" w:type="dxa"/>
            <w:vAlign w:val="center"/>
          </w:tcPr>
          <w:p w:rsidR="00841934" w:rsidRDefault="009E2552">
            <w:pPr>
              <w:jc w:val="center"/>
            </w:pPr>
            <w:r>
              <w:rPr>
                <w:color w:val="000000"/>
                <w:kern w:val="0"/>
                <w:sz w:val="24"/>
                <w:szCs w:val="24"/>
              </w:rPr>
              <w:t>-5.56%</w:t>
            </w:r>
          </w:p>
        </w:tc>
        <w:tc>
          <w:tcPr>
            <w:tcW w:w="1204" w:type="dxa"/>
            <w:vAlign w:val="center"/>
          </w:tcPr>
          <w:p w:rsidR="00841934" w:rsidRDefault="009E2552">
            <w:pPr>
              <w:jc w:val="center"/>
            </w:pPr>
            <w:r>
              <w:rPr>
                <w:color w:val="000000"/>
                <w:kern w:val="0"/>
                <w:sz w:val="24"/>
                <w:szCs w:val="24"/>
              </w:rPr>
              <w:t>0.62%</w:t>
            </w:r>
          </w:p>
        </w:tc>
      </w:tr>
      <w:tr w:rsidR="00841934">
        <w:tc>
          <w:tcPr>
            <w:tcW w:w="1395" w:type="dxa"/>
            <w:vAlign w:val="center"/>
          </w:tcPr>
          <w:p w:rsidR="00841934" w:rsidRDefault="009E2552">
            <w:pPr>
              <w:jc w:val="left"/>
            </w:pPr>
            <w:r>
              <w:rPr>
                <w:color w:val="000000"/>
                <w:kern w:val="0"/>
                <w:sz w:val="24"/>
                <w:szCs w:val="24"/>
              </w:rPr>
              <w:t>过去五年</w:t>
            </w:r>
          </w:p>
        </w:tc>
        <w:tc>
          <w:tcPr>
            <w:tcW w:w="1092" w:type="dxa"/>
            <w:vAlign w:val="center"/>
          </w:tcPr>
          <w:p w:rsidR="00841934" w:rsidRDefault="009E2552">
            <w:pPr>
              <w:jc w:val="center"/>
            </w:pPr>
            <w:r>
              <w:rPr>
                <w:color w:val="000000"/>
                <w:kern w:val="0"/>
                <w:sz w:val="24"/>
                <w:szCs w:val="24"/>
              </w:rPr>
              <w:t>-41.10%</w:t>
            </w:r>
          </w:p>
        </w:tc>
        <w:tc>
          <w:tcPr>
            <w:tcW w:w="1161" w:type="dxa"/>
            <w:vAlign w:val="center"/>
          </w:tcPr>
          <w:p w:rsidR="00841934" w:rsidRDefault="009E2552">
            <w:pPr>
              <w:jc w:val="center"/>
            </w:pPr>
            <w:r>
              <w:rPr>
                <w:color w:val="000000"/>
                <w:kern w:val="0"/>
                <w:sz w:val="24"/>
                <w:szCs w:val="24"/>
              </w:rPr>
              <w:t>1.76%</w:t>
            </w:r>
          </w:p>
        </w:tc>
        <w:tc>
          <w:tcPr>
            <w:tcW w:w="1181" w:type="dxa"/>
            <w:vAlign w:val="center"/>
          </w:tcPr>
          <w:p w:rsidR="00841934" w:rsidRDefault="009E2552">
            <w:pPr>
              <w:jc w:val="center"/>
            </w:pPr>
            <w:r>
              <w:rPr>
                <w:color w:val="000000"/>
                <w:kern w:val="0"/>
                <w:sz w:val="24"/>
                <w:szCs w:val="24"/>
              </w:rPr>
              <w:t>-4.80%</w:t>
            </w:r>
          </w:p>
        </w:tc>
        <w:tc>
          <w:tcPr>
            <w:tcW w:w="1188" w:type="dxa"/>
            <w:vAlign w:val="center"/>
          </w:tcPr>
          <w:p w:rsidR="00841934" w:rsidRDefault="009E2552">
            <w:pPr>
              <w:jc w:val="center"/>
            </w:pPr>
            <w:r>
              <w:rPr>
                <w:color w:val="000000"/>
                <w:kern w:val="0"/>
                <w:sz w:val="24"/>
                <w:szCs w:val="24"/>
              </w:rPr>
              <w:t>0.97%</w:t>
            </w:r>
          </w:p>
        </w:tc>
        <w:tc>
          <w:tcPr>
            <w:tcW w:w="1199" w:type="dxa"/>
            <w:vAlign w:val="center"/>
          </w:tcPr>
          <w:p w:rsidR="00841934" w:rsidRDefault="009E2552">
            <w:pPr>
              <w:jc w:val="center"/>
            </w:pPr>
            <w:r>
              <w:rPr>
                <w:color w:val="000000"/>
                <w:kern w:val="0"/>
                <w:sz w:val="24"/>
                <w:szCs w:val="24"/>
              </w:rPr>
              <w:t>-36.30%</w:t>
            </w:r>
          </w:p>
        </w:tc>
        <w:tc>
          <w:tcPr>
            <w:tcW w:w="1204" w:type="dxa"/>
            <w:vAlign w:val="center"/>
          </w:tcPr>
          <w:p w:rsidR="00841934" w:rsidRDefault="009E2552">
            <w:pPr>
              <w:jc w:val="center"/>
            </w:pPr>
            <w:r>
              <w:rPr>
                <w:color w:val="000000"/>
                <w:kern w:val="0"/>
                <w:sz w:val="24"/>
                <w:szCs w:val="24"/>
              </w:rPr>
              <w:t>0.79%</w:t>
            </w:r>
          </w:p>
        </w:tc>
      </w:tr>
      <w:tr w:rsidR="00841934">
        <w:tc>
          <w:tcPr>
            <w:tcW w:w="1395" w:type="dxa"/>
            <w:vAlign w:val="center"/>
          </w:tcPr>
          <w:p w:rsidR="00841934" w:rsidRDefault="009E2552">
            <w:pPr>
              <w:jc w:val="left"/>
            </w:pPr>
            <w:r>
              <w:rPr>
                <w:color w:val="000000"/>
                <w:kern w:val="0"/>
                <w:sz w:val="24"/>
                <w:szCs w:val="24"/>
              </w:rPr>
              <w:t>自基金合同生效起至今</w:t>
            </w:r>
          </w:p>
        </w:tc>
        <w:tc>
          <w:tcPr>
            <w:tcW w:w="1092" w:type="dxa"/>
            <w:vAlign w:val="center"/>
          </w:tcPr>
          <w:p w:rsidR="00841934" w:rsidRDefault="009E2552">
            <w:pPr>
              <w:jc w:val="center"/>
            </w:pPr>
            <w:r>
              <w:rPr>
                <w:color w:val="000000"/>
                <w:kern w:val="0"/>
                <w:sz w:val="24"/>
                <w:szCs w:val="24"/>
              </w:rPr>
              <w:t>-47.70%</w:t>
            </w:r>
          </w:p>
        </w:tc>
        <w:tc>
          <w:tcPr>
            <w:tcW w:w="1161" w:type="dxa"/>
            <w:vAlign w:val="center"/>
          </w:tcPr>
          <w:p w:rsidR="00841934" w:rsidRDefault="009E2552">
            <w:pPr>
              <w:jc w:val="center"/>
            </w:pPr>
            <w:r>
              <w:rPr>
                <w:color w:val="000000"/>
                <w:kern w:val="0"/>
                <w:sz w:val="24"/>
                <w:szCs w:val="24"/>
              </w:rPr>
              <w:t>1.81%</w:t>
            </w:r>
          </w:p>
        </w:tc>
        <w:tc>
          <w:tcPr>
            <w:tcW w:w="1181" w:type="dxa"/>
            <w:vAlign w:val="center"/>
          </w:tcPr>
          <w:p w:rsidR="00841934" w:rsidRDefault="009E2552">
            <w:pPr>
              <w:jc w:val="center"/>
            </w:pPr>
            <w:r>
              <w:rPr>
                <w:color w:val="000000"/>
                <w:kern w:val="0"/>
                <w:sz w:val="24"/>
                <w:szCs w:val="24"/>
              </w:rPr>
              <w:t>-6.09%</w:t>
            </w:r>
          </w:p>
        </w:tc>
        <w:tc>
          <w:tcPr>
            <w:tcW w:w="1188" w:type="dxa"/>
            <w:vAlign w:val="center"/>
          </w:tcPr>
          <w:p w:rsidR="00841934" w:rsidRDefault="009E2552">
            <w:pPr>
              <w:jc w:val="center"/>
            </w:pPr>
            <w:r>
              <w:rPr>
                <w:color w:val="000000"/>
                <w:kern w:val="0"/>
                <w:sz w:val="24"/>
                <w:szCs w:val="24"/>
              </w:rPr>
              <w:t>1.02%</w:t>
            </w:r>
          </w:p>
        </w:tc>
        <w:tc>
          <w:tcPr>
            <w:tcW w:w="1199" w:type="dxa"/>
            <w:vAlign w:val="center"/>
          </w:tcPr>
          <w:p w:rsidR="00841934" w:rsidRDefault="009E2552">
            <w:pPr>
              <w:jc w:val="center"/>
            </w:pPr>
            <w:r>
              <w:rPr>
                <w:color w:val="000000"/>
                <w:kern w:val="0"/>
                <w:sz w:val="24"/>
                <w:szCs w:val="24"/>
              </w:rPr>
              <w:t>-41.61%</w:t>
            </w:r>
          </w:p>
        </w:tc>
        <w:tc>
          <w:tcPr>
            <w:tcW w:w="1204" w:type="dxa"/>
            <w:vAlign w:val="center"/>
          </w:tcPr>
          <w:p w:rsidR="00841934" w:rsidRDefault="009E2552">
            <w:pPr>
              <w:jc w:val="center"/>
            </w:pPr>
            <w:r>
              <w:rPr>
                <w:color w:val="000000"/>
                <w:kern w:val="0"/>
                <w:sz w:val="24"/>
                <w:szCs w:val="24"/>
              </w:rPr>
              <w:t>0.79%</w:t>
            </w:r>
          </w:p>
        </w:tc>
      </w:tr>
    </w:tbl>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val="clear" w:color="auto" w:fill="FFFFFF"/>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R="00750D48" w:rsidRPr="0074694E" w:rsidRDefault="00750D48" w:rsidP="009E7C6A">
      <w:pPr>
        <w:spacing w:line="360" w:lineRule="auto"/>
        <w:jc w:val="center"/>
        <w:rPr>
          <w:color w:val="000000"/>
          <w:sz w:val="24"/>
          <w:szCs w:val="24"/>
        </w:rPr>
      </w:pPr>
      <w:r w:rsidRPr="0074694E">
        <w:rPr>
          <w:color w:val="000000"/>
          <w:sz w:val="24"/>
          <w:szCs w:val="24"/>
        </w:rPr>
        <w:t>易方达新常态灵活配置混合型证券投资基金</w:t>
      </w:r>
    </w:p>
    <w:p w:rsidR="00750D48" w:rsidRPr="0074694E" w:rsidRDefault="00750D48" w:rsidP="009E7C6A">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R="00750D48" w:rsidRPr="0074694E" w:rsidRDefault="005F7917" w:rsidP="009E7C6A">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2015</w:t>
      </w:r>
      <w:r w:rsidRPr="0074694E">
        <w:rPr>
          <w:rFonts w:ascii="Times New Roman" w:hAnsi="Times New Roman"/>
          <w:sz w:val="24"/>
          <w:szCs w:val="24"/>
        </w:rPr>
        <w:t>年</w:t>
      </w:r>
      <w:r w:rsidRPr="0074694E">
        <w:rPr>
          <w:rFonts w:ascii="Times New Roman" w:hAnsi="Times New Roman"/>
          <w:sz w:val="24"/>
          <w:szCs w:val="24"/>
        </w:rPr>
        <w:t>4</w:t>
      </w:r>
      <w:r w:rsidRPr="0074694E">
        <w:rPr>
          <w:rFonts w:ascii="Times New Roman" w:hAnsi="Times New Roman"/>
          <w:sz w:val="24"/>
          <w:szCs w:val="24"/>
        </w:rPr>
        <w:t>月</w:t>
      </w:r>
      <w:r w:rsidRPr="0074694E">
        <w:rPr>
          <w:rFonts w:ascii="Times New Roman" w:hAnsi="Times New Roman"/>
          <w:sz w:val="24"/>
          <w:szCs w:val="24"/>
        </w:rPr>
        <w:t>30</w:t>
      </w:r>
      <w:r w:rsidRPr="0074694E">
        <w:rPr>
          <w:rFonts w:ascii="Times New Roman" w:hAnsi="Times New Roman"/>
          <w:sz w:val="24"/>
          <w:szCs w:val="24"/>
        </w:rPr>
        <w:t>日至</w:t>
      </w:r>
      <w:r w:rsidRPr="0074694E">
        <w:rPr>
          <w:rFonts w:ascii="Times New Roman" w:hAnsi="Times New Roman"/>
          <w:sz w:val="24"/>
          <w:szCs w:val="24"/>
        </w:rPr>
        <w:t>2020</w:t>
      </w:r>
      <w:r w:rsidRPr="0074694E">
        <w:rPr>
          <w:rFonts w:ascii="Times New Roman" w:hAnsi="Times New Roman"/>
          <w:sz w:val="24"/>
          <w:szCs w:val="24"/>
        </w:rPr>
        <w:t>年</w:t>
      </w:r>
      <w:r w:rsidRPr="0074694E">
        <w:rPr>
          <w:rFonts w:ascii="Times New Roman" w:hAnsi="Times New Roman"/>
          <w:sz w:val="24"/>
          <w:szCs w:val="24"/>
        </w:rPr>
        <w:t>6</w:t>
      </w:r>
      <w:r w:rsidRPr="0074694E">
        <w:rPr>
          <w:rFonts w:ascii="Times New Roman" w:hAnsi="Times New Roman"/>
          <w:sz w:val="24"/>
          <w:szCs w:val="24"/>
        </w:rPr>
        <w:t>月</w:t>
      </w:r>
      <w:r w:rsidRPr="0074694E">
        <w:rPr>
          <w:rFonts w:ascii="Times New Roman" w:hAnsi="Times New Roman"/>
          <w:sz w:val="24"/>
          <w:szCs w:val="24"/>
        </w:rPr>
        <w:t>30</w:t>
      </w:r>
      <w:r w:rsidRPr="0074694E">
        <w:rPr>
          <w:rFonts w:ascii="Times New Roman" w:hAnsi="Times New Roman"/>
          <w:sz w:val="24"/>
          <w:szCs w:val="24"/>
        </w:rPr>
        <w:t>日）</w:t>
      </w:r>
    </w:p>
    <w:p w:rsidR="00750D48" w:rsidRPr="00264E55" w:rsidRDefault="008D0970" w:rsidP="004061AC">
      <w:pPr>
        <w:pStyle w:val="a5"/>
        <w:snapToGrid w:val="0"/>
        <w:spacing w:before="120" w:line="360" w:lineRule="auto"/>
        <w:jc w:val="center"/>
        <w:rPr>
          <w:rFonts w:hAnsi="宋体"/>
          <w:color w:val="000000"/>
          <w:sz w:val="24"/>
          <w:szCs w:val="24"/>
        </w:rPr>
      </w:pPr>
      <w:r>
        <w:rPr>
          <w:rFonts w:hAnsi="宋体"/>
          <w:noProof/>
          <w:color w:val="000000"/>
          <w:sz w:val="24"/>
          <w:szCs w:val="24"/>
        </w:rPr>
        <w:drawing>
          <wp:inline distT="0" distB="0" distL="0" distR="0">
            <wp:extent cx="5234940" cy="3064510"/>
            <wp:effectExtent l="0" t="0" r="3810" b="25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4940" cy="3064510"/>
                    </a:xfrm>
                    <a:prstGeom prst="rect">
                      <a:avLst/>
                    </a:prstGeom>
                    <a:noFill/>
                    <a:ln>
                      <a:noFill/>
                    </a:ln>
                  </pic:spPr>
                </pic:pic>
              </a:graphicData>
            </a:graphic>
          </wp:inline>
        </w:drawing>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注：自基金合同生效至报告期末，基金份额净值增长率为</w:t>
      </w:r>
      <w:r w:rsidRPr="006C56AA">
        <w:rPr>
          <w:color w:val="000000"/>
          <w:sz w:val="24"/>
          <w:szCs w:val="24"/>
        </w:rPr>
        <w:t>-47.70%</w:t>
      </w:r>
      <w:r w:rsidRPr="006C56AA">
        <w:rPr>
          <w:color w:val="000000"/>
          <w:sz w:val="24"/>
          <w:szCs w:val="24"/>
        </w:rPr>
        <w:t>，同期业绩比较基准收益率为</w:t>
      </w:r>
      <w:r w:rsidRPr="006C56AA">
        <w:rPr>
          <w:color w:val="000000"/>
          <w:sz w:val="24"/>
          <w:szCs w:val="24"/>
        </w:rPr>
        <w:t>-6.09%</w:t>
      </w:r>
      <w:r w:rsidRPr="006C56AA">
        <w:rPr>
          <w:color w:val="000000"/>
          <w:sz w:val="24"/>
          <w:szCs w:val="24"/>
        </w:rPr>
        <w:t>。</w:t>
      </w:r>
    </w:p>
    <w:p w:rsidR="00750D48" w:rsidRPr="00232B03" w:rsidRDefault="00750D48" w:rsidP="00693843">
      <w:pPr>
        <w:tabs>
          <w:tab w:val="left" w:pos="1800"/>
        </w:tabs>
        <w:spacing w:line="288" w:lineRule="auto"/>
        <w:rPr>
          <w:color w:val="000000"/>
          <w:sz w:val="24"/>
          <w:szCs w:val="24"/>
        </w:rPr>
      </w:pP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R="004D28A3" w:rsidRPr="0078105B" w:rsidRDefault="00750D48" w:rsidP="004D28A3">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4D28A3" w:rsidRPr="0078105B" w:rsidTr="003328D9">
        <w:trPr>
          <w:cantSplit/>
        </w:trPr>
        <w:tc>
          <w:tcPr>
            <w:tcW w:w="56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w="56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835" w:type="dxa"/>
            <w:vMerge/>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851"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97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r>
      <w:tr w:rsidR="00841934">
        <w:tc>
          <w:tcPr>
            <w:tcW w:w="567" w:type="dxa"/>
            <w:vAlign w:val="center"/>
          </w:tcPr>
          <w:p w:rsidR="00841934" w:rsidRDefault="009E2552">
            <w:pPr>
              <w:jc w:val="center"/>
            </w:pPr>
            <w:r>
              <w:rPr>
                <w:color w:val="000000"/>
                <w:sz w:val="24"/>
              </w:rPr>
              <w:t>赵锴</w:t>
            </w:r>
          </w:p>
        </w:tc>
        <w:tc>
          <w:tcPr>
            <w:tcW w:w="2835" w:type="dxa"/>
            <w:vAlign w:val="center"/>
          </w:tcPr>
          <w:p w:rsidR="00841934" w:rsidRDefault="009E2552">
            <w:pPr>
              <w:jc w:val="left"/>
            </w:pPr>
            <w:r>
              <w:rPr>
                <w:color w:val="000000"/>
                <w:sz w:val="24"/>
              </w:rPr>
              <w:t>本基金的基金经理、年金投资经理</w:t>
            </w:r>
          </w:p>
        </w:tc>
        <w:tc>
          <w:tcPr>
            <w:tcW w:w="851" w:type="dxa"/>
            <w:vAlign w:val="center"/>
          </w:tcPr>
          <w:p w:rsidR="00841934" w:rsidRDefault="009E2552">
            <w:pPr>
              <w:jc w:val="center"/>
            </w:pPr>
            <w:r>
              <w:rPr>
                <w:color w:val="000000"/>
                <w:sz w:val="24"/>
              </w:rPr>
              <w:t>2018-12-12</w:t>
            </w:r>
          </w:p>
        </w:tc>
        <w:tc>
          <w:tcPr>
            <w:tcW w:w="850" w:type="dxa"/>
            <w:vAlign w:val="center"/>
          </w:tcPr>
          <w:p w:rsidR="00841934" w:rsidRDefault="009E2552">
            <w:pPr>
              <w:jc w:val="center"/>
            </w:pPr>
            <w:r>
              <w:rPr>
                <w:color w:val="000000"/>
                <w:sz w:val="24"/>
              </w:rPr>
              <w:t>2020-06-25</w:t>
            </w:r>
          </w:p>
        </w:tc>
        <w:tc>
          <w:tcPr>
            <w:tcW w:w="851" w:type="dxa"/>
            <w:vAlign w:val="center"/>
          </w:tcPr>
          <w:p w:rsidR="00841934" w:rsidRDefault="009E2552">
            <w:pPr>
              <w:jc w:val="center"/>
            </w:pPr>
            <w:r>
              <w:rPr>
                <w:color w:val="000000"/>
                <w:sz w:val="24"/>
              </w:rPr>
              <w:t>19</w:t>
            </w:r>
            <w:r>
              <w:rPr>
                <w:color w:val="000000"/>
                <w:sz w:val="24"/>
              </w:rPr>
              <w:t>年</w:t>
            </w:r>
          </w:p>
        </w:tc>
        <w:tc>
          <w:tcPr>
            <w:tcW w:w="2977" w:type="dxa"/>
            <w:vAlign w:val="center"/>
          </w:tcPr>
          <w:p w:rsidR="00841934" w:rsidRDefault="009E2552">
            <w:r>
              <w:rPr>
                <w:color w:val="000000"/>
                <w:sz w:val="24"/>
              </w:rPr>
              <w:t>硕士研究生，具有基金从业资格。曾任广发证券股份有限公司资产管理部产品经理、研究员、研究主管、投资经理，大成基金管理有限公司委托投资部投资经理，易方达基金管理有限公司专户投资经理。</w:t>
            </w:r>
          </w:p>
        </w:tc>
      </w:tr>
      <w:tr w:rsidR="00841934">
        <w:tc>
          <w:tcPr>
            <w:tcW w:w="567" w:type="dxa"/>
            <w:vAlign w:val="center"/>
          </w:tcPr>
          <w:p w:rsidR="00841934" w:rsidRDefault="009E2552">
            <w:pPr>
              <w:jc w:val="center"/>
            </w:pPr>
            <w:r>
              <w:rPr>
                <w:color w:val="000000"/>
                <w:sz w:val="24"/>
              </w:rPr>
              <w:t>孙松</w:t>
            </w:r>
          </w:p>
        </w:tc>
        <w:tc>
          <w:tcPr>
            <w:tcW w:w="2835" w:type="dxa"/>
            <w:vAlign w:val="center"/>
          </w:tcPr>
          <w:p w:rsidR="00841934" w:rsidRDefault="009E2552">
            <w:pPr>
              <w:jc w:val="left"/>
            </w:pPr>
            <w:r>
              <w:rPr>
                <w:color w:val="000000"/>
                <w:sz w:val="24"/>
              </w:rPr>
              <w:t>本基金的基金经理、投资二部总经理、投资经理</w:t>
            </w:r>
          </w:p>
        </w:tc>
        <w:tc>
          <w:tcPr>
            <w:tcW w:w="851" w:type="dxa"/>
            <w:vAlign w:val="center"/>
          </w:tcPr>
          <w:p w:rsidR="00841934" w:rsidRDefault="009E2552">
            <w:pPr>
              <w:jc w:val="center"/>
            </w:pPr>
            <w:r>
              <w:rPr>
                <w:color w:val="000000"/>
                <w:sz w:val="24"/>
              </w:rPr>
              <w:t>2018-12-25</w:t>
            </w:r>
          </w:p>
        </w:tc>
        <w:tc>
          <w:tcPr>
            <w:tcW w:w="850" w:type="dxa"/>
            <w:vAlign w:val="center"/>
          </w:tcPr>
          <w:p w:rsidR="00841934" w:rsidRDefault="009E2552">
            <w:pPr>
              <w:jc w:val="center"/>
            </w:pPr>
            <w:r>
              <w:rPr>
                <w:color w:val="000000"/>
                <w:sz w:val="24"/>
              </w:rPr>
              <w:t>-</w:t>
            </w:r>
          </w:p>
        </w:tc>
        <w:tc>
          <w:tcPr>
            <w:tcW w:w="851" w:type="dxa"/>
            <w:vAlign w:val="center"/>
          </w:tcPr>
          <w:p w:rsidR="00841934" w:rsidRDefault="009E2552">
            <w:pPr>
              <w:jc w:val="center"/>
            </w:pPr>
            <w:r>
              <w:rPr>
                <w:color w:val="000000"/>
                <w:sz w:val="24"/>
              </w:rPr>
              <w:t>18</w:t>
            </w:r>
            <w:r>
              <w:rPr>
                <w:color w:val="000000"/>
                <w:sz w:val="24"/>
              </w:rPr>
              <w:t>年</w:t>
            </w:r>
          </w:p>
        </w:tc>
        <w:tc>
          <w:tcPr>
            <w:tcW w:w="2977" w:type="dxa"/>
            <w:vAlign w:val="center"/>
          </w:tcPr>
          <w:p w:rsidR="00841934" w:rsidRDefault="009E2552">
            <w:r>
              <w:rPr>
                <w:color w:val="000000"/>
                <w:sz w:val="24"/>
              </w:rPr>
              <w:t>硕士研究生，具有基金从业资格。曾任易方达基金管理有限公司交易员、集中交易室主管、集中交易室经理、行业研究员、基金经理助理、机构理财部总经理助理、机构理财部副总经理、权益投资总部副总经理、专户投资部总经理、养老金与专户权益投资部总经理。</w:t>
            </w:r>
          </w:p>
        </w:tc>
      </w:tr>
    </w:tbl>
    <w:p w:rsidR="000E6C02" w:rsidRPr="00A0535F" w:rsidRDefault="00A0535F" w:rsidP="000E6C02">
      <w:pPr>
        <w:spacing w:line="360" w:lineRule="auto"/>
        <w:rPr>
          <w:color w:val="000000"/>
          <w:sz w:val="24"/>
          <w:szCs w:val="24"/>
        </w:rPr>
      </w:pPr>
      <w:r w:rsidRPr="00A0535F">
        <w:rPr>
          <w:noProof/>
          <w:color w:val="000000"/>
          <w:sz w:val="24"/>
          <w:szCs w:val="24"/>
        </w:rPr>
        <w:drawing>
          <wp:inline distT="0" distB="0" distL="0" distR="0">
            <wp:extent cx="5278120" cy="3347620"/>
            <wp:effectExtent l="0" t="0" r="0" b="5715"/>
            <wp:docPr id="3" name="图片 3" descr="d:\Users\wenxueqian\Desktop\20200716-截图更新\孙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wenxueqian\Desktop\20200716-截图更新\孙松.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8120" cy="3347620"/>
                    </a:xfrm>
                    <a:prstGeom prst="rect">
                      <a:avLst/>
                    </a:prstGeom>
                    <a:noFill/>
                    <a:ln>
                      <a:noFill/>
                    </a:ln>
                  </pic:spPr>
                </pic:pic>
              </a:graphicData>
            </a:graphic>
          </wp:inline>
        </w:drawing>
      </w:r>
      <w:bookmarkStart w:id="0" w:name="_GoBack"/>
      <w:bookmarkEnd w:id="0"/>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lastRenderedPageBreak/>
        <w:t xml:space="preserve">4.2 </w:t>
      </w:r>
      <w:r w:rsidRPr="00264E55">
        <w:rPr>
          <w:rFonts w:ascii="宋体" w:hAnsi="宋体" w:hint="eastAsia"/>
          <w:b/>
          <w:bCs/>
          <w:color w:val="000000"/>
          <w:kern w:val="0"/>
          <w:sz w:val="24"/>
          <w:szCs w:val="24"/>
        </w:rPr>
        <w:t>管理人对报告期内本基金运作遵规守信情况的说明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6C56AA">
        <w:rPr>
          <w:color w:val="000000"/>
          <w:sz w:val="24"/>
          <w:szCs w:val="24"/>
        </w:rPr>
        <w:t>“</w:t>
      </w:r>
      <w:r w:rsidRPr="006C56AA">
        <w:rPr>
          <w:color w:val="000000"/>
          <w:sz w:val="24"/>
          <w:szCs w:val="24"/>
        </w:rPr>
        <w:t>时间优先、价格优先</w:t>
      </w:r>
      <w:r w:rsidRPr="006C56AA">
        <w:rPr>
          <w:color w:val="000000"/>
          <w:sz w:val="24"/>
          <w:szCs w:val="24"/>
        </w:rPr>
        <w:t>”</w:t>
      </w:r>
      <w:r w:rsidRPr="006C56AA">
        <w:rPr>
          <w:color w:val="000000"/>
          <w:sz w:val="24"/>
          <w:szCs w:val="24"/>
        </w:rPr>
        <w:t>作为执行指令的基本原则，通过投资交易系统中的公平交易模块，以尽可能确保公平对待各投资组合。本报告期内，公平交易制度总体执行情况良好。</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rsidR="00841934" w:rsidRDefault="009E2552">
      <w:pPr>
        <w:spacing w:line="360" w:lineRule="auto"/>
        <w:ind w:firstLineChars="200" w:firstLine="48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w:t>
      </w:r>
      <w:r>
        <w:rPr>
          <w:color w:val="000000"/>
          <w:sz w:val="24"/>
          <w:szCs w:val="24"/>
        </w:rPr>
        <w:t>5%</w:t>
      </w:r>
      <w:r>
        <w:rPr>
          <w:color w:val="000000"/>
          <w:sz w:val="24"/>
          <w:szCs w:val="24"/>
        </w:rPr>
        <w:t>的交易共</w:t>
      </w:r>
      <w:r>
        <w:rPr>
          <w:color w:val="000000"/>
          <w:sz w:val="24"/>
          <w:szCs w:val="24"/>
        </w:rPr>
        <w:t>42</w:t>
      </w:r>
      <w:r>
        <w:rPr>
          <w:color w:val="000000"/>
          <w:sz w:val="24"/>
          <w:szCs w:val="24"/>
        </w:rPr>
        <w:t>次，均为指数量化投资组合因投资策略需要和其他组合发生的反向交易。</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本报告期内，未发现本基金有可能导致不公平交易和利益输送的异常交易。</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4.4.1</w:t>
        </w:r>
      </w:smartTag>
      <w:r w:rsidRPr="00264E55">
        <w:rPr>
          <w:rFonts w:ascii="宋体" w:hAnsi="宋体" w:cs="宋体" w:hint="eastAsia"/>
          <w:sz w:val="24"/>
          <w:szCs w:val="24"/>
        </w:rPr>
        <w:t>报告期内基金投资策略和运作分析</w:t>
      </w:r>
    </w:p>
    <w:p w:rsidR="00841934" w:rsidRDefault="009E2552">
      <w:pPr>
        <w:spacing w:line="360" w:lineRule="auto"/>
        <w:ind w:firstLineChars="200" w:firstLine="480"/>
        <w:rPr>
          <w:color w:val="000000"/>
          <w:sz w:val="24"/>
          <w:szCs w:val="24"/>
        </w:rPr>
      </w:pPr>
      <w:r>
        <w:rPr>
          <w:color w:val="000000"/>
          <w:sz w:val="24"/>
          <w:szCs w:val="24"/>
        </w:rPr>
        <w:t>2020</w:t>
      </w:r>
      <w:r>
        <w:rPr>
          <w:color w:val="000000"/>
          <w:sz w:val="24"/>
          <w:szCs w:val="24"/>
        </w:rPr>
        <w:t>年二季度，上证综指上涨</w:t>
      </w:r>
      <w:r>
        <w:rPr>
          <w:color w:val="000000"/>
          <w:sz w:val="24"/>
          <w:szCs w:val="24"/>
        </w:rPr>
        <w:t>8.52%</w:t>
      </w:r>
      <w:r>
        <w:rPr>
          <w:color w:val="000000"/>
          <w:sz w:val="24"/>
          <w:szCs w:val="24"/>
        </w:rPr>
        <w:t>，深证成指上涨</w:t>
      </w:r>
      <w:r>
        <w:rPr>
          <w:color w:val="000000"/>
          <w:sz w:val="24"/>
          <w:szCs w:val="24"/>
        </w:rPr>
        <w:t>20.38%</w:t>
      </w:r>
      <w:r>
        <w:rPr>
          <w:color w:val="000000"/>
          <w:sz w:val="24"/>
          <w:szCs w:val="24"/>
        </w:rPr>
        <w:t>，沪深</w:t>
      </w:r>
      <w:r>
        <w:rPr>
          <w:color w:val="000000"/>
          <w:sz w:val="24"/>
          <w:szCs w:val="24"/>
        </w:rPr>
        <w:t>300</w:t>
      </w:r>
      <w:r>
        <w:rPr>
          <w:color w:val="000000"/>
          <w:sz w:val="24"/>
          <w:szCs w:val="24"/>
        </w:rPr>
        <w:t>指数上涨</w:t>
      </w:r>
      <w:r>
        <w:rPr>
          <w:color w:val="000000"/>
          <w:sz w:val="24"/>
          <w:szCs w:val="24"/>
        </w:rPr>
        <w:t>12.96%</w:t>
      </w:r>
      <w:r>
        <w:rPr>
          <w:color w:val="000000"/>
          <w:sz w:val="24"/>
          <w:szCs w:val="24"/>
        </w:rPr>
        <w:t>，创业板指数上涨</w:t>
      </w:r>
      <w:r>
        <w:rPr>
          <w:color w:val="000000"/>
          <w:sz w:val="24"/>
          <w:szCs w:val="24"/>
        </w:rPr>
        <w:t>30.25%,</w:t>
      </w:r>
      <w:r>
        <w:rPr>
          <w:color w:val="000000"/>
          <w:sz w:val="24"/>
          <w:szCs w:val="24"/>
        </w:rPr>
        <w:t>中小板指数上涨</w:t>
      </w:r>
      <w:r>
        <w:rPr>
          <w:color w:val="000000"/>
          <w:sz w:val="24"/>
          <w:szCs w:val="24"/>
        </w:rPr>
        <w:t>23.24%</w:t>
      </w:r>
      <w:r>
        <w:rPr>
          <w:color w:val="000000"/>
          <w:sz w:val="24"/>
          <w:szCs w:val="24"/>
        </w:rPr>
        <w:t>。行业板块方面，一季度中信</w:t>
      </w:r>
      <w:r w:rsidR="008D0970">
        <w:rPr>
          <w:color w:val="000000"/>
          <w:sz w:val="24"/>
          <w:szCs w:val="24"/>
        </w:rPr>
        <w:t>30</w:t>
      </w:r>
      <w:r>
        <w:rPr>
          <w:color w:val="000000"/>
          <w:sz w:val="24"/>
          <w:szCs w:val="24"/>
        </w:rPr>
        <w:t>个一级行业指数中只有</w:t>
      </w:r>
      <w:r>
        <w:rPr>
          <w:color w:val="000000"/>
          <w:sz w:val="24"/>
          <w:szCs w:val="24"/>
        </w:rPr>
        <w:t>4</w:t>
      </w:r>
      <w:r>
        <w:rPr>
          <w:color w:val="000000"/>
          <w:sz w:val="24"/>
          <w:szCs w:val="24"/>
        </w:rPr>
        <w:t>个行业下跌，</w:t>
      </w:r>
      <w:r w:rsidR="00AD5298" w:rsidRPr="00AD5298">
        <w:rPr>
          <w:rFonts w:hint="eastAsia"/>
          <w:color w:val="000000"/>
          <w:sz w:val="24"/>
          <w:szCs w:val="24"/>
        </w:rPr>
        <w:t>其中消费者服务、医药、食品饮料、电子</w:t>
      </w:r>
      <w:r>
        <w:rPr>
          <w:color w:val="000000"/>
          <w:sz w:val="24"/>
          <w:szCs w:val="24"/>
        </w:rPr>
        <w:t>涨幅居前。</w:t>
      </w:r>
    </w:p>
    <w:p w:rsidR="00841934" w:rsidRDefault="009E2552">
      <w:pPr>
        <w:spacing w:line="360" w:lineRule="auto"/>
        <w:ind w:firstLineChars="200" w:firstLine="480"/>
        <w:rPr>
          <w:color w:val="000000"/>
          <w:sz w:val="24"/>
          <w:szCs w:val="24"/>
        </w:rPr>
      </w:pPr>
      <w:r>
        <w:rPr>
          <w:color w:val="000000"/>
          <w:sz w:val="24"/>
          <w:szCs w:val="24"/>
        </w:rPr>
        <w:t>二季度国内疫情得到有效控制，经济开始逐渐复苏，流动性保持宽松，证券市场带来的财富效应使权益类基金产品发行量维持高位，市场维持高活跃度。</w:t>
      </w:r>
    </w:p>
    <w:p w:rsidR="00841934" w:rsidRDefault="009E2552">
      <w:pPr>
        <w:spacing w:line="360" w:lineRule="auto"/>
        <w:ind w:firstLineChars="200" w:firstLine="480"/>
        <w:rPr>
          <w:color w:val="000000"/>
          <w:sz w:val="24"/>
          <w:szCs w:val="24"/>
        </w:rPr>
      </w:pPr>
      <w:r>
        <w:rPr>
          <w:color w:val="000000"/>
          <w:sz w:val="24"/>
          <w:szCs w:val="24"/>
        </w:rPr>
        <w:t>虽然资本市场面临诸如美国及第三世界国家疫情何时控制住，以及由此带来的全球贸易和供应链的变化、中美关系究竟往何处去等不确定性问题，但国内也</w:t>
      </w:r>
      <w:r>
        <w:rPr>
          <w:color w:val="000000"/>
          <w:sz w:val="24"/>
          <w:szCs w:val="24"/>
        </w:rPr>
        <w:lastRenderedPageBreak/>
        <w:t>会有相机抉择的宏观政策的对冲，对发展直接融资的进行支持，我们相信国内资本市场面临相对稳定的外部环境，从中长期看有明显的投资机会。</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报告期内，我们继续重点配置符合国内经济结构调整和转型方向的重点行业和子板块，增持大消费（食品饮料及医药）、消费电子、新能源及新材料等行业，降低了金融股和家电股的配置。股票仓位维持相对高位，根据市场变化偶有调整。</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4.4.2</w:t>
        </w:r>
      </w:smartTag>
      <w:r w:rsidRPr="00264E55">
        <w:rPr>
          <w:rFonts w:ascii="宋体" w:hAnsi="宋体" w:cs="宋体" w:hint="eastAsia"/>
          <w:sz w:val="24"/>
          <w:szCs w:val="24"/>
        </w:rPr>
        <w:t>报告期内基金的业绩表现</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截至报告期末，本基金份额净值为</w:t>
      </w:r>
      <w:r w:rsidRPr="006C56AA">
        <w:rPr>
          <w:color w:val="000000"/>
          <w:sz w:val="24"/>
          <w:szCs w:val="24"/>
        </w:rPr>
        <w:t>0.523</w:t>
      </w:r>
      <w:r w:rsidRPr="006C56AA">
        <w:rPr>
          <w:color w:val="000000"/>
          <w:sz w:val="24"/>
          <w:szCs w:val="24"/>
        </w:rPr>
        <w:t>元，本报告期份额净值增长率为</w:t>
      </w:r>
      <w:r w:rsidRPr="006C56AA">
        <w:rPr>
          <w:color w:val="000000"/>
          <w:sz w:val="24"/>
          <w:szCs w:val="24"/>
        </w:rPr>
        <w:t>22.48%</w:t>
      </w:r>
      <w:r w:rsidRPr="006C56AA">
        <w:rPr>
          <w:color w:val="000000"/>
          <w:sz w:val="24"/>
          <w:szCs w:val="24"/>
        </w:rPr>
        <w:t>，同期业绩比较基准收益率为</w:t>
      </w:r>
      <w:r w:rsidRPr="006C56AA">
        <w:rPr>
          <w:color w:val="000000"/>
          <w:sz w:val="24"/>
          <w:szCs w:val="24"/>
        </w:rPr>
        <w:t>8.97%</w:t>
      </w:r>
      <w:r w:rsidRPr="006C56AA">
        <w:rPr>
          <w:color w:val="000000"/>
          <w:sz w:val="24"/>
          <w:szCs w:val="24"/>
        </w:rPr>
        <w:t>。</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3357"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项目</w:t>
            </w:r>
          </w:p>
        </w:tc>
        <w:tc>
          <w:tcPr>
            <w:tcW w:w="2977"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w="1843"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1</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权益投资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2,491,725,611.11</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91.55</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其中：股票</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2,491,725,611.11</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91.55</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2</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固定收益投资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92,528.28</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0.00</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其中：债券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92,528.28</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0.00</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3</w:t>
            </w:r>
          </w:p>
        </w:tc>
        <w:tc>
          <w:tcPr>
            <w:tcW w:w="3357" w:type="dxa"/>
          </w:tcPr>
          <w:p w:rsidR="00750D48" w:rsidRPr="00232B03" w:rsidRDefault="00750D48" w:rsidP="00EB572F">
            <w:pPr>
              <w:spacing w:before="29" w:line="360" w:lineRule="auto"/>
              <w:ind w:leftChars="50" w:left="105"/>
              <w:rPr>
                <w:color w:val="000000"/>
                <w:kern w:val="0"/>
                <w:sz w:val="24"/>
                <w:szCs w:val="24"/>
              </w:rPr>
            </w:pPr>
            <w:r w:rsidRPr="00232B03">
              <w:rPr>
                <w:color w:val="000000"/>
                <w:kern w:val="0"/>
                <w:sz w:val="24"/>
                <w:szCs w:val="24"/>
              </w:rPr>
              <w:t>贵金属投资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4</w:t>
            </w:r>
          </w:p>
        </w:tc>
        <w:tc>
          <w:tcPr>
            <w:tcW w:w="3357" w:type="dxa"/>
            <w:vAlign w:val="center"/>
          </w:tcPr>
          <w:p w:rsidR="00750D48" w:rsidRPr="00232B03" w:rsidRDefault="00750D48" w:rsidP="00B05049">
            <w:pPr>
              <w:spacing w:before="29" w:line="360" w:lineRule="auto"/>
              <w:ind w:left="17"/>
              <w:jc w:val="left"/>
              <w:rPr>
                <w:color w:val="000000"/>
                <w:kern w:val="0"/>
                <w:sz w:val="24"/>
                <w:szCs w:val="24"/>
              </w:rPr>
            </w:pPr>
            <w:r w:rsidRPr="00232B03">
              <w:rPr>
                <w:color w:val="000000"/>
                <w:kern w:val="0"/>
                <w:sz w:val="24"/>
                <w:szCs w:val="24"/>
              </w:rPr>
              <w:t>金融衍生品投资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5</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6</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银行存款和结算备付金合计</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227,953,523.99</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8.38</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7</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其他资产</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1,919,512.91</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0.07</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8</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合计</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2,721,691,176.29</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100.00</w:t>
            </w:r>
          </w:p>
        </w:tc>
      </w:tr>
    </w:tbl>
    <w:p w:rsidR="008C2A4F" w:rsidRPr="00220C32" w:rsidRDefault="008C2A4F" w:rsidP="008C2A4F">
      <w:pPr>
        <w:autoSpaceDE w:val="0"/>
        <w:autoSpaceDN w:val="0"/>
        <w:adjustRightInd w:val="0"/>
        <w:spacing w:line="360" w:lineRule="auto"/>
        <w:jc w:val="left"/>
        <w:rPr>
          <w:rFonts w:asciiTheme="minorEastAsia" w:eastAsiaTheme="minorEastAsia" w:hAnsiTheme="minorEastAsia"/>
          <w:b/>
          <w:bCs/>
          <w:color w:val="000000" w:themeColor="text1"/>
          <w:kern w:val="0"/>
          <w:sz w:val="24"/>
          <w:szCs w:val="24"/>
        </w:rPr>
      </w:pPr>
      <w:r w:rsidRPr="00220C32">
        <w:rPr>
          <w:rFonts w:asciiTheme="minorEastAsia" w:eastAsiaTheme="minorEastAsia" w:hAnsiTheme="minorEastAsia"/>
          <w:b/>
          <w:bCs/>
          <w:color w:val="000000" w:themeColor="text1"/>
          <w:kern w:val="0"/>
          <w:sz w:val="24"/>
          <w:szCs w:val="24"/>
        </w:rPr>
        <w:t xml:space="preserve">5.2 </w:t>
      </w:r>
      <w:r w:rsidRPr="00220C32">
        <w:rPr>
          <w:rFonts w:asciiTheme="minorEastAsia" w:eastAsiaTheme="minorEastAsia" w:hAnsiTheme="minorEastAsia" w:hint="eastAsia"/>
          <w:b/>
          <w:bCs/>
          <w:color w:val="000000" w:themeColor="text1"/>
          <w:kern w:val="0"/>
          <w:sz w:val="24"/>
          <w:szCs w:val="24"/>
        </w:rPr>
        <w:t>报告期末按行业分类的股票投资组合</w:t>
      </w:r>
    </w:p>
    <w:p w:rsidR="008C2A4F" w:rsidRPr="000D7474" w:rsidRDefault="008C2A4F" w:rsidP="008C2A4F">
      <w:pPr>
        <w:rPr>
          <w:rFonts w:asciiTheme="minorEastAsia" w:eastAsiaTheme="minorEastAsia" w:hAnsiTheme="minorEastAsia"/>
          <w:b/>
          <w:bCs/>
          <w:color w:val="000000" w:themeColor="text1"/>
          <w:kern w:val="0"/>
          <w:sz w:val="24"/>
          <w:szCs w:val="24"/>
        </w:rPr>
      </w:pPr>
      <w:r w:rsidRPr="000D7474">
        <w:rPr>
          <w:rFonts w:asciiTheme="minorEastAsia" w:eastAsiaTheme="minorEastAsia" w:hAnsiTheme="minorEastAsia" w:hint="eastAsia"/>
          <w:b/>
          <w:bCs/>
          <w:color w:val="000000" w:themeColor="text1"/>
          <w:kern w:val="0"/>
          <w:sz w:val="24"/>
          <w:szCs w:val="24"/>
        </w:rPr>
        <w:t>5.2.1报告期末按行业分类的境内股票投资组合</w:t>
      </w:r>
    </w:p>
    <w:tbl>
      <w:tblPr>
        <w:tblW w:w="878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09"/>
        <w:gridCol w:w="3544"/>
        <w:gridCol w:w="2977"/>
        <w:gridCol w:w="1559"/>
      </w:tblGrid>
      <w:tr w:rsidR="008C2A4F" w:rsidRPr="008C2A4F" w:rsidTr="003B5535">
        <w:trPr>
          <w:trHeight w:val="390"/>
        </w:trPr>
        <w:tc>
          <w:tcPr>
            <w:tcW w:w="709" w:type="dxa"/>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lastRenderedPageBreak/>
              <w:t>代码</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行业类别</w:t>
            </w:r>
          </w:p>
        </w:tc>
        <w:tc>
          <w:tcPr>
            <w:tcW w:w="2977" w:type="dxa"/>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公允价值（元）</w:t>
            </w:r>
          </w:p>
        </w:tc>
        <w:tc>
          <w:tcPr>
            <w:tcW w:w="155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占基金资产净值比例（％）</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A</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农、林、牧、渔业</w:t>
            </w:r>
          </w:p>
        </w:tc>
        <w:tc>
          <w:tcPr>
            <w:tcW w:w="2977" w:type="dxa"/>
            <w:vAlign w:val="center"/>
          </w:tcPr>
          <w:p w:rsidR="008C2A4F" w:rsidRPr="008C2A4F" w:rsidRDefault="008C2A4F" w:rsidP="003328D9">
            <w:pPr>
              <w:autoSpaceDE w:val="0"/>
              <w:autoSpaceDN w:val="0"/>
              <w:adjustRightInd w:val="0"/>
              <w:spacing w:before="29" w:line="360" w:lineRule="auto"/>
              <w:ind w:left="15"/>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autoSpaceDE w:val="0"/>
              <w:autoSpaceDN w:val="0"/>
              <w:adjustRightInd w:val="0"/>
              <w:spacing w:before="29" w:line="360" w:lineRule="auto"/>
              <w:ind w:left="15"/>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B</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采矿业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p w:rsidR="008C2A4F" w:rsidRPr="008C2A4F" w:rsidRDefault="008C2A4F" w:rsidP="003328D9">
            <w:pPr>
              <w:jc w:val="right"/>
              <w:rPr>
                <w:rFonts w:eastAsiaTheme="minorEastAsia"/>
                <w:color w:val="000000" w:themeColor="text1"/>
                <w:kern w:val="0"/>
                <w:sz w:val="24"/>
                <w:szCs w:val="24"/>
              </w:rPr>
            </w:pP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p w:rsidR="008C2A4F" w:rsidRPr="008C2A4F" w:rsidRDefault="008C2A4F" w:rsidP="003328D9">
            <w:pPr>
              <w:jc w:val="right"/>
              <w:rPr>
                <w:rFonts w:eastAsiaTheme="minorEastAsia"/>
                <w:color w:val="000000" w:themeColor="text1"/>
                <w:kern w:val="0"/>
                <w:sz w:val="24"/>
                <w:szCs w:val="24"/>
              </w:rPr>
            </w:pP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C</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制造业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1,981,195,439.81</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73.31</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D</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电力、热力、燃气及水生产和供应业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47,172,766.32</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1.75</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E</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建筑业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F</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批发和零售业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G</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交通运输、仓储和邮政业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112,701,523.63</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4.17</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H</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住宿和餐饮业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I</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信息传输、软件和信息技术服务业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69,565,800.93</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2.57</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J</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金融业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208,766,433.22</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7.72</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K</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房地产业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L</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租赁和商务服务业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M</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科学研究和技术服务业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72,323,647.20</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2.68</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N</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水利、环境和公共设施管理业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O</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居民服务、修理和其他服务业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P</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教育</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Q</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卫生和社会工作</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R</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文化、体育和娱乐业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S</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综合</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合计</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2,491,725,611.11</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92.20</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w="87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276"/>
        <w:gridCol w:w="1418"/>
        <w:gridCol w:w="1701"/>
        <w:gridCol w:w="1984"/>
        <w:gridCol w:w="1559"/>
      </w:tblGrid>
      <w:tr w:rsidR="00750D48" w:rsidRPr="00264E55" w:rsidTr="00191BDE">
        <w:tc>
          <w:tcPr>
            <w:tcW w:w="851"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股票代码</w:t>
            </w:r>
          </w:p>
        </w:tc>
        <w:tc>
          <w:tcPr>
            <w:tcW w:w="1418"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股票名称</w:t>
            </w:r>
          </w:p>
        </w:tc>
        <w:tc>
          <w:tcPr>
            <w:tcW w:w="1701"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w="1984" w:type="dxa"/>
            <w:vAlign w:val="center"/>
          </w:tcPr>
          <w:p w:rsidR="00750D48" w:rsidRPr="00232B03" w:rsidRDefault="00750D48" w:rsidP="005F7917">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559"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841934">
        <w:tc>
          <w:tcPr>
            <w:tcW w:w="851" w:type="dxa"/>
            <w:vAlign w:val="center"/>
          </w:tcPr>
          <w:p w:rsidR="00841934" w:rsidRDefault="009E2552">
            <w:pPr>
              <w:jc w:val="center"/>
            </w:pPr>
            <w:r>
              <w:rPr>
                <w:color w:val="000000"/>
                <w:kern w:val="0"/>
                <w:sz w:val="24"/>
                <w:szCs w:val="24"/>
              </w:rPr>
              <w:t>1</w:t>
            </w:r>
          </w:p>
        </w:tc>
        <w:tc>
          <w:tcPr>
            <w:tcW w:w="1276" w:type="dxa"/>
            <w:vAlign w:val="center"/>
          </w:tcPr>
          <w:p w:rsidR="00841934" w:rsidRDefault="009E2552">
            <w:pPr>
              <w:jc w:val="center"/>
            </w:pPr>
            <w:r>
              <w:rPr>
                <w:color w:val="000000"/>
                <w:kern w:val="0"/>
                <w:sz w:val="24"/>
                <w:szCs w:val="24"/>
              </w:rPr>
              <w:t>600519</w:t>
            </w:r>
          </w:p>
        </w:tc>
        <w:tc>
          <w:tcPr>
            <w:tcW w:w="1418" w:type="dxa"/>
            <w:vAlign w:val="center"/>
          </w:tcPr>
          <w:p w:rsidR="00841934" w:rsidRDefault="009E2552">
            <w:pPr>
              <w:jc w:val="center"/>
            </w:pPr>
            <w:r>
              <w:rPr>
                <w:color w:val="000000"/>
                <w:kern w:val="0"/>
                <w:sz w:val="24"/>
                <w:szCs w:val="24"/>
              </w:rPr>
              <w:t>贵州茅台</w:t>
            </w:r>
          </w:p>
        </w:tc>
        <w:tc>
          <w:tcPr>
            <w:tcW w:w="1701" w:type="dxa"/>
            <w:vAlign w:val="center"/>
          </w:tcPr>
          <w:p w:rsidR="00841934" w:rsidRDefault="009E2552">
            <w:pPr>
              <w:jc w:val="right"/>
            </w:pPr>
            <w:r>
              <w:rPr>
                <w:color w:val="000000"/>
                <w:kern w:val="0"/>
                <w:sz w:val="24"/>
                <w:szCs w:val="24"/>
              </w:rPr>
              <w:t>183,352</w:t>
            </w:r>
          </w:p>
        </w:tc>
        <w:tc>
          <w:tcPr>
            <w:tcW w:w="1984" w:type="dxa"/>
            <w:vAlign w:val="center"/>
          </w:tcPr>
          <w:p w:rsidR="00841934" w:rsidRDefault="009E2552">
            <w:pPr>
              <w:jc w:val="right"/>
            </w:pPr>
            <w:r>
              <w:rPr>
                <w:color w:val="000000"/>
                <w:kern w:val="0"/>
                <w:sz w:val="24"/>
                <w:szCs w:val="24"/>
              </w:rPr>
              <w:t>268,221,973.76</w:t>
            </w:r>
          </w:p>
        </w:tc>
        <w:tc>
          <w:tcPr>
            <w:tcW w:w="1559" w:type="dxa"/>
            <w:vAlign w:val="center"/>
          </w:tcPr>
          <w:p w:rsidR="00841934" w:rsidRDefault="009E2552">
            <w:pPr>
              <w:jc w:val="right"/>
            </w:pPr>
            <w:r>
              <w:rPr>
                <w:color w:val="000000"/>
                <w:kern w:val="0"/>
                <w:sz w:val="24"/>
                <w:szCs w:val="24"/>
              </w:rPr>
              <w:t>9.92</w:t>
            </w:r>
          </w:p>
        </w:tc>
      </w:tr>
      <w:tr w:rsidR="00841934">
        <w:tc>
          <w:tcPr>
            <w:tcW w:w="851" w:type="dxa"/>
            <w:vAlign w:val="center"/>
          </w:tcPr>
          <w:p w:rsidR="00841934" w:rsidRDefault="009E2552">
            <w:pPr>
              <w:jc w:val="center"/>
            </w:pPr>
            <w:r>
              <w:rPr>
                <w:color w:val="000000"/>
                <w:kern w:val="0"/>
                <w:sz w:val="24"/>
                <w:szCs w:val="24"/>
              </w:rPr>
              <w:t>2</w:t>
            </w:r>
          </w:p>
        </w:tc>
        <w:tc>
          <w:tcPr>
            <w:tcW w:w="1276" w:type="dxa"/>
            <w:vAlign w:val="center"/>
          </w:tcPr>
          <w:p w:rsidR="00841934" w:rsidRDefault="009E2552">
            <w:pPr>
              <w:jc w:val="center"/>
            </w:pPr>
            <w:r>
              <w:rPr>
                <w:color w:val="000000"/>
                <w:kern w:val="0"/>
                <w:sz w:val="24"/>
                <w:szCs w:val="24"/>
              </w:rPr>
              <w:t>000858</w:t>
            </w:r>
          </w:p>
        </w:tc>
        <w:tc>
          <w:tcPr>
            <w:tcW w:w="1418" w:type="dxa"/>
            <w:vAlign w:val="center"/>
          </w:tcPr>
          <w:p w:rsidR="00841934" w:rsidRDefault="009E2552">
            <w:pPr>
              <w:jc w:val="center"/>
            </w:pPr>
            <w:r>
              <w:rPr>
                <w:color w:val="000000"/>
                <w:kern w:val="0"/>
                <w:sz w:val="24"/>
                <w:szCs w:val="24"/>
              </w:rPr>
              <w:t>五粮液</w:t>
            </w:r>
          </w:p>
        </w:tc>
        <w:tc>
          <w:tcPr>
            <w:tcW w:w="1701" w:type="dxa"/>
            <w:vAlign w:val="center"/>
          </w:tcPr>
          <w:p w:rsidR="00841934" w:rsidRDefault="009E2552">
            <w:pPr>
              <w:jc w:val="right"/>
            </w:pPr>
            <w:r>
              <w:rPr>
                <w:color w:val="000000"/>
                <w:kern w:val="0"/>
                <w:sz w:val="24"/>
                <w:szCs w:val="24"/>
              </w:rPr>
              <w:t>750,000</w:t>
            </w:r>
          </w:p>
        </w:tc>
        <w:tc>
          <w:tcPr>
            <w:tcW w:w="1984" w:type="dxa"/>
            <w:vAlign w:val="center"/>
          </w:tcPr>
          <w:p w:rsidR="00841934" w:rsidRDefault="009E2552">
            <w:pPr>
              <w:jc w:val="right"/>
            </w:pPr>
            <w:r>
              <w:rPr>
                <w:color w:val="000000"/>
                <w:kern w:val="0"/>
                <w:sz w:val="24"/>
                <w:szCs w:val="24"/>
              </w:rPr>
              <w:t>128,340,000.00</w:t>
            </w:r>
          </w:p>
        </w:tc>
        <w:tc>
          <w:tcPr>
            <w:tcW w:w="1559" w:type="dxa"/>
            <w:vAlign w:val="center"/>
          </w:tcPr>
          <w:p w:rsidR="00841934" w:rsidRDefault="009E2552">
            <w:pPr>
              <w:jc w:val="right"/>
            </w:pPr>
            <w:r>
              <w:rPr>
                <w:color w:val="000000"/>
                <w:kern w:val="0"/>
                <w:sz w:val="24"/>
                <w:szCs w:val="24"/>
              </w:rPr>
              <w:t>4.75</w:t>
            </w:r>
          </w:p>
        </w:tc>
      </w:tr>
      <w:tr w:rsidR="00841934">
        <w:tc>
          <w:tcPr>
            <w:tcW w:w="851" w:type="dxa"/>
            <w:vAlign w:val="center"/>
          </w:tcPr>
          <w:p w:rsidR="00841934" w:rsidRDefault="009E2552">
            <w:pPr>
              <w:jc w:val="center"/>
            </w:pPr>
            <w:r>
              <w:rPr>
                <w:color w:val="000000"/>
                <w:kern w:val="0"/>
                <w:sz w:val="24"/>
                <w:szCs w:val="24"/>
              </w:rPr>
              <w:t>3</w:t>
            </w:r>
          </w:p>
        </w:tc>
        <w:tc>
          <w:tcPr>
            <w:tcW w:w="1276" w:type="dxa"/>
            <w:vAlign w:val="center"/>
          </w:tcPr>
          <w:p w:rsidR="00841934" w:rsidRDefault="009E2552">
            <w:pPr>
              <w:jc w:val="center"/>
            </w:pPr>
            <w:r>
              <w:rPr>
                <w:color w:val="000000"/>
                <w:kern w:val="0"/>
                <w:sz w:val="24"/>
                <w:szCs w:val="24"/>
              </w:rPr>
              <w:t>601012</w:t>
            </w:r>
          </w:p>
        </w:tc>
        <w:tc>
          <w:tcPr>
            <w:tcW w:w="1418" w:type="dxa"/>
            <w:vAlign w:val="center"/>
          </w:tcPr>
          <w:p w:rsidR="00841934" w:rsidRDefault="009E2552">
            <w:pPr>
              <w:jc w:val="center"/>
            </w:pPr>
            <w:r>
              <w:rPr>
                <w:color w:val="000000"/>
                <w:kern w:val="0"/>
                <w:sz w:val="24"/>
                <w:szCs w:val="24"/>
              </w:rPr>
              <w:t>隆基股份</w:t>
            </w:r>
          </w:p>
        </w:tc>
        <w:tc>
          <w:tcPr>
            <w:tcW w:w="1701" w:type="dxa"/>
            <w:vAlign w:val="center"/>
          </w:tcPr>
          <w:p w:rsidR="00841934" w:rsidRDefault="009E2552">
            <w:pPr>
              <w:jc w:val="right"/>
            </w:pPr>
            <w:r>
              <w:rPr>
                <w:color w:val="000000"/>
                <w:kern w:val="0"/>
                <w:sz w:val="24"/>
                <w:szCs w:val="24"/>
              </w:rPr>
              <w:t>3,005,412</w:t>
            </w:r>
          </w:p>
        </w:tc>
        <w:tc>
          <w:tcPr>
            <w:tcW w:w="1984" w:type="dxa"/>
            <w:vAlign w:val="center"/>
          </w:tcPr>
          <w:p w:rsidR="00841934" w:rsidRDefault="009E2552">
            <w:pPr>
              <w:jc w:val="right"/>
            </w:pPr>
            <w:r>
              <w:rPr>
                <w:color w:val="000000"/>
                <w:kern w:val="0"/>
                <w:sz w:val="24"/>
                <w:szCs w:val="24"/>
              </w:rPr>
              <w:t>122,410,430.76</w:t>
            </w:r>
          </w:p>
        </w:tc>
        <w:tc>
          <w:tcPr>
            <w:tcW w:w="1559" w:type="dxa"/>
            <w:vAlign w:val="center"/>
          </w:tcPr>
          <w:p w:rsidR="00841934" w:rsidRDefault="009E2552">
            <w:pPr>
              <w:jc w:val="right"/>
            </w:pPr>
            <w:r>
              <w:rPr>
                <w:color w:val="000000"/>
                <w:kern w:val="0"/>
                <w:sz w:val="24"/>
                <w:szCs w:val="24"/>
              </w:rPr>
              <w:t>4.53</w:t>
            </w:r>
          </w:p>
        </w:tc>
      </w:tr>
      <w:tr w:rsidR="00841934">
        <w:tc>
          <w:tcPr>
            <w:tcW w:w="851" w:type="dxa"/>
            <w:vAlign w:val="center"/>
          </w:tcPr>
          <w:p w:rsidR="00841934" w:rsidRDefault="009E2552">
            <w:pPr>
              <w:jc w:val="center"/>
            </w:pPr>
            <w:r>
              <w:rPr>
                <w:color w:val="000000"/>
                <w:kern w:val="0"/>
                <w:sz w:val="24"/>
                <w:szCs w:val="24"/>
              </w:rPr>
              <w:t>4</w:t>
            </w:r>
          </w:p>
        </w:tc>
        <w:tc>
          <w:tcPr>
            <w:tcW w:w="1276" w:type="dxa"/>
            <w:vAlign w:val="center"/>
          </w:tcPr>
          <w:p w:rsidR="00841934" w:rsidRDefault="009E2552">
            <w:pPr>
              <w:jc w:val="center"/>
            </w:pPr>
            <w:r>
              <w:rPr>
                <w:color w:val="000000"/>
                <w:kern w:val="0"/>
                <w:sz w:val="24"/>
                <w:szCs w:val="24"/>
              </w:rPr>
              <w:t>000568</w:t>
            </w:r>
          </w:p>
        </w:tc>
        <w:tc>
          <w:tcPr>
            <w:tcW w:w="1418" w:type="dxa"/>
            <w:vAlign w:val="center"/>
          </w:tcPr>
          <w:p w:rsidR="00841934" w:rsidRDefault="009E2552">
            <w:pPr>
              <w:jc w:val="center"/>
            </w:pPr>
            <w:r>
              <w:rPr>
                <w:color w:val="000000"/>
                <w:kern w:val="0"/>
                <w:sz w:val="24"/>
                <w:szCs w:val="24"/>
              </w:rPr>
              <w:t>泸州老窖</w:t>
            </w:r>
          </w:p>
        </w:tc>
        <w:tc>
          <w:tcPr>
            <w:tcW w:w="1701" w:type="dxa"/>
            <w:vAlign w:val="center"/>
          </w:tcPr>
          <w:p w:rsidR="00841934" w:rsidRDefault="009E2552">
            <w:pPr>
              <w:jc w:val="right"/>
            </w:pPr>
            <w:r>
              <w:rPr>
                <w:color w:val="000000"/>
                <w:kern w:val="0"/>
                <w:sz w:val="24"/>
                <w:szCs w:val="24"/>
              </w:rPr>
              <w:t>1,299,985</w:t>
            </w:r>
          </w:p>
        </w:tc>
        <w:tc>
          <w:tcPr>
            <w:tcW w:w="1984" w:type="dxa"/>
            <w:vAlign w:val="center"/>
          </w:tcPr>
          <w:p w:rsidR="00841934" w:rsidRDefault="009E2552">
            <w:pPr>
              <w:jc w:val="right"/>
            </w:pPr>
            <w:r>
              <w:rPr>
                <w:color w:val="000000"/>
                <w:kern w:val="0"/>
                <w:sz w:val="24"/>
                <w:szCs w:val="24"/>
              </w:rPr>
              <w:t>118,454,633.20</w:t>
            </w:r>
          </w:p>
        </w:tc>
        <w:tc>
          <w:tcPr>
            <w:tcW w:w="1559" w:type="dxa"/>
            <w:vAlign w:val="center"/>
          </w:tcPr>
          <w:p w:rsidR="00841934" w:rsidRDefault="009E2552">
            <w:pPr>
              <w:jc w:val="right"/>
            </w:pPr>
            <w:r>
              <w:rPr>
                <w:color w:val="000000"/>
                <w:kern w:val="0"/>
                <w:sz w:val="24"/>
                <w:szCs w:val="24"/>
              </w:rPr>
              <w:t>4.38</w:t>
            </w:r>
          </w:p>
        </w:tc>
      </w:tr>
      <w:tr w:rsidR="00841934">
        <w:tc>
          <w:tcPr>
            <w:tcW w:w="851" w:type="dxa"/>
            <w:vAlign w:val="center"/>
          </w:tcPr>
          <w:p w:rsidR="00841934" w:rsidRDefault="009E2552">
            <w:pPr>
              <w:jc w:val="center"/>
            </w:pPr>
            <w:r>
              <w:rPr>
                <w:color w:val="000000"/>
                <w:kern w:val="0"/>
                <w:sz w:val="24"/>
                <w:szCs w:val="24"/>
              </w:rPr>
              <w:t>5</w:t>
            </w:r>
          </w:p>
        </w:tc>
        <w:tc>
          <w:tcPr>
            <w:tcW w:w="1276" w:type="dxa"/>
            <w:vAlign w:val="center"/>
          </w:tcPr>
          <w:p w:rsidR="00841934" w:rsidRDefault="009E2552">
            <w:pPr>
              <w:jc w:val="center"/>
            </w:pPr>
            <w:r>
              <w:rPr>
                <w:color w:val="000000"/>
                <w:kern w:val="0"/>
                <w:sz w:val="24"/>
                <w:szCs w:val="24"/>
              </w:rPr>
              <w:t>000651</w:t>
            </w:r>
          </w:p>
        </w:tc>
        <w:tc>
          <w:tcPr>
            <w:tcW w:w="1418" w:type="dxa"/>
            <w:vAlign w:val="center"/>
          </w:tcPr>
          <w:p w:rsidR="00841934" w:rsidRDefault="009E2552">
            <w:pPr>
              <w:jc w:val="center"/>
            </w:pPr>
            <w:r>
              <w:rPr>
                <w:color w:val="000000"/>
                <w:kern w:val="0"/>
                <w:sz w:val="24"/>
                <w:szCs w:val="24"/>
              </w:rPr>
              <w:t>格力电器</w:t>
            </w:r>
          </w:p>
        </w:tc>
        <w:tc>
          <w:tcPr>
            <w:tcW w:w="1701" w:type="dxa"/>
            <w:vAlign w:val="center"/>
          </w:tcPr>
          <w:p w:rsidR="00841934" w:rsidRDefault="009E2552">
            <w:pPr>
              <w:jc w:val="right"/>
            </w:pPr>
            <w:r>
              <w:rPr>
                <w:color w:val="000000"/>
                <w:kern w:val="0"/>
                <w:sz w:val="24"/>
                <w:szCs w:val="24"/>
              </w:rPr>
              <w:t>1,819,998</w:t>
            </w:r>
          </w:p>
        </w:tc>
        <w:tc>
          <w:tcPr>
            <w:tcW w:w="1984" w:type="dxa"/>
            <w:vAlign w:val="center"/>
          </w:tcPr>
          <w:p w:rsidR="00841934" w:rsidRDefault="009E2552">
            <w:pPr>
              <w:jc w:val="right"/>
            </w:pPr>
            <w:r>
              <w:rPr>
                <w:color w:val="000000"/>
                <w:kern w:val="0"/>
                <w:sz w:val="24"/>
                <w:szCs w:val="24"/>
              </w:rPr>
              <w:t>102,957,286.86</w:t>
            </w:r>
          </w:p>
        </w:tc>
        <w:tc>
          <w:tcPr>
            <w:tcW w:w="1559" w:type="dxa"/>
            <w:vAlign w:val="center"/>
          </w:tcPr>
          <w:p w:rsidR="00841934" w:rsidRDefault="009E2552">
            <w:pPr>
              <w:jc w:val="right"/>
            </w:pPr>
            <w:r>
              <w:rPr>
                <w:color w:val="000000"/>
                <w:kern w:val="0"/>
                <w:sz w:val="24"/>
                <w:szCs w:val="24"/>
              </w:rPr>
              <w:t>3.81</w:t>
            </w:r>
          </w:p>
        </w:tc>
      </w:tr>
      <w:tr w:rsidR="00841934">
        <w:tc>
          <w:tcPr>
            <w:tcW w:w="851" w:type="dxa"/>
            <w:vAlign w:val="center"/>
          </w:tcPr>
          <w:p w:rsidR="00841934" w:rsidRDefault="009E2552">
            <w:pPr>
              <w:jc w:val="center"/>
            </w:pPr>
            <w:r>
              <w:rPr>
                <w:color w:val="000000"/>
                <w:kern w:val="0"/>
                <w:sz w:val="24"/>
                <w:szCs w:val="24"/>
              </w:rPr>
              <w:t>6</w:t>
            </w:r>
          </w:p>
        </w:tc>
        <w:tc>
          <w:tcPr>
            <w:tcW w:w="1276" w:type="dxa"/>
            <w:vAlign w:val="center"/>
          </w:tcPr>
          <w:p w:rsidR="00841934" w:rsidRDefault="009E2552">
            <w:pPr>
              <w:jc w:val="center"/>
            </w:pPr>
            <w:r>
              <w:rPr>
                <w:color w:val="000000"/>
                <w:kern w:val="0"/>
                <w:sz w:val="24"/>
                <w:szCs w:val="24"/>
              </w:rPr>
              <w:t>600036</w:t>
            </w:r>
          </w:p>
        </w:tc>
        <w:tc>
          <w:tcPr>
            <w:tcW w:w="1418" w:type="dxa"/>
            <w:vAlign w:val="center"/>
          </w:tcPr>
          <w:p w:rsidR="00841934" w:rsidRDefault="009E2552">
            <w:pPr>
              <w:jc w:val="center"/>
            </w:pPr>
            <w:r>
              <w:rPr>
                <w:color w:val="000000"/>
                <w:kern w:val="0"/>
                <w:sz w:val="24"/>
                <w:szCs w:val="24"/>
              </w:rPr>
              <w:t>招商银行</w:t>
            </w:r>
          </w:p>
        </w:tc>
        <w:tc>
          <w:tcPr>
            <w:tcW w:w="1701" w:type="dxa"/>
            <w:vAlign w:val="center"/>
          </w:tcPr>
          <w:p w:rsidR="00841934" w:rsidRDefault="009E2552">
            <w:pPr>
              <w:jc w:val="right"/>
            </w:pPr>
            <w:r>
              <w:rPr>
                <w:color w:val="000000"/>
                <w:kern w:val="0"/>
                <w:sz w:val="24"/>
                <w:szCs w:val="24"/>
              </w:rPr>
              <w:t>2,939,235</w:t>
            </w:r>
          </w:p>
        </w:tc>
        <w:tc>
          <w:tcPr>
            <w:tcW w:w="1984" w:type="dxa"/>
            <w:vAlign w:val="center"/>
          </w:tcPr>
          <w:p w:rsidR="00841934" w:rsidRDefault="009E2552">
            <w:pPr>
              <w:jc w:val="right"/>
            </w:pPr>
            <w:r>
              <w:rPr>
                <w:color w:val="000000"/>
                <w:kern w:val="0"/>
                <w:sz w:val="24"/>
                <w:szCs w:val="24"/>
              </w:rPr>
              <w:t>99,111,004.20</w:t>
            </w:r>
          </w:p>
        </w:tc>
        <w:tc>
          <w:tcPr>
            <w:tcW w:w="1559" w:type="dxa"/>
            <w:vAlign w:val="center"/>
          </w:tcPr>
          <w:p w:rsidR="00841934" w:rsidRDefault="009E2552">
            <w:pPr>
              <w:jc w:val="right"/>
            </w:pPr>
            <w:r>
              <w:rPr>
                <w:color w:val="000000"/>
                <w:kern w:val="0"/>
                <w:sz w:val="24"/>
                <w:szCs w:val="24"/>
              </w:rPr>
              <w:t>3.67</w:t>
            </w:r>
          </w:p>
        </w:tc>
      </w:tr>
      <w:tr w:rsidR="00841934">
        <w:tc>
          <w:tcPr>
            <w:tcW w:w="851" w:type="dxa"/>
            <w:vAlign w:val="center"/>
          </w:tcPr>
          <w:p w:rsidR="00841934" w:rsidRDefault="009E2552">
            <w:pPr>
              <w:jc w:val="center"/>
            </w:pPr>
            <w:r>
              <w:rPr>
                <w:color w:val="000000"/>
                <w:kern w:val="0"/>
                <w:sz w:val="24"/>
                <w:szCs w:val="24"/>
              </w:rPr>
              <w:lastRenderedPageBreak/>
              <w:t>7</w:t>
            </w:r>
          </w:p>
        </w:tc>
        <w:tc>
          <w:tcPr>
            <w:tcW w:w="1276" w:type="dxa"/>
            <w:vAlign w:val="center"/>
          </w:tcPr>
          <w:p w:rsidR="00841934" w:rsidRDefault="009E2552">
            <w:pPr>
              <w:jc w:val="center"/>
            </w:pPr>
            <w:r>
              <w:rPr>
                <w:color w:val="000000"/>
                <w:kern w:val="0"/>
                <w:sz w:val="24"/>
                <w:szCs w:val="24"/>
              </w:rPr>
              <w:t>000596</w:t>
            </w:r>
          </w:p>
        </w:tc>
        <w:tc>
          <w:tcPr>
            <w:tcW w:w="1418" w:type="dxa"/>
            <w:vAlign w:val="center"/>
          </w:tcPr>
          <w:p w:rsidR="00841934" w:rsidRDefault="009E2552">
            <w:pPr>
              <w:jc w:val="center"/>
            </w:pPr>
            <w:r>
              <w:rPr>
                <w:color w:val="000000"/>
                <w:kern w:val="0"/>
                <w:sz w:val="24"/>
                <w:szCs w:val="24"/>
              </w:rPr>
              <w:t>古井贡酒</w:t>
            </w:r>
          </w:p>
        </w:tc>
        <w:tc>
          <w:tcPr>
            <w:tcW w:w="1701" w:type="dxa"/>
            <w:vAlign w:val="center"/>
          </w:tcPr>
          <w:p w:rsidR="00841934" w:rsidRDefault="009E2552">
            <w:pPr>
              <w:jc w:val="right"/>
            </w:pPr>
            <w:r>
              <w:rPr>
                <w:color w:val="000000"/>
                <w:kern w:val="0"/>
                <w:sz w:val="24"/>
                <w:szCs w:val="24"/>
              </w:rPr>
              <w:t>649,773</w:t>
            </w:r>
          </w:p>
        </w:tc>
        <w:tc>
          <w:tcPr>
            <w:tcW w:w="1984" w:type="dxa"/>
            <w:vAlign w:val="center"/>
          </w:tcPr>
          <w:p w:rsidR="00841934" w:rsidRDefault="009E2552">
            <w:pPr>
              <w:jc w:val="right"/>
            </w:pPr>
            <w:r>
              <w:rPr>
                <w:color w:val="000000"/>
                <w:kern w:val="0"/>
                <w:sz w:val="24"/>
                <w:szCs w:val="24"/>
              </w:rPr>
              <w:t>97,621,895.52</w:t>
            </w:r>
          </w:p>
        </w:tc>
        <w:tc>
          <w:tcPr>
            <w:tcW w:w="1559" w:type="dxa"/>
            <w:vAlign w:val="center"/>
          </w:tcPr>
          <w:p w:rsidR="00841934" w:rsidRDefault="009E2552">
            <w:pPr>
              <w:jc w:val="right"/>
            </w:pPr>
            <w:r>
              <w:rPr>
                <w:color w:val="000000"/>
                <w:kern w:val="0"/>
                <w:sz w:val="24"/>
                <w:szCs w:val="24"/>
              </w:rPr>
              <w:t>3.61</w:t>
            </w:r>
          </w:p>
        </w:tc>
      </w:tr>
      <w:tr w:rsidR="00841934">
        <w:tc>
          <w:tcPr>
            <w:tcW w:w="851" w:type="dxa"/>
            <w:vAlign w:val="center"/>
          </w:tcPr>
          <w:p w:rsidR="00841934" w:rsidRDefault="009E2552">
            <w:pPr>
              <w:jc w:val="center"/>
            </w:pPr>
            <w:r>
              <w:rPr>
                <w:color w:val="000000"/>
                <w:kern w:val="0"/>
                <w:sz w:val="24"/>
                <w:szCs w:val="24"/>
              </w:rPr>
              <w:t>8</w:t>
            </w:r>
          </w:p>
        </w:tc>
        <w:tc>
          <w:tcPr>
            <w:tcW w:w="1276" w:type="dxa"/>
            <w:vAlign w:val="center"/>
          </w:tcPr>
          <w:p w:rsidR="00841934" w:rsidRDefault="009E2552">
            <w:pPr>
              <w:jc w:val="center"/>
            </w:pPr>
            <w:r>
              <w:rPr>
                <w:color w:val="000000"/>
                <w:kern w:val="0"/>
                <w:sz w:val="24"/>
                <w:szCs w:val="24"/>
              </w:rPr>
              <w:t>000661</w:t>
            </w:r>
          </w:p>
        </w:tc>
        <w:tc>
          <w:tcPr>
            <w:tcW w:w="1418" w:type="dxa"/>
            <w:vAlign w:val="center"/>
          </w:tcPr>
          <w:p w:rsidR="00841934" w:rsidRDefault="009E2552">
            <w:pPr>
              <w:jc w:val="center"/>
            </w:pPr>
            <w:r>
              <w:rPr>
                <w:color w:val="000000"/>
                <w:kern w:val="0"/>
                <w:sz w:val="24"/>
                <w:szCs w:val="24"/>
              </w:rPr>
              <w:t>长春高新</w:t>
            </w:r>
          </w:p>
        </w:tc>
        <w:tc>
          <w:tcPr>
            <w:tcW w:w="1701" w:type="dxa"/>
            <w:vAlign w:val="center"/>
          </w:tcPr>
          <w:p w:rsidR="00841934" w:rsidRDefault="009E2552">
            <w:pPr>
              <w:jc w:val="right"/>
            </w:pPr>
            <w:r>
              <w:rPr>
                <w:color w:val="000000"/>
                <w:kern w:val="0"/>
                <w:sz w:val="24"/>
                <w:szCs w:val="24"/>
              </w:rPr>
              <w:t>194,800</w:t>
            </w:r>
          </w:p>
        </w:tc>
        <w:tc>
          <w:tcPr>
            <w:tcW w:w="1984" w:type="dxa"/>
            <w:vAlign w:val="center"/>
          </w:tcPr>
          <w:p w:rsidR="00841934" w:rsidRDefault="009E2552">
            <w:pPr>
              <w:jc w:val="right"/>
            </w:pPr>
            <w:r>
              <w:rPr>
                <w:color w:val="000000"/>
                <w:kern w:val="0"/>
                <w:sz w:val="24"/>
                <w:szCs w:val="24"/>
              </w:rPr>
              <w:t>84,796,440.00</w:t>
            </w:r>
          </w:p>
        </w:tc>
        <w:tc>
          <w:tcPr>
            <w:tcW w:w="1559" w:type="dxa"/>
            <w:vAlign w:val="center"/>
          </w:tcPr>
          <w:p w:rsidR="00841934" w:rsidRDefault="009E2552">
            <w:pPr>
              <w:jc w:val="right"/>
            </w:pPr>
            <w:r>
              <w:rPr>
                <w:color w:val="000000"/>
                <w:kern w:val="0"/>
                <w:sz w:val="24"/>
                <w:szCs w:val="24"/>
              </w:rPr>
              <w:t>3.14</w:t>
            </w:r>
          </w:p>
        </w:tc>
      </w:tr>
      <w:tr w:rsidR="00841934">
        <w:tc>
          <w:tcPr>
            <w:tcW w:w="851" w:type="dxa"/>
            <w:vAlign w:val="center"/>
          </w:tcPr>
          <w:p w:rsidR="00841934" w:rsidRDefault="009E2552">
            <w:pPr>
              <w:jc w:val="center"/>
            </w:pPr>
            <w:r>
              <w:rPr>
                <w:color w:val="000000"/>
                <w:kern w:val="0"/>
                <w:sz w:val="24"/>
                <w:szCs w:val="24"/>
              </w:rPr>
              <w:t>9</w:t>
            </w:r>
          </w:p>
        </w:tc>
        <w:tc>
          <w:tcPr>
            <w:tcW w:w="1276" w:type="dxa"/>
            <w:vAlign w:val="center"/>
          </w:tcPr>
          <w:p w:rsidR="00841934" w:rsidRDefault="009E2552">
            <w:pPr>
              <w:jc w:val="center"/>
            </w:pPr>
            <w:r>
              <w:rPr>
                <w:color w:val="000000"/>
                <w:kern w:val="0"/>
                <w:sz w:val="24"/>
                <w:szCs w:val="24"/>
              </w:rPr>
              <w:t>600009</w:t>
            </w:r>
          </w:p>
        </w:tc>
        <w:tc>
          <w:tcPr>
            <w:tcW w:w="1418" w:type="dxa"/>
            <w:vAlign w:val="center"/>
          </w:tcPr>
          <w:p w:rsidR="00841934" w:rsidRDefault="009E2552">
            <w:pPr>
              <w:jc w:val="center"/>
            </w:pPr>
            <w:r>
              <w:rPr>
                <w:color w:val="000000"/>
                <w:kern w:val="0"/>
                <w:sz w:val="24"/>
                <w:szCs w:val="24"/>
              </w:rPr>
              <w:t>上海机场</w:t>
            </w:r>
          </w:p>
        </w:tc>
        <w:tc>
          <w:tcPr>
            <w:tcW w:w="1701" w:type="dxa"/>
            <w:vAlign w:val="center"/>
          </w:tcPr>
          <w:p w:rsidR="00841934" w:rsidRDefault="009E2552">
            <w:pPr>
              <w:jc w:val="right"/>
            </w:pPr>
            <w:r>
              <w:rPr>
                <w:color w:val="000000"/>
                <w:kern w:val="0"/>
                <w:sz w:val="24"/>
                <w:szCs w:val="24"/>
              </w:rPr>
              <w:t>1,099,893</w:t>
            </w:r>
          </w:p>
        </w:tc>
        <w:tc>
          <w:tcPr>
            <w:tcW w:w="1984" w:type="dxa"/>
            <w:vAlign w:val="center"/>
          </w:tcPr>
          <w:p w:rsidR="00841934" w:rsidRDefault="009E2552">
            <w:pPr>
              <w:jc w:val="right"/>
            </w:pPr>
            <w:r>
              <w:rPr>
                <w:color w:val="000000"/>
                <w:kern w:val="0"/>
                <w:sz w:val="24"/>
                <w:szCs w:val="24"/>
              </w:rPr>
              <w:t>79,269,288.51</w:t>
            </w:r>
          </w:p>
        </w:tc>
        <w:tc>
          <w:tcPr>
            <w:tcW w:w="1559" w:type="dxa"/>
            <w:vAlign w:val="center"/>
          </w:tcPr>
          <w:p w:rsidR="00841934" w:rsidRDefault="009E2552">
            <w:pPr>
              <w:jc w:val="right"/>
            </w:pPr>
            <w:r>
              <w:rPr>
                <w:color w:val="000000"/>
                <w:kern w:val="0"/>
                <w:sz w:val="24"/>
                <w:szCs w:val="24"/>
              </w:rPr>
              <w:t>2.93</w:t>
            </w:r>
          </w:p>
        </w:tc>
      </w:tr>
      <w:tr w:rsidR="00841934">
        <w:tc>
          <w:tcPr>
            <w:tcW w:w="851" w:type="dxa"/>
            <w:vAlign w:val="center"/>
          </w:tcPr>
          <w:p w:rsidR="00841934" w:rsidRDefault="009E2552">
            <w:pPr>
              <w:jc w:val="center"/>
            </w:pPr>
            <w:r>
              <w:rPr>
                <w:color w:val="000000"/>
                <w:kern w:val="0"/>
                <w:sz w:val="24"/>
                <w:szCs w:val="24"/>
              </w:rPr>
              <w:t>10</w:t>
            </w:r>
          </w:p>
        </w:tc>
        <w:tc>
          <w:tcPr>
            <w:tcW w:w="1276" w:type="dxa"/>
            <w:vAlign w:val="center"/>
          </w:tcPr>
          <w:p w:rsidR="00841934" w:rsidRDefault="009E2552">
            <w:pPr>
              <w:jc w:val="center"/>
            </w:pPr>
            <w:r>
              <w:rPr>
                <w:color w:val="000000"/>
                <w:kern w:val="0"/>
                <w:sz w:val="24"/>
                <w:szCs w:val="24"/>
              </w:rPr>
              <w:t>600309</w:t>
            </w:r>
          </w:p>
        </w:tc>
        <w:tc>
          <w:tcPr>
            <w:tcW w:w="1418" w:type="dxa"/>
            <w:vAlign w:val="center"/>
          </w:tcPr>
          <w:p w:rsidR="00841934" w:rsidRDefault="009E2552">
            <w:pPr>
              <w:jc w:val="center"/>
            </w:pPr>
            <w:r>
              <w:rPr>
                <w:color w:val="000000"/>
                <w:kern w:val="0"/>
                <w:sz w:val="24"/>
                <w:szCs w:val="24"/>
              </w:rPr>
              <w:t>万华化学</w:t>
            </w:r>
          </w:p>
        </w:tc>
        <w:tc>
          <w:tcPr>
            <w:tcW w:w="1701" w:type="dxa"/>
            <w:vAlign w:val="center"/>
          </w:tcPr>
          <w:p w:rsidR="00841934" w:rsidRDefault="009E2552">
            <w:pPr>
              <w:jc w:val="right"/>
            </w:pPr>
            <w:r>
              <w:rPr>
                <w:color w:val="000000"/>
                <w:kern w:val="0"/>
                <w:sz w:val="24"/>
                <w:szCs w:val="24"/>
              </w:rPr>
              <w:t>1,508,752</w:t>
            </w:r>
          </w:p>
        </w:tc>
        <w:tc>
          <w:tcPr>
            <w:tcW w:w="1984" w:type="dxa"/>
            <w:vAlign w:val="center"/>
          </w:tcPr>
          <w:p w:rsidR="00841934" w:rsidRDefault="009E2552">
            <w:pPr>
              <w:jc w:val="right"/>
            </w:pPr>
            <w:r>
              <w:rPr>
                <w:color w:val="000000"/>
                <w:kern w:val="0"/>
                <w:sz w:val="24"/>
                <w:szCs w:val="24"/>
              </w:rPr>
              <w:t>75,422,512.48</w:t>
            </w:r>
          </w:p>
        </w:tc>
        <w:tc>
          <w:tcPr>
            <w:tcW w:w="1559" w:type="dxa"/>
            <w:vAlign w:val="center"/>
          </w:tcPr>
          <w:p w:rsidR="00841934" w:rsidRDefault="009E2552">
            <w:pPr>
              <w:jc w:val="right"/>
            </w:pPr>
            <w:r>
              <w:rPr>
                <w:color w:val="000000"/>
                <w:kern w:val="0"/>
                <w:sz w:val="24"/>
                <w:szCs w:val="24"/>
              </w:rPr>
              <w:t>2.79</w:t>
            </w:r>
          </w:p>
        </w:tc>
      </w:tr>
    </w:tbl>
    <w:p w:rsidR="00CA4677" w:rsidRPr="00283CAD" w:rsidRDefault="00750D48" w:rsidP="00CA4677">
      <w:pPr>
        <w:autoSpaceDE w:val="0"/>
        <w:autoSpaceDN w:val="0"/>
        <w:adjustRightInd w:val="0"/>
        <w:spacing w:line="360" w:lineRule="auto"/>
        <w:jc w:val="left"/>
        <w:rPr>
          <w:rFonts w:eastAsiaTheme="minorEastAsia"/>
          <w:b/>
          <w:bCs/>
          <w:color w:val="000000" w:themeColor="text1"/>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w="8755" w:type="dxa"/>
        <w:jc w:val="center"/>
        <w:tblLayout w:type="fixed"/>
        <w:tblLook w:val="04A0" w:firstRow="1" w:lastRow="0" w:firstColumn="1" w:lastColumn="0" w:noHBand="0" w:noVBand="1"/>
      </w:tblPr>
      <w:tblGrid>
        <w:gridCol w:w="817"/>
        <w:gridCol w:w="3260"/>
        <w:gridCol w:w="2949"/>
        <w:gridCol w:w="1729"/>
      </w:tblGrid>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序号</w:t>
            </w:r>
          </w:p>
        </w:tc>
        <w:tc>
          <w:tcPr>
            <w:tcW w:w="3260"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债券品种</w:t>
            </w:r>
          </w:p>
        </w:tc>
        <w:tc>
          <w:tcPr>
            <w:tcW w:w="294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公允价值</w:t>
            </w:r>
            <w:r w:rsidRPr="00283CAD">
              <w:rPr>
                <w:rFonts w:eastAsiaTheme="minorEastAsia"/>
                <w:color w:val="000000" w:themeColor="text1"/>
                <w:sz w:val="24"/>
                <w:szCs w:val="24"/>
              </w:rPr>
              <w:t>(</w:t>
            </w:r>
            <w:r w:rsidRPr="00283CAD">
              <w:rPr>
                <w:rFonts w:eastAsiaTheme="minorEastAsia"/>
                <w:color w:val="000000" w:themeColor="text1"/>
                <w:sz w:val="24"/>
                <w:szCs w:val="24"/>
              </w:rPr>
              <w:t>元</w:t>
            </w: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占基金资产净值比例</w:t>
            </w:r>
            <w:r w:rsidRPr="00283CAD">
              <w:rPr>
                <w:rFonts w:eastAsiaTheme="minorEastAsia"/>
                <w:color w:val="000000" w:themeColor="text1"/>
                <w:sz w:val="24"/>
                <w:szCs w:val="24"/>
              </w:rPr>
              <w:t>(</w:t>
            </w:r>
            <w:r w:rsidRPr="00283CAD">
              <w:rPr>
                <w:rFonts w:eastAsiaTheme="minorEastAsia"/>
                <w:color w:val="000000" w:themeColor="text1"/>
                <w:sz w:val="24"/>
                <w:szCs w:val="24"/>
              </w:rPr>
              <w:t>％</w:t>
            </w: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国家债券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2</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央行票据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3</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金融债券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其中：政策性金融债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4</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5</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企业短期融资券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6</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中期票据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7</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可转债</w:t>
            </w:r>
            <w:r w:rsidR="004B5343" w:rsidRPr="004B5343">
              <w:rPr>
                <w:rFonts w:eastAsiaTheme="minorEastAsia" w:hint="eastAsia"/>
                <w:color w:val="000000" w:themeColor="text1"/>
                <w:sz w:val="24"/>
                <w:szCs w:val="24"/>
              </w:rPr>
              <w:t>（可交换债）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92,528.28</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0.00</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8</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同业存单</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9</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其他</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10</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合计</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92,528.28</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0.00</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276"/>
        <w:gridCol w:w="1275"/>
        <w:gridCol w:w="1560"/>
        <w:gridCol w:w="1984"/>
        <w:gridCol w:w="1474"/>
      </w:tblGrid>
      <w:tr w:rsidR="00750D48" w:rsidRPr="00264E55" w:rsidTr="005602F3">
        <w:tc>
          <w:tcPr>
            <w:tcW w:w="959"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债券代码</w:t>
            </w:r>
          </w:p>
        </w:tc>
        <w:tc>
          <w:tcPr>
            <w:tcW w:w="1275"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债券名称</w:t>
            </w:r>
          </w:p>
        </w:tc>
        <w:tc>
          <w:tcPr>
            <w:tcW w:w="1560"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w="198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47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841934">
        <w:tc>
          <w:tcPr>
            <w:tcW w:w="959" w:type="dxa"/>
            <w:vAlign w:val="center"/>
          </w:tcPr>
          <w:p w:rsidR="00841934" w:rsidRDefault="009E2552">
            <w:pPr>
              <w:jc w:val="center"/>
            </w:pPr>
            <w:r>
              <w:rPr>
                <w:color w:val="000000"/>
                <w:kern w:val="0"/>
                <w:sz w:val="24"/>
                <w:szCs w:val="24"/>
              </w:rPr>
              <w:t>1</w:t>
            </w:r>
          </w:p>
        </w:tc>
        <w:tc>
          <w:tcPr>
            <w:tcW w:w="1276" w:type="dxa"/>
            <w:vAlign w:val="center"/>
          </w:tcPr>
          <w:p w:rsidR="00841934" w:rsidRDefault="009E2552">
            <w:pPr>
              <w:jc w:val="center"/>
            </w:pPr>
            <w:r>
              <w:rPr>
                <w:color w:val="000000"/>
                <w:kern w:val="0"/>
                <w:sz w:val="24"/>
                <w:szCs w:val="24"/>
              </w:rPr>
              <w:t>128028</w:t>
            </w:r>
          </w:p>
        </w:tc>
        <w:tc>
          <w:tcPr>
            <w:tcW w:w="1275" w:type="dxa"/>
            <w:vAlign w:val="center"/>
          </w:tcPr>
          <w:p w:rsidR="00841934" w:rsidRDefault="009E2552">
            <w:pPr>
              <w:jc w:val="center"/>
            </w:pPr>
            <w:r>
              <w:rPr>
                <w:color w:val="000000"/>
                <w:kern w:val="0"/>
                <w:sz w:val="24"/>
                <w:szCs w:val="24"/>
              </w:rPr>
              <w:t>赣锋转债</w:t>
            </w:r>
          </w:p>
        </w:tc>
        <w:tc>
          <w:tcPr>
            <w:tcW w:w="1560" w:type="dxa"/>
            <w:vAlign w:val="center"/>
          </w:tcPr>
          <w:p w:rsidR="00841934" w:rsidRDefault="009E2552">
            <w:pPr>
              <w:jc w:val="right"/>
            </w:pPr>
            <w:r>
              <w:rPr>
                <w:color w:val="000000"/>
                <w:kern w:val="0"/>
                <w:sz w:val="24"/>
                <w:szCs w:val="24"/>
              </w:rPr>
              <w:t>663</w:t>
            </w:r>
          </w:p>
        </w:tc>
        <w:tc>
          <w:tcPr>
            <w:tcW w:w="1984" w:type="dxa"/>
            <w:vAlign w:val="center"/>
          </w:tcPr>
          <w:p w:rsidR="00841934" w:rsidRDefault="009E2552">
            <w:pPr>
              <w:jc w:val="right"/>
            </w:pPr>
            <w:r>
              <w:rPr>
                <w:color w:val="000000"/>
                <w:kern w:val="0"/>
                <w:sz w:val="24"/>
                <w:szCs w:val="24"/>
              </w:rPr>
              <w:t>92,528.28</w:t>
            </w:r>
          </w:p>
        </w:tc>
        <w:tc>
          <w:tcPr>
            <w:tcW w:w="1474" w:type="dxa"/>
            <w:vAlign w:val="center"/>
          </w:tcPr>
          <w:p w:rsidR="00841934" w:rsidRDefault="009E2552">
            <w:pPr>
              <w:jc w:val="right"/>
            </w:pPr>
            <w:r>
              <w:rPr>
                <w:color w:val="000000"/>
                <w:kern w:val="0"/>
                <w:sz w:val="24"/>
                <w:szCs w:val="24"/>
              </w:rPr>
              <w:t>0.00</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本基金本报告期末未持有资产支持证券。</w:t>
      </w:r>
    </w:p>
    <w:p w:rsidR="00750D48" w:rsidRPr="001D63BB" w:rsidRDefault="00750D48" w:rsidP="001D63BB">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本基金本报告期末未持有贵金属。</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5.8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lastRenderedPageBreak/>
        <w:t>本基金本报告期末未持有权证。</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Pr>
          <w:rFonts w:ascii="宋体"/>
          <w:b/>
          <w:bCs/>
          <w:color w:val="000000"/>
          <w:kern w:val="0"/>
          <w:sz w:val="24"/>
          <w:szCs w:val="24"/>
        </w:rPr>
        <w:t>.</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R="00277FAE" w:rsidRDefault="00277FAE" w:rsidP="00277FAE">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R="00277FAE" w:rsidRDefault="00277FAE" w:rsidP="00277FAE">
      <w:pPr>
        <w:spacing w:line="360" w:lineRule="auto"/>
        <w:ind w:firstLineChars="200" w:firstLine="480"/>
      </w:pPr>
      <w:r>
        <w:rPr>
          <w:color w:val="000000"/>
          <w:sz w:val="24"/>
        </w:rPr>
        <w:t>本基金本报告期末未投资国债期货。</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5.11.1</w:t>
      </w:r>
      <w:r w:rsidR="00065E3C">
        <w:rPr>
          <w:rFonts w:ascii="宋体" w:hAnsi="宋体" w:hint="eastAsia"/>
          <w:color w:val="000000"/>
          <w:sz w:val="24"/>
          <w:szCs w:val="24"/>
        </w:rPr>
        <w:t xml:space="preserve"> </w:t>
      </w:r>
      <w:r w:rsidRPr="00264E55">
        <w:rPr>
          <w:rFonts w:ascii="宋体" w:hAnsi="宋体"/>
          <w:color w:val="000000"/>
          <w:sz w:val="24"/>
          <w:szCs w:val="24"/>
        </w:rPr>
        <w:t>2019年7月8日，中国银行保险监督管理委员会上海监管局对招商银行股份有限公司信用卡中心2016年9月至2018年6月在为部分客户办理信用卡业务时，未遵守总授信额度管理制度的违法违规事实，处以责令改正，并处罚款20万元的行政处罚。</w:t>
      </w:r>
    </w:p>
    <w:p w:rsidR="00841934" w:rsidRDefault="009E2552">
      <w:pPr>
        <w:spacing w:line="360" w:lineRule="auto"/>
        <w:rPr>
          <w:rFonts w:ascii="宋体" w:hAnsi="宋体"/>
          <w:color w:val="000000"/>
          <w:sz w:val="24"/>
          <w:szCs w:val="24"/>
        </w:rPr>
      </w:pPr>
      <w:r>
        <w:rPr>
          <w:rFonts w:ascii="宋体" w:hAnsi="宋体"/>
          <w:color w:val="000000"/>
          <w:sz w:val="24"/>
          <w:szCs w:val="24"/>
        </w:rPr>
        <w:t>2019年11月18日，珠海市交通运输局对珠海格力电器股份有限公司违反《超限运输车辆行驶公路管理规定》第四十三条的行为作出“罚款4000元”的行政处罚决定。2019年12月4日，珠海市交通运输局对珠海格力电器股份有限公司违反《超限运输车辆行驶公路管理规定》第四十三条的行为作出“罚款4000元”的行政处罚决定。</w:t>
      </w:r>
    </w:p>
    <w:p w:rsidR="00841934" w:rsidRDefault="009E2552">
      <w:pPr>
        <w:spacing w:line="360" w:lineRule="auto"/>
        <w:rPr>
          <w:rFonts w:ascii="宋体" w:hAnsi="宋体"/>
          <w:color w:val="000000"/>
          <w:sz w:val="24"/>
          <w:szCs w:val="24"/>
        </w:rPr>
      </w:pPr>
      <w:r>
        <w:rPr>
          <w:rFonts w:ascii="宋体" w:hAnsi="宋体"/>
          <w:color w:val="000000"/>
          <w:sz w:val="24"/>
          <w:szCs w:val="24"/>
        </w:rPr>
        <w:t>本基金投资招商银行、格力电器的投资决策程序符合公司投资制度的规定。</w:t>
      </w:r>
    </w:p>
    <w:p w:rsidR="00841934" w:rsidRDefault="009E2552">
      <w:pPr>
        <w:spacing w:line="360" w:lineRule="auto"/>
        <w:rPr>
          <w:rFonts w:ascii="宋体" w:hAnsi="宋体"/>
          <w:color w:val="000000"/>
          <w:sz w:val="24"/>
          <w:szCs w:val="24"/>
        </w:rPr>
      </w:pPr>
      <w:r>
        <w:rPr>
          <w:rFonts w:ascii="宋体" w:hAnsi="宋体"/>
          <w:color w:val="000000"/>
          <w:sz w:val="24"/>
          <w:szCs w:val="24"/>
        </w:rPr>
        <w:t>除招商银行、格力电器外，本基金投资的前十名证券的发行主体本期没有出现被监管部门立案调查，或在报告编制日前一年内受到公开谴责、处罚的情形。</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5.11.2</w:t>
      </w:r>
      <w:r w:rsidR="00065E3C">
        <w:rPr>
          <w:rFonts w:ascii="宋体" w:hAnsi="宋体" w:hint="eastAsia"/>
          <w:color w:val="000000"/>
          <w:sz w:val="24"/>
          <w:szCs w:val="24"/>
        </w:rPr>
        <w:t xml:space="preserve"> </w:t>
      </w:r>
      <w:r w:rsidRPr="00264E55">
        <w:rPr>
          <w:rFonts w:ascii="宋体" w:hAnsi="宋体"/>
          <w:color w:val="000000"/>
          <w:sz w:val="24"/>
          <w:szCs w:val="24"/>
        </w:rPr>
        <w:t>本基金投资的前十名股票没有超出基金合同规定的备选股票库。</w:t>
      </w:r>
    </w:p>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r w:rsidRPr="001C7E00">
        <w:rPr>
          <w:rFonts w:ascii="宋体" w:hAnsi="宋体" w:hint="eastAsia"/>
          <w:bCs/>
          <w:color w:val="000000"/>
          <w:kern w:val="0"/>
          <w:sz w:val="24"/>
          <w:szCs w:val="24"/>
        </w:rPr>
        <w:t>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6"/>
        <w:gridCol w:w="2396"/>
        <w:gridCol w:w="4685"/>
      </w:tblGrid>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w="2470"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w="4808" w:type="dxa"/>
            <w:vAlign w:val="center"/>
          </w:tcPr>
          <w:p w:rsidR="00750D48" w:rsidRPr="00B227EA" w:rsidRDefault="00750D48" w:rsidP="005F7917">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1</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344,949.52</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19,831.03</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1,554,732.36</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9</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1,919,512.91</w:t>
            </w:r>
          </w:p>
        </w:tc>
      </w:tr>
    </w:tbl>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697"/>
        <w:gridCol w:w="1621"/>
      </w:tblGrid>
      <w:tr w:rsidR="00750D48" w:rsidRPr="00264E55" w:rsidTr="00B05049">
        <w:tc>
          <w:tcPr>
            <w:tcW w:w="1808"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序号</w:t>
            </w:r>
          </w:p>
        </w:tc>
        <w:tc>
          <w:tcPr>
            <w:tcW w:w="1729"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债券代码</w:t>
            </w:r>
          </w:p>
        </w:tc>
        <w:tc>
          <w:tcPr>
            <w:tcW w:w="1658"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债券名称</w:t>
            </w:r>
          </w:p>
        </w:tc>
        <w:tc>
          <w:tcPr>
            <w:tcW w:w="1697" w:type="dxa"/>
            <w:vAlign w:val="center"/>
          </w:tcPr>
          <w:p w:rsidR="00750D48" w:rsidRPr="00B227EA" w:rsidRDefault="00750D48" w:rsidP="005F7917">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w="1621" w:type="dxa"/>
            <w:vAlign w:val="center"/>
          </w:tcPr>
          <w:p w:rsidR="00750D48" w:rsidRPr="00B227EA" w:rsidRDefault="00750D48" w:rsidP="005F7917">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rsidR="00841934">
        <w:tc>
          <w:tcPr>
            <w:tcW w:w="1808" w:type="dxa"/>
            <w:vAlign w:val="center"/>
          </w:tcPr>
          <w:p w:rsidR="00841934" w:rsidRDefault="009E2552">
            <w:pPr>
              <w:jc w:val="center"/>
            </w:pPr>
            <w:r>
              <w:rPr>
                <w:color w:val="000000"/>
                <w:kern w:val="0"/>
                <w:sz w:val="24"/>
                <w:szCs w:val="24"/>
              </w:rPr>
              <w:t>1</w:t>
            </w:r>
          </w:p>
        </w:tc>
        <w:tc>
          <w:tcPr>
            <w:tcW w:w="1729" w:type="dxa"/>
            <w:vAlign w:val="center"/>
          </w:tcPr>
          <w:p w:rsidR="00841934" w:rsidRDefault="009E2552">
            <w:pPr>
              <w:jc w:val="center"/>
            </w:pPr>
            <w:r>
              <w:rPr>
                <w:color w:val="000000"/>
                <w:kern w:val="0"/>
                <w:sz w:val="24"/>
                <w:szCs w:val="24"/>
              </w:rPr>
              <w:t>128028</w:t>
            </w:r>
          </w:p>
        </w:tc>
        <w:tc>
          <w:tcPr>
            <w:tcW w:w="1658" w:type="dxa"/>
            <w:vAlign w:val="center"/>
          </w:tcPr>
          <w:p w:rsidR="00841934" w:rsidRDefault="009E2552">
            <w:pPr>
              <w:jc w:val="center"/>
            </w:pPr>
            <w:r>
              <w:rPr>
                <w:color w:val="000000"/>
                <w:kern w:val="0"/>
                <w:sz w:val="24"/>
                <w:szCs w:val="24"/>
              </w:rPr>
              <w:t>赣锋转债</w:t>
            </w:r>
          </w:p>
        </w:tc>
        <w:tc>
          <w:tcPr>
            <w:tcW w:w="1697" w:type="dxa"/>
            <w:vAlign w:val="center"/>
          </w:tcPr>
          <w:p w:rsidR="00841934" w:rsidRDefault="009E2552">
            <w:pPr>
              <w:jc w:val="right"/>
            </w:pPr>
            <w:r>
              <w:rPr>
                <w:color w:val="000000"/>
                <w:kern w:val="0"/>
                <w:sz w:val="24"/>
                <w:szCs w:val="24"/>
              </w:rPr>
              <w:t>92,528.28</w:t>
            </w:r>
          </w:p>
        </w:tc>
        <w:tc>
          <w:tcPr>
            <w:tcW w:w="1621" w:type="dxa"/>
            <w:vAlign w:val="center"/>
          </w:tcPr>
          <w:p w:rsidR="00841934" w:rsidRDefault="009E2552">
            <w:pPr>
              <w:jc w:val="right"/>
            </w:pPr>
            <w:r>
              <w:rPr>
                <w:color w:val="000000"/>
                <w:kern w:val="0"/>
                <w:sz w:val="24"/>
                <w:szCs w:val="24"/>
              </w:rPr>
              <w:t>0.00</w:t>
            </w:r>
          </w:p>
        </w:tc>
      </w:tr>
    </w:tbl>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本基金本报告期末前十名股票中不存在流通受限情况。</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R="00750D48" w:rsidRPr="00264E55" w:rsidRDefault="00750D48" w:rsidP="004061AC">
      <w:pPr>
        <w:autoSpaceDE w:val="0"/>
        <w:autoSpaceDN w:val="0"/>
        <w:adjustRightInd w:val="0"/>
        <w:spacing w:before="29" w:line="360" w:lineRule="auto"/>
        <w:ind w:left="15"/>
        <w:jc w:val="right"/>
        <w:rPr>
          <w:rFonts w:ascii="宋体"/>
          <w:color w:val="000000"/>
          <w:kern w:val="0"/>
          <w:sz w:val="24"/>
          <w:szCs w:val="24"/>
        </w:rPr>
      </w:pPr>
      <w:r w:rsidRPr="00264E55">
        <w:rPr>
          <w:rFonts w:ascii="宋体" w:hAnsi="宋体" w:cs="宋体" w:hint="eastAsia"/>
          <w:color w:val="000000"/>
          <w:kern w:val="0"/>
          <w:sz w:val="24"/>
          <w:szCs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09"/>
        <w:gridCol w:w="4025"/>
      </w:tblGrid>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5,535,963,849.22</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报告期基金总申购份额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70,377,830.49</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减：报告期基金总赎回份额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436,519,731.14</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w="4025" w:type="dxa"/>
            <w:vAlign w:val="center"/>
          </w:tcPr>
          <w:p w:rsidR="00750D48" w:rsidRPr="00B227EA" w:rsidRDefault="00750D48" w:rsidP="000A2B53">
            <w:pPr>
              <w:autoSpaceDE w:val="0"/>
              <w:autoSpaceDN w:val="0"/>
              <w:adjustRightInd w:val="0"/>
              <w:spacing w:before="29" w:line="360" w:lineRule="auto"/>
              <w:ind w:left="17"/>
              <w:jc w:val="right"/>
              <w:rPr>
                <w:color w:val="000000"/>
                <w:sz w:val="24"/>
                <w:szCs w:val="24"/>
              </w:rPr>
            </w:pPr>
            <w:r w:rsidRPr="00B227EA">
              <w:rPr>
                <w:color w:val="000000"/>
                <w:sz w:val="24"/>
                <w:szCs w:val="24"/>
              </w:rPr>
              <w:t>5,169,821,948.57</w:t>
            </w:r>
          </w:p>
        </w:tc>
      </w:tr>
    </w:tbl>
    <w:p w:rsidR="00750D48" w:rsidRDefault="00750D48" w:rsidP="004D28A3">
      <w:pPr>
        <w:pStyle w:val="1"/>
        <w:tabs>
          <w:tab w:val="center" w:pos="4156"/>
          <w:tab w:val="right" w:pos="8312"/>
        </w:tabs>
        <w:spacing w:beforeLines="100" w:before="312" w:afterLines="100" w:after="312" w:line="360" w:lineRule="auto"/>
        <w:jc w:val="center"/>
        <w:rPr>
          <w:rFonts w:ascii="方正仿宋简体"/>
          <w:sz w:val="24"/>
          <w:szCs w:val="24"/>
        </w:rPr>
      </w:pPr>
      <w:r>
        <w:rPr>
          <w:rFonts w:ascii="宋体" w:hAnsi="宋体" w:cs="Arial" w:hint="eastAsia"/>
          <w:color w:val="000000"/>
          <w:kern w:val="0"/>
          <w:sz w:val="24"/>
          <w:szCs w:val="24"/>
        </w:rPr>
        <w:t>§</w:t>
      </w:r>
      <w:r>
        <w:rPr>
          <w:rFonts w:ascii="宋体" w:hAnsi="宋体" w:cs="Arial"/>
          <w:color w:val="000000"/>
          <w:kern w:val="0"/>
          <w:sz w:val="24"/>
          <w:szCs w:val="24"/>
        </w:rPr>
        <w:t xml:space="preserve">7  </w:t>
      </w:r>
      <w:r>
        <w:rPr>
          <w:rFonts w:ascii="方正仿宋简体" w:hint="eastAsia"/>
          <w:sz w:val="24"/>
          <w:szCs w:val="24"/>
        </w:rPr>
        <w:t>基金管理人运用固有资金投资本基金情况</w:t>
      </w:r>
    </w:p>
    <w:p w:rsidR="00750D48" w:rsidRDefault="00750D48" w:rsidP="00EB374A">
      <w:pPr>
        <w:spacing w:line="360" w:lineRule="auto"/>
        <w:jc w:val="left"/>
        <w:rPr>
          <w:sz w:val="24"/>
          <w:szCs w:val="24"/>
        </w:rPr>
      </w:pPr>
      <w:r>
        <w:rPr>
          <w:b/>
          <w:sz w:val="24"/>
        </w:rPr>
        <w:t xml:space="preserve">7.1 </w:t>
      </w:r>
      <w:r>
        <w:rPr>
          <w:rFonts w:hint="eastAsia"/>
          <w:b/>
          <w:sz w:val="24"/>
        </w:rPr>
        <w:t>基金管理人持有本基金份额变动情况</w:t>
      </w:r>
    </w:p>
    <w:p w:rsidR="00750D48" w:rsidRPr="00232B03" w:rsidRDefault="00AC11B0" w:rsidP="00232B03">
      <w:pPr>
        <w:spacing w:line="360" w:lineRule="auto"/>
        <w:ind w:firstLineChars="200" w:firstLine="480"/>
        <w:rPr>
          <w:color w:val="000000"/>
          <w:sz w:val="24"/>
          <w:szCs w:val="24"/>
        </w:rPr>
      </w:pPr>
      <w:r w:rsidRPr="00403A06">
        <w:rPr>
          <w:color w:val="000000"/>
          <w:sz w:val="24"/>
          <w:szCs w:val="24"/>
        </w:rPr>
        <w:t>本报告期内基金管理人未持有本基金份额。</w:t>
      </w:r>
    </w:p>
    <w:p w:rsidR="00750D48" w:rsidRDefault="00750D48" w:rsidP="00EB374A">
      <w:pPr>
        <w:spacing w:line="360" w:lineRule="auto"/>
        <w:jc w:val="left"/>
        <w:rPr>
          <w:sz w:val="24"/>
        </w:rPr>
      </w:pPr>
      <w:r>
        <w:rPr>
          <w:b/>
          <w:sz w:val="24"/>
        </w:rPr>
        <w:t xml:space="preserve">7.2 </w:t>
      </w:r>
      <w:r>
        <w:rPr>
          <w:rFonts w:hint="eastAsia"/>
          <w:b/>
          <w:sz w:val="24"/>
        </w:rPr>
        <w:t>基金管理人运用固有资金投资本基金交易明细</w:t>
      </w:r>
    </w:p>
    <w:p w:rsidR="00750D48" w:rsidRPr="006C56AA" w:rsidRDefault="00750D48" w:rsidP="006C56AA">
      <w:pPr>
        <w:spacing w:line="360" w:lineRule="auto"/>
        <w:ind w:firstLineChars="200" w:firstLine="480"/>
        <w:rPr>
          <w:color w:val="000000"/>
          <w:sz w:val="24"/>
          <w:szCs w:val="24"/>
        </w:rPr>
      </w:pPr>
      <w:r w:rsidRPr="006C56AA">
        <w:rPr>
          <w:color w:val="000000"/>
          <w:sz w:val="24"/>
          <w:szCs w:val="24"/>
        </w:rPr>
        <w:t>本报告期内基金管理人未运用固有资金申购、赎回、买卖本基金份额。</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rsidR="00841934" w:rsidRDefault="009E2552">
      <w:pPr>
        <w:spacing w:line="360" w:lineRule="auto"/>
        <w:ind w:firstLineChars="200" w:firstLine="480"/>
        <w:rPr>
          <w:color w:val="000000"/>
          <w:sz w:val="24"/>
          <w:szCs w:val="24"/>
        </w:rPr>
      </w:pPr>
      <w:r>
        <w:rPr>
          <w:color w:val="000000"/>
          <w:sz w:val="24"/>
          <w:szCs w:val="24"/>
        </w:rPr>
        <w:t>1.</w:t>
      </w:r>
      <w:r>
        <w:rPr>
          <w:color w:val="000000"/>
          <w:sz w:val="24"/>
          <w:szCs w:val="24"/>
        </w:rPr>
        <w:t>中国证监会准予易方达新常态灵活配置混合型证券投资基金注册的文件；</w:t>
      </w:r>
    </w:p>
    <w:p w:rsidR="00841934" w:rsidRDefault="009E2552">
      <w:pPr>
        <w:spacing w:line="360" w:lineRule="auto"/>
        <w:ind w:firstLineChars="200" w:firstLine="480"/>
        <w:rPr>
          <w:color w:val="000000"/>
          <w:sz w:val="24"/>
          <w:szCs w:val="24"/>
        </w:rPr>
      </w:pPr>
      <w:r>
        <w:rPr>
          <w:color w:val="000000"/>
          <w:sz w:val="24"/>
          <w:szCs w:val="24"/>
        </w:rPr>
        <w:t>2.</w:t>
      </w:r>
      <w:r>
        <w:rPr>
          <w:color w:val="000000"/>
          <w:sz w:val="24"/>
          <w:szCs w:val="24"/>
        </w:rPr>
        <w:t>《易方达新常态灵活配置混合型证券投资基金基金合同》；</w:t>
      </w:r>
    </w:p>
    <w:p w:rsidR="00841934" w:rsidRDefault="009E2552">
      <w:pPr>
        <w:spacing w:line="360" w:lineRule="auto"/>
        <w:ind w:firstLineChars="200" w:firstLine="480"/>
        <w:rPr>
          <w:color w:val="000000"/>
          <w:sz w:val="24"/>
          <w:szCs w:val="24"/>
        </w:rPr>
      </w:pPr>
      <w:r>
        <w:rPr>
          <w:color w:val="000000"/>
          <w:sz w:val="24"/>
          <w:szCs w:val="24"/>
        </w:rPr>
        <w:lastRenderedPageBreak/>
        <w:t>3.</w:t>
      </w:r>
      <w:r>
        <w:rPr>
          <w:color w:val="000000"/>
          <w:sz w:val="24"/>
          <w:szCs w:val="24"/>
        </w:rPr>
        <w:t>《易方达新常态灵活配置混合型证券投资基金托管协议》；</w:t>
      </w:r>
    </w:p>
    <w:p w:rsidR="00841934" w:rsidRDefault="009E2552">
      <w:pPr>
        <w:spacing w:line="360" w:lineRule="auto"/>
        <w:ind w:firstLineChars="200" w:firstLine="480"/>
        <w:rPr>
          <w:color w:val="000000"/>
          <w:sz w:val="24"/>
          <w:szCs w:val="24"/>
        </w:rPr>
      </w:pPr>
      <w:r>
        <w:rPr>
          <w:color w:val="000000"/>
          <w:sz w:val="24"/>
          <w:szCs w:val="24"/>
        </w:rPr>
        <w:t>4.</w:t>
      </w:r>
      <w:r>
        <w:rPr>
          <w:color w:val="000000"/>
          <w:sz w:val="24"/>
          <w:szCs w:val="24"/>
        </w:rPr>
        <w:t>《易方达基金管理有限公司开放式基金业务规则》；</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5.</w:t>
      </w:r>
      <w:r w:rsidRPr="006C56AA">
        <w:rPr>
          <w:color w:val="000000"/>
          <w:sz w:val="24"/>
          <w:szCs w:val="24"/>
        </w:rPr>
        <w:t>基金管理人业务资格批件、营业执照。</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广州市天河区珠江新城珠江东路</w:t>
      </w:r>
      <w:r w:rsidRPr="006C56AA">
        <w:rPr>
          <w:color w:val="000000"/>
          <w:sz w:val="24"/>
          <w:szCs w:val="24"/>
        </w:rPr>
        <w:t>30</w:t>
      </w:r>
      <w:r w:rsidRPr="006C56AA">
        <w:rPr>
          <w:color w:val="000000"/>
          <w:sz w:val="24"/>
          <w:szCs w:val="24"/>
        </w:rPr>
        <w:t>号广州银行大厦</w:t>
      </w:r>
      <w:r w:rsidRPr="006C56AA">
        <w:rPr>
          <w:color w:val="000000"/>
          <w:sz w:val="24"/>
          <w:szCs w:val="24"/>
        </w:rPr>
        <w:t>40-43</w:t>
      </w:r>
      <w:r w:rsidRPr="006C56AA">
        <w:rPr>
          <w:color w:val="000000"/>
          <w:sz w:val="24"/>
          <w:szCs w:val="24"/>
        </w:rPr>
        <w:t>楼。</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投资者可在营业时间免费查阅，也可按工本费购买复印件。</w:t>
      </w: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C71497">
      <w:pPr>
        <w:spacing w:line="360" w:lineRule="auto"/>
        <w:jc w:val="right"/>
        <w:rPr>
          <w:rFonts w:ascii="宋体" w:hAnsi="宋体"/>
          <w:b/>
          <w:bCs/>
          <w:sz w:val="24"/>
          <w:szCs w:val="24"/>
        </w:rPr>
      </w:pPr>
      <w:r w:rsidRPr="00264E55">
        <w:rPr>
          <w:rFonts w:ascii="宋体" w:hAnsi="宋体"/>
          <w:b/>
          <w:bCs/>
          <w:sz w:val="24"/>
          <w:szCs w:val="24"/>
        </w:rPr>
        <w:t>易方达基金管理有限公司</w:t>
      </w:r>
    </w:p>
    <w:p w:rsidR="00750D48" w:rsidRPr="00191817" w:rsidRDefault="00750D48" w:rsidP="00191817">
      <w:pPr>
        <w:spacing w:line="360" w:lineRule="auto"/>
        <w:jc w:val="right"/>
        <w:rPr>
          <w:rFonts w:ascii="宋体" w:hAnsi="宋体"/>
          <w:b/>
          <w:bCs/>
          <w:sz w:val="24"/>
          <w:szCs w:val="24"/>
        </w:rPr>
      </w:pPr>
      <w:r w:rsidRPr="00264E55">
        <w:rPr>
          <w:rFonts w:ascii="宋体" w:hAnsi="宋体"/>
          <w:b/>
          <w:bCs/>
          <w:sz w:val="24"/>
          <w:szCs w:val="24"/>
        </w:rPr>
        <w:t>二〇二〇年七月二十一日</w:t>
      </w:r>
    </w:p>
    <w:sectPr w:rsidR="00750D48" w:rsidRPr="00191817" w:rsidSect="00304A12">
      <w:footerReference w:type="default" r:id="rId12"/>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0F2" w:rsidRDefault="001200F2" w:rsidP="00876D65">
      <w:r>
        <w:separator/>
      </w:r>
    </w:p>
  </w:endnote>
  <w:endnote w:type="continuationSeparator" w:id="0">
    <w:p w:rsidR="001200F2" w:rsidRDefault="001200F2"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rsidP="00EF56B5">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A0535F">
      <w:rPr>
        <w:rStyle w:val="a7"/>
        <w:noProof/>
      </w:rPr>
      <w:t>1</w:t>
    </w:r>
    <w:r>
      <w:rPr>
        <w:rStyle w:val="a7"/>
      </w:rPr>
      <w:fldChar w:fldCharType="end"/>
    </w:r>
    <w:r>
      <w:rPr>
        <w:rStyle w:val="a7"/>
        <w:rFonts w:hint="eastAsia"/>
      </w:rPr>
      <w:t>页共</w:t>
    </w:r>
    <w:r w:rsidR="001200F2">
      <w:fldChar w:fldCharType="begin"/>
    </w:r>
    <w:r w:rsidR="001200F2">
      <w:instrText xml:space="preserve"> NUMPAGES  \* Arabic  \* MERGEFORMAT </w:instrText>
    </w:r>
    <w:r w:rsidR="001200F2">
      <w:fldChar w:fldCharType="separate"/>
    </w:r>
    <w:r w:rsidR="00A0535F" w:rsidRPr="00A0535F">
      <w:rPr>
        <w:rStyle w:val="a7"/>
        <w:noProof/>
      </w:rPr>
      <w:t>12</w:t>
    </w:r>
    <w:r w:rsidR="001200F2">
      <w:rPr>
        <w:rStyle w:val="a7"/>
        <w:noProof/>
      </w:rPr>
      <w:fldChar w:fldCharType="end"/>
    </w:r>
    <w:r>
      <w:rPr>
        <w:rStyle w:val="a7"/>
        <w:rFonts w:hint="eastAsia"/>
      </w:rPr>
      <w:t>页</w:t>
    </w:r>
  </w:p>
  <w:p w:rsidR="003328D9" w:rsidRPr="00EF56B5" w:rsidRDefault="003328D9" w:rsidP="00EF56B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A0535F">
      <w:rPr>
        <w:rStyle w:val="a7"/>
        <w:noProof/>
      </w:rPr>
      <w:t>6</w:t>
    </w:r>
    <w:r>
      <w:rPr>
        <w:rStyle w:val="a7"/>
      </w:rPr>
      <w:fldChar w:fldCharType="end"/>
    </w:r>
    <w:r>
      <w:rPr>
        <w:rStyle w:val="a7"/>
        <w:rFonts w:hint="eastAsia"/>
      </w:rPr>
      <w:t>页共</w:t>
    </w:r>
    <w:fldSimple w:instr=" NUMPAGES  \* Arabic  \* MERGEFORMAT ">
      <w:r w:rsidR="00A0535F" w:rsidRPr="00A0535F">
        <w:rPr>
          <w:rStyle w:val="a7"/>
          <w:noProof/>
        </w:rPr>
        <w:t>12</w:t>
      </w:r>
    </w:fldSimple>
    <w:r>
      <w:rPr>
        <w:rStyle w:val="a7"/>
        <w:rFonts w:hint="eastAsia"/>
      </w:rPr>
      <w:t>页</w:t>
    </w:r>
  </w:p>
  <w:p w:rsidR="003328D9" w:rsidRDefault="003328D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0F2" w:rsidRDefault="001200F2" w:rsidP="00876D65">
      <w:r>
        <w:separator/>
      </w:r>
    </w:p>
  </w:footnote>
  <w:footnote w:type="continuationSeparator" w:id="0">
    <w:p w:rsidR="001200F2" w:rsidRDefault="001200F2" w:rsidP="00876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Pr="00093704" w:rsidRDefault="003328D9" w:rsidP="00090A26">
    <w:pPr>
      <w:pStyle w:val="a9"/>
      <w:pBdr>
        <w:bottom w:val="single" w:sz="6" w:space="0" w:color="auto"/>
      </w:pBdr>
      <w:jc w:val="right"/>
    </w:pPr>
    <w:r w:rsidRPr="00093704">
      <w:t>易方达新常态灵活配置混合型证券投资基金</w:t>
    </w:r>
    <w:r w:rsidRPr="00093704">
      <w:t>2020</w:t>
    </w:r>
    <w:r w:rsidRPr="00093704">
      <w:t>年第</w:t>
    </w:r>
    <w:r w:rsidRPr="00093704">
      <w:t>2</w:t>
    </w:r>
    <w:r w:rsidRPr="00093704">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start w:val="1"/>
      <w:numFmt w:val="bullet"/>
      <w:lvlText w:val=""/>
      <w:lvlJc w:val="left"/>
      <w:pPr>
        <w:tabs>
          <w:tab w:val="num" w:pos="1260"/>
        </w:tabs>
        <w:ind w:left="1260" w:hanging="420"/>
      </w:pPr>
      <w:rPr>
        <w:rFonts w:ascii="Wingdings" w:hAnsi="Wingdings" w:hint="default"/>
      </w:rPr>
    </w:lvl>
    <w:lvl w:ilvl="2" w:tplc="04090005">
      <w:start w:val="1"/>
      <w:numFmt w:val="bullet"/>
      <w:lvlText w:val=""/>
      <w:lvlJc w:val="left"/>
      <w:pPr>
        <w:tabs>
          <w:tab w:val="num" w:pos="1680"/>
        </w:tabs>
        <w:ind w:left="1680" w:hanging="420"/>
      </w:pPr>
      <w:rPr>
        <w:rFonts w:ascii="Wingdings" w:hAnsi="Wingdings" w:hint="default"/>
      </w:rPr>
    </w:lvl>
    <w:lvl w:ilvl="3" w:tplc="04090001">
      <w:start w:val="1"/>
      <w:numFmt w:val="bullet"/>
      <w:lvlText w:val=""/>
      <w:lvlJc w:val="left"/>
      <w:pPr>
        <w:tabs>
          <w:tab w:val="num" w:pos="2100"/>
        </w:tabs>
        <w:ind w:left="2100" w:hanging="420"/>
      </w:pPr>
      <w:rPr>
        <w:rFonts w:ascii="Wingdings" w:hAnsi="Wingdings" w:hint="default"/>
      </w:rPr>
    </w:lvl>
    <w:lvl w:ilvl="4" w:tplc="04090003">
      <w:start w:val="1"/>
      <w:numFmt w:val="bullet"/>
      <w:lvlText w:val=""/>
      <w:lvlJc w:val="left"/>
      <w:pPr>
        <w:tabs>
          <w:tab w:val="num" w:pos="2520"/>
        </w:tabs>
        <w:ind w:left="2520" w:hanging="420"/>
      </w:pPr>
      <w:rPr>
        <w:rFonts w:ascii="Wingdings" w:hAnsi="Wingdings" w:hint="default"/>
      </w:rPr>
    </w:lvl>
    <w:lvl w:ilvl="5" w:tplc="04090005">
      <w:start w:val="1"/>
      <w:numFmt w:val="bullet"/>
      <w:lvlText w:val=""/>
      <w:lvlJc w:val="left"/>
      <w:pPr>
        <w:tabs>
          <w:tab w:val="num" w:pos="2940"/>
        </w:tabs>
        <w:ind w:left="2940" w:hanging="420"/>
      </w:pPr>
      <w:rPr>
        <w:rFonts w:ascii="Wingdings" w:hAnsi="Wingdings" w:hint="default"/>
      </w:rPr>
    </w:lvl>
    <w:lvl w:ilvl="6" w:tplc="04090001">
      <w:start w:val="1"/>
      <w:numFmt w:val="bullet"/>
      <w:lvlText w:val=""/>
      <w:lvlJc w:val="left"/>
      <w:pPr>
        <w:tabs>
          <w:tab w:val="num" w:pos="3360"/>
        </w:tabs>
        <w:ind w:left="3360" w:hanging="420"/>
      </w:pPr>
      <w:rPr>
        <w:rFonts w:ascii="Wingdings" w:hAnsi="Wingdings" w:hint="default"/>
      </w:rPr>
    </w:lvl>
    <w:lvl w:ilvl="7" w:tplc="04090003">
      <w:start w:val="1"/>
      <w:numFmt w:val="bullet"/>
      <w:lvlText w:val=""/>
      <w:lvlJc w:val="left"/>
      <w:pPr>
        <w:tabs>
          <w:tab w:val="num" w:pos="3780"/>
        </w:tabs>
        <w:ind w:left="3780" w:hanging="420"/>
      </w:pPr>
      <w:rPr>
        <w:rFonts w:ascii="Wingdings" w:hAnsi="Wingdings" w:hint="default"/>
      </w:rPr>
    </w:lvl>
    <w:lvl w:ilvl="8" w:tplc="04090005">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szCs w:val="24"/>
      </w:rPr>
    </w:lvl>
    <w:lvl w:ilvl="1" w:tplc="04090019">
      <w:start w:val="1"/>
      <w:numFmt w:val="lowerLetter"/>
      <w:lvlText w:val="%2)"/>
      <w:lvlJc w:val="left"/>
      <w:pPr>
        <w:tabs>
          <w:tab w:val="num" w:pos="1320"/>
        </w:tabs>
        <w:ind w:left="1320" w:hanging="420"/>
      </w:pPr>
      <w:rPr>
        <w:rFonts w:cs="Times New Roman"/>
      </w:rPr>
    </w:lvl>
    <w:lvl w:ilvl="2" w:tplc="0409001B">
      <w:start w:val="1"/>
      <w:numFmt w:val="lowerRoman"/>
      <w:lvlText w:val="%3."/>
      <w:lvlJc w:val="right"/>
      <w:pPr>
        <w:tabs>
          <w:tab w:val="num" w:pos="1740"/>
        </w:tabs>
        <w:ind w:left="1740" w:hanging="420"/>
      </w:pPr>
      <w:rPr>
        <w:rFonts w:cs="Times New Roman"/>
      </w:rPr>
    </w:lvl>
    <w:lvl w:ilvl="3" w:tplc="0409000F">
      <w:start w:val="1"/>
      <w:numFmt w:val="decimal"/>
      <w:lvlText w:val="%4."/>
      <w:lvlJc w:val="left"/>
      <w:pPr>
        <w:tabs>
          <w:tab w:val="num" w:pos="2160"/>
        </w:tabs>
        <w:ind w:left="2160" w:hanging="420"/>
      </w:pPr>
      <w:rPr>
        <w:rFonts w:cs="Times New Roman"/>
      </w:rPr>
    </w:lvl>
    <w:lvl w:ilvl="4" w:tplc="04090019">
      <w:start w:val="1"/>
      <w:numFmt w:val="lowerLetter"/>
      <w:lvlText w:val="%5)"/>
      <w:lvlJc w:val="left"/>
      <w:pPr>
        <w:tabs>
          <w:tab w:val="num" w:pos="2580"/>
        </w:tabs>
        <w:ind w:left="2580" w:hanging="420"/>
      </w:pPr>
      <w:rPr>
        <w:rFonts w:cs="Times New Roman"/>
      </w:rPr>
    </w:lvl>
    <w:lvl w:ilvl="5" w:tplc="0409001B">
      <w:start w:val="1"/>
      <w:numFmt w:val="lowerRoman"/>
      <w:lvlText w:val="%6."/>
      <w:lvlJc w:val="right"/>
      <w:pPr>
        <w:tabs>
          <w:tab w:val="num" w:pos="3000"/>
        </w:tabs>
        <w:ind w:left="3000" w:hanging="420"/>
      </w:pPr>
      <w:rPr>
        <w:rFonts w:cs="Times New Roman"/>
      </w:rPr>
    </w:lvl>
    <w:lvl w:ilvl="6" w:tplc="0409000F">
      <w:start w:val="1"/>
      <w:numFmt w:val="decimal"/>
      <w:lvlText w:val="%7."/>
      <w:lvlJc w:val="left"/>
      <w:pPr>
        <w:tabs>
          <w:tab w:val="num" w:pos="3420"/>
        </w:tabs>
        <w:ind w:left="3420" w:hanging="420"/>
      </w:pPr>
      <w:rPr>
        <w:rFonts w:cs="Times New Roman"/>
      </w:rPr>
    </w:lvl>
    <w:lvl w:ilvl="7" w:tplc="04090019">
      <w:start w:val="1"/>
      <w:numFmt w:val="lowerLetter"/>
      <w:lvlText w:val="%8)"/>
      <w:lvlJc w:val="left"/>
      <w:pPr>
        <w:tabs>
          <w:tab w:val="num" w:pos="3840"/>
        </w:tabs>
        <w:ind w:left="3840" w:hanging="420"/>
      </w:pPr>
      <w:rPr>
        <w:rFonts w:cs="Times New Roman"/>
      </w:rPr>
    </w:lvl>
    <w:lvl w:ilvl="8" w:tplc="0409001B">
      <w:start w:val="1"/>
      <w:numFmt w:val="lowerRoman"/>
      <w:lvlText w:val="%9."/>
      <w:lvlJc w:val="right"/>
      <w:pPr>
        <w:tabs>
          <w:tab w:val="num" w:pos="4260"/>
        </w:tabs>
        <w:ind w:left="4260" w:hanging="420"/>
      </w:pPr>
      <w:rPr>
        <w:rFonts w:cs="Times New Roman"/>
      </w:rPr>
    </w:lvl>
  </w:abstractNum>
  <w:abstractNum w:abstractNumId="2"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E6C02"/>
    <w:rsid w:val="000F2DE1"/>
    <w:rsid w:val="000F6CC8"/>
    <w:rsid w:val="00111261"/>
    <w:rsid w:val="001200F2"/>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45EE"/>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1934"/>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70"/>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552"/>
    <w:rsid w:val="009E285B"/>
    <w:rsid w:val="009E31DA"/>
    <w:rsid w:val="009E402C"/>
    <w:rsid w:val="009E7C6A"/>
    <w:rsid w:val="009F7ED4"/>
    <w:rsid w:val="00A03AAC"/>
    <w:rsid w:val="00A047D1"/>
    <w:rsid w:val="00A0535F"/>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D5298"/>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976C7"/>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A67B1FBA-7C2F-4600-89A1-58E209428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1AC"/>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4061AC"/>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4061AC"/>
    <w:pPr>
      <w:keepNext/>
      <w:keepLines/>
      <w:spacing w:before="260" w:after="260" w:line="360" w:lineRule="auto"/>
      <w:outlineLvl w:val="1"/>
    </w:pPr>
    <w:rPr>
      <w:rFonts w:ascii="Arial" w:hAnsi="Arial"/>
      <w:b/>
      <w:bCs/>
      <w:kern w:val="0"/>
      <w:sz w:val="24"/>
      <w:szCs w:val="24"/>
    </w:rPr>
  </w:style>
  <w:style w:type="paragraph" w:styleId="3">
    <w:name w:val="heading 3"/>
    <w:basedOn w:val="a"/>
    <w:next w:val="a"/>
    <w:link w:val="3Char"/>
    <w:uiPriority w:val="99"/>
    <w:qFormat/>
    <w:rsid w:val="004061AC"/>
    <w:pPr>
      <w:keepNext/>
      <w:keepLines/>
      <w:spacing w:before="260" w:after="260" w:line="416" w:lineRule="auto"/>
      <w:outlineLvl w:val="2"/>
    </w:pPr>
    <w:rPr>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4061AC"/>
    <w:rPr>
      <w:rFonts w:ascii="Times New Roman" w:eastAsia="宋体" w:hAnsi="Times New Roman" w:cs="Times New Roman"/>
      <w:b/>
      <w:bCs/>
      <w:kern w:val="44"/>
      <w:sz w:val="44"/>
      <w:szCs w:val="44"/>
    </w:rPr>
  </w:style>
  <w:style w:type="character" w:customStyle="1" w:styleId="2Char">
    <w:name w:val="标题 2 Char"/>
    <w:link w:val="2"/>
    <w:uiPriority w:val="99"/>
    <w:locked/>
    <w:rsid w:val="004061AC"/>
    <w:rPr>
      <w:rFonts w:ascii="Arial" w:eastAsia="宋体" w:hAnsi="Arial" w:cs="Arial"/>
      <w:b/>
      <w:bCs/>
      <w:sz w:val="24"/>
      <w:szCs w:val="24"/>
    </w:rPr>
  </w:style>
  <w:style w:type="character" w:customStyle="1" w:styleId="3Char">
    <w:name w:val="标题 3 Char"/>
    <w:link w:val="3"/>
    <w:uiPriority w:val="99"/>
    <w:locked/>
    <w:rsid w:val="004061AC"/>
    <w:rPr>
      <w:rFonts w:ascii="Times New Roman" w:eastAsia="宋体" w:hAnsi="Times New Roman" w:cs="Times New Roman"/>
      <w:b/>
      <w:bCs/>
      <w:sz w:val="32"/>
      <w:szCs w:val="32"/>
    </w:rPr>
  </w:style>
  <w:style w:type="paragraph" w:styleId="a0">
    <w:name w:val="Normal Indent"/>
    <w:basedOn w:val="a"/>
    <w:uiPriority w:val="99"/>
    <w:rsid w:val="004061AC"/>
    <w:pPr>
      <w:ind w:firstLineChars="200" w:firstLine="420"/>
    </w:pPr>
  </w:style>
  <w:style w:type="paragraph" w:styleId="a4">
    <w:name w:val="Body Text Indent"/>
    <w:basedOn w:val="a"/>
    <w:link w:val="Char"/>
    <w:uiPriority w:val="99"/>
    <w:rsid w:val="004061AC"/>
    <w:pPr>
      <w:widowControl/>
      <w:spacing w:before="100" w:beforeAutospacing="1" w:after="100" w:afterAutospacing="1"/>
      <w:jc w:val="left"/>
    </w:pPr>
    <w:rPr>
      <w:rFonts w:ascii="Arial Unicode MS" w:eastAsia="Arial Unicode MS" w:hAnsi="Arial Unicode MS"/>
      <w:kern w:val="0"/>
      <w:sz w:val="24"/>
      <w:szCs w:val="24"/>
    </w:rPr>
  </w:style>
  <w:style w:type="character" w:customStyle="1" w:styleId="Char">
    <w:name w:val="正文文本缩进 Char"/>
    <w:link w:val="a4"/>
    <w:uiPriority w:val="99"/>
    <w:locked/>
    <w:rsid w:val="004061AC"/>
    <w:rPr>
      <w:rFonts w:ascii="Arial Unicode MS" w:eastAsia="Arial Unicode MS" w:hAnsi="Arial Unicode MS" w:cs="Arial Unicode MS"/>
      <w:kern w:val="0"/>
      <w:sz w:val="24"/>
      <w:szCs w:val="24"/>
    </w:rPr>
  </w:style>
  <w:style w:type="paragraph" w:styleId="a5">
    <w:name w:val="Plain Text"/>
    <w:basedOn w:val="a"/>
    <w:link w:val="Char0"/>
    <w:uiPriority w:val="99"/>
    <w:rsid w:val="004061AC"/>
    <w:rPr>
      <w:rFonts w:ascii="宋体" w:hAnsi="Courier New"/>
      <w:kern w:val="0"/>
    </w:rPr>
  </w:style>
  <w:style w:type="character" w:customStyle="1" w:styleId="Char0">
    <w:name w:val="纯文本 Char"/>
    <w:link w:val="a5"/>
    <w:uiPriority w:val="99"/>
    <w:locked/>
    <w:rsid w:val="004061AC"/>
    <w:rPr>
      <w:rFonts w:ascii="宋体" w:eastAsia="宋体" w:hAnsi="Courier New" w:cs="宋体"/>
      <w:sz w:val="21"/>
      <w:szCs w:val="21"/>
    </w:rPr>
  </w:style>
  <w:style w:type="paragraph" w:styleId="20">
    <w:name w:val="Body Text Indent 2"/>
    <w:basedOn w:val="a"/>
    <w:link w:val="2Char0"/>
    <w:uiPriority w:val="99"/>
    <w:rsid w:val="004061AC"/>
    <w:pPr>
      <w:spacing w:line="560" w:lineRule="exact"/>
      <w:ind w:firstLineChars="200" w:firstLine="480"/>
    </w:pPr>
    <w:rPr>
      <w:rFonts w:ascii="宋体" w:hAnsi="宋体"/>
      <w:color w:val="FF0000"/>
      <w:kern w:val="0"/>
      <w:sz w:val="24"/>
      <w:szCs w:val="24"/>
    </w:rPr>
  </w:style>
  <w:style w:type="character" w:customStyle="1" w:styleId="2Char0">
    <w:name w:val="正文文本缩进 2 Char"/>
    <w:link w:val="20"/>
    <w:uiPriority w:val="99"/>
    <w:locked/>
    <w:rsid w:val="004061AC"/>
    <w:rPr>
      <w:rFonts w:ascii="宋体" w:eastAsia="宋体" w:hAnsi="宋体" w:cs="宋体"/>
      <w:color w:val="FF0000"/>
      <w:sz w:val="24"/>
      <w:szCs w:val="24"/>
    </w:rPr>
  </w:style>
  <w:style w:type="paragraph" w:styleId="a6">
    <w:name w:val="footer"/>
    <w:basedOn w:val="a"/>
    <w:link w:val="Char1"/>
    <w:uiPriority w:val="99"/>
    <w:rsid w:val="004061AC"/>
    <w:pPr>
      <w:tabs>
        <w:tab w:val="center" w:pos="4153"/>
        <w:tab w:val="right" w:pos="8306"/>
      </w:tabs>
      <w:snapToGrid w:val="0"/>
      <w:jc w:val="left"/>
    </w:pPr>
    <w:rPr>
      <w:kern w:val="0"/>
      <w:sz w:val="18"/>
      <w:szCs w:val="18"/>
    </w:rPr>
  </w:style>
  <w:style w:type="character" w:customStyle="1" w:styleId="Char1">
    <w:name w:val="页脚 Char"/>
    <w:link w:val="a6"/>
    <w:uiPriority w:val="99"/>
    <w:locked/>
    <w:rsid w:val="004061AC"/>
    <w:rPr>
      <w:rFonts w:ascii="Times New Roman" w:eastAsia="宋体" w:hAnsi="Times New Roman" w:cs="Times New Roman"/>
      <w:sz w:val="18"/>
      <w:szCs w:val="18"/>
    </w:rPr>
  </w:style>
  <w:style w:type="character" w:styleId="a7">
    <w:name w:val="page number"/>
    <w:uiPriority w:val="99"/>
    <w:rsid w:val="004061AC"/>
    <w:rPr>
      <w:rFonts w:cs="Times New Roman"/>
    </w:rPr>
  </w:style>
  <w:style w:type="character" w:styleId="a8">
    <w:name w:val="Hyperlink"/>
    <w:uiPriority w:val="99"/>
    <w:rsid w:val="004061AC"/>
    <w:rPr>
      <w:rFonts w:cs="Times New Roman"/>
      <w:color w:val="0000FF"/>
      <w:u w:val="single"/>
    </w:rPr>
  </w:style>
  <w:style w:type="paragraph" w:styleId="30">
    <w:name w:val="Body Text Indent 3"/>
    <w:basedOn w:val="a"/>
    <w:link w:val="3Char0"/>
    <w:uiPriority w:val="99"/>
    <w:rsid w:val="004061AC"/>
    <w:pPr>
      <w:spacing w:line="560" w:lineRule="exact"/>
      <w:ind w:firstLineChars="200" w:firstLine="420"/>
    </w:pPr>
    <w:rPr>
      <w:rFonts w:ascii="Arial" w:hAnsi="Arial"/>
      <w:color w:val="FF0000"/>
      <w:kern w:val="0"/>
    </w:rPr>
  </w:style>
  <w:style w:type="character" w:customStyle="1" w:styleId="3Char0">
    <w:name w:val="正文文本缩进 3 Char"/>
    <w:link w:val="30"/>
    <w:uiPriority w:val="99"/>
    <w:locked/>
    <w:rsid w:val="004061AC"/>
    <w:rPr>
      <w:rFonts w:ascii="Arial" w:eastAsia="宋体" w:hAnsi="Arial" w:cs="Arial"/>
      <w:color w:val="FF0000"/>
      <w:sz w:val="21"/>
      <w:szCs w:val="21"/>
    </w:rPr>
  </w:style>
  <w:style w:type="paragraph" w:styleId="a9">
    <w:name w:val="header"/>
    <w:basedOn w:val="a"/>
    <w:link w:val="Char2"/>
    <w:uiPriority w:val="99"/>
    <w:rsid w:val="004061AC"/>
    <w:pPr>
      <w:pBdr>
        <w:bottom w:val="single" w:sz="6" w:space="1" w:color="auto"/>
      </w:pBdr>
      <w:tabs>
        <w:tab w:val="center" w:pos="4153"/>
        <w:tab w:val="right" w:pos="8306"/>
      </w:tabs>
      <w:snapToGrid w:val="0"/>
      <w:jc w:val="center"/>
    </w:pPr>
    <w:rPr>
      <w:kern w:val="0"/>
      <w:sz w:val="18"/>
      <w:szCs w:val="18"/>
    </w:rPr>
  </w:style>
  <w:style w:type="character" w:customStyle="1" w:styleId="Char2">
    <w:name w:val="页眉 Char"/>
    <w:link w:val="a9"/>
    <w:uiPriority w:val="99"/>
    <w:locked/>
    <w:rsid w:val="004061AC"/>
    <w:rPr>
      <w:rFonts w:ascii="Times New Roman" w:eastAsia="宋体" w:hAnsi="Times New Roman" w:cs="Times New Roman"/>
      <w:sz w:val="18"/>
      <w:szCs w:val="18"/>
    </w:rPr>
  </w:style>
  <w:style w:type="character" w:styleId="aa">
    <w:name w:val="FollowedHyperlink"/>
    <w:uiPriority w:val="99"/>
    <w:rsid w:val="004061AC"/>
    <w:rPr>
      <w:rFonts w:cs="Times New Roman"/>
      <w:color w:val="800080"/>
      <w:u w:val="single"/>
    </w:rPr>
  </w:style>
  <w:style w:type="paragraph" w:styleId="ab">
    <w:name w:val="List"/>
    <w:basedOn w:val="ac"/>
    <w:uiPriority w:val="99"/>
    <w:rsid w:val="004061AC"/>
    <w:pPr>
      <w:spacing w:after="220" w:line="220" w:lineRule="atLeast"/>
      <w:ind w:left="1440" w:hanging="360"/>
    </w:pPr>
  </w:style>
  <w:style w:type="paragraph" w:styleId="ac">
    <w:name w:val="Body Text"/>
    <w:basedOn w:val="a"/>
    <w:link w:val="Char3"/>
    <w:uiPriority w:val="99"/>
    <w:rsid w:val="004061AC"/>
    <w:pPr>
      <w:spacing w:after="120"/>
    </w:pPr>
    <w:rPr>
      <w:kern w:val="0"/>
    </w:rPr>
  </w:style>
  <w:style w:type="character" w:customStyle="1" w:styleId="Char3">
    <w:name w:val="正文文本 Char"/>
    <w:link w:val="ac"/>
    <w:uiPriority w:val="99"/>
    <w:locked/>
    <w:rsid w:val="004061AC"/>
    <w:rPr>
      <w:rFonts w:ascii="Times New Roman" w:eastAsia="宋体" w:hAnsi="Times New Roman" w:cs="Times New Roman"/>
      <w:sz w:val="21"/>
      <w:szCs w:val="21"/>
    </w:rPr>
  </w:style>
  <w:style w:type="paragraph" w:styleId="ad">
    <w:name w:val="Date"/>
    <w:basedOn w:val="a"/>
    <w:next w:val="a"/>
    <w:link w:val="Char4"/>
    <w:uiPriority w:val="99"/>
    <w:rsid w:val="004061AC"/>
    <w:rPr>
      <w:kern w:val="0"/>
      <w:sz w:val="24"/>
      <w:szCs w:val="24"/>
    </w:rPr>
  </w:style>
  <w:style w:type="character" w:customStyle="1" w:styleId="Char4">
    <w:name w:val="日期 Char"/>
    <w:link w:val="ad"/>
    <w:uiPriority w:val="99"/>
    <w:locked/>
    <w:rsid w:val="004061AC"/>
    <w:rPr>
      <w:rFonts w:ascii="Times New Roman" w:eastAsia="宋体" w:hAnsi="Times New Roman" w:cs="Times New Roman"/>
      <w:sz w:val="24"/>
      <w:szCs w:val="24"/>
    </w:rPr>
  </w:style>
  <w:style w:type="character" w:customStyle="1" w:styleId="c1">
    <w:name w:val="c1"/>
    <w:uiPriority w:val="99"/>
    <w:rsid w:val="004061AC"/>
    <w:rPr>
      <w:rFonts w:cs="Times New Roman"/>
      <w:color w:val="000000"/>
      <w:sz w:val="18"/>
      <w:szCs w:val="18"/>
    </w:rPr>
  </w:style>
  <w:style w:type="paragraph" w:styleId="10">
    <w:name w:val="index 1"/>
    <w:basedOn w:val="a"/>
    <w:next w:val="a"/>
    <w:autoRedefine/>
    <w:uiPriority w:val="99"/>
    <w:semiHidden/>
    <w:rsid w:val="004061AC"/>
    <w:pPr>
      <w:jc w:val="right"/>
    </w:pPr>
    <w:rPr>
      <w:color w:val="008000"/>
    </w:rPr>
  </w:style>
  <w:style w:type="paragraph" w:customStyle="1" w:styleId="font5">
    <w:name w:val="font5"/>
    <w:basedOn w:val="a"/>
    <w:uiPriority w:val="99"/>
    <w:rsid w:val="004061AC"/>
    <w:pPr>
      <w:widowControl/>
      <w:spacing w:before="100" w:beforeAutospacing="1" w:after="100" w:afterAutospacing="1"/>
      <w:jc w:val="left"/>
    </w:pPr>
    <w:rPr>
      <w:rFonts w:ascii="宋体" w:hAnsi="宋体" w:cs="宋体"/>
      <w:kern w:val="0"/>
      <w:sz w:val="18"/>
      <w:szCs w:val="18"/>
    </w:rPr>
  </w:style>
  <w:style w:type="paragraph" w:customStyle="1" w:styleId="xl24">
    <w:name w:val="xl24"/>
    <w:basedOn w:val="a"/>
    <w:uiPriority w:val="99"/>
    <w:rsid w:val="004061AC"/>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szCs w:val="24"/>
    </w:rPr>
  </w:style>
  <w:style w:type="paragraph" w:customStyle="1" w:styleId="xl26">
    <w:name w:val="xl2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7">
    <w:name w:val="xl2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9">
    <w:name w:val="xl29"/>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0">
    <w:name w:val="xl30"/>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1">
    <w:name w:val="xl31"/>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e">
    <w:name w:val="Balloon Text"/>
    <w:basedOn w:val="a"/>
    <w:link w:val="Char5"/>
    <w:uiPriority w:val="99"/>
    <w:semiHidden/>
    <w:rsid w:val="004061AC"/>
    <w:rPr>
      <w:kern w:val="0"/>
      <w:sz w:val="18"/>
      <w:szCs w:val="18"/>
    </w:rPr>
  </w:style>
  <w:style w:type="character" w:customStyle="1" w:styleId="Char5">
    <w:name w:val="批注框文本 Char"/>
    <w:link w:val="ae"/>
    <w:uiPriority w:val="99"/>
    <w:semiHidden/>
    <w:locked/>
    <w:rsid w:val="004061AC"/>
    <w:rPr>
      <w:rFonts w:ascii="Times New Roman" w:eastAsia="宋体" w:hAnsi="Times New Roman" w:cs="Times New Roman"/>
      <w:sz w:val="18"/>
      <w:szCs w:val="18"/>
    </w:rPr>
  </w:style>
  <w:style w:type="character" w:styleId="af">
    <w:name w:val="annotation reference"/>
    <w:uiPriority w:val="99"/>
    <w:semiHidden/>
    <w:rsid w:val="004061AC"/>
    <w:rPr>
      <w:rFonts w:cs="Times New Roman"/>
      <w:sz w:val="21"/>
      <w:szCs w:val="21"/>
    </w:rPr>
  </w:style>
  <w:style w:type="paragraph" w:styleId="af0">
    <w:name w:val="annotation text"/>
    <w:basedOn w:val="a"/>
    <w:link w:val="Char6"/>
    <w:uiPriority w:val="99"/>
    <w:semiHidden/>
    <w:rsid w:val="004061AC"/>
    <w:pPr>
      <w:jc w:val="left"/>
    </w:pPr>
    <w:rPr>
      <w:kern w:val="0"/>
    </w:rPr>
  </w:style>
  <w:style w:type="character" w:customStyle="1" w:styleId="Char6">
    <w:name w:val="批注文字 Char"/>
    <w:link w:val="af0"/>
    <w:uiPriority w:val="99"/>
    <w:semiHidden/>
    <w:locked/>
    <w:rsid w:val="004061AC"/>
    <w:rPr>
      <w:rFonts w:ascii="Times New Roman" w:eastAsia="宋体" w:hAnsi="Times New Roman" w:cs="Times New Roman"/>
      <w:sz w:val="21"/>
      <w:szCs w:val="21"/>
    </w:rPr>
  </w:style>
  <w:style w:type="paragraph" w:styleId="af1">
    <w:name w:val="annotation subject"/>
    <w:basedOn w:val="af0"/>
    <w:next w:val="af0"/>
    <w:link w:val="Char7"/>
    <w:uiPriority w:val="99"/>
    <w:semiHidden/>
    <w:rsid w:val="004061AC"/>
    <w:rPr>
      <w:b/>
      <w:bCs/>
    </w:rPr>
  </w:style>
  <w:style w:type="character" w:customStyle="1" w:styleId="Char7">
    <w:name w:val="批注主题 Char"/>
    <w:link w:val="af1"/>
    <w:uiPriority w:val="99"/>
    <w:semiHidden/>
    <w:locked/>
    <w:rsid w:val="004061AC"/>
    <w:rPr>
      <w:rFonts w:ascii="Times New Roman" w:eastAsia="宋体" w:hAnsi="Times New Roman" w:cs="Times New Roman"/>
      <w:b/>
      <w:bCs/>
      <w:sz w:val="21"/>
      <w:szCs w:val="21"/>
    </w:rPr>
  </w:style>
  <w:style w:type="paragraph" w:customStyle="1" w:styleId="Char8">
    <w:name w:val="Char"/>
    <w:basedOn w:val="a"/>
    <w:uiPriority w:val="99"/>
    <w:rsid w:val="004061AC"/>
  </w:style>
  <w:style w:type="paragraph" w:styleId="af2">
    <w:name w:val="Document Map"/>
    <w:basedOn w:val="a"/>
    <w:link w:val="Char9"/>
    <w:uiPriority w:val="99"/>
    <w:semiHidden/>
    <w:rsid w:val="004061AC"/>
    <w:pPr>
      <w:shd w:val="clear" w:color="auto" w:fill="000080"/>
    </w:pPr>
    <w:rPr>
      <w:kern w:val="0"/>
    </w:rPr>
  </w:style>
  <w:style w:type="character" w:customStyle="1" w:styleId="Char9">
    <w:name w:val="文档结构图 Char"/>
    <w:link w:val="af2"/>
    <w:uiPriority w:val="99"/>
    <w:semiHidden/>
    <w:locked/>
    <w:rsid w:val="004061AC"/>
    <w:rPr>
      <w:rFonts w:ascii="Times New Roman" w:eastAsia="宋体" w:hAnsi="Times New Roman" w:cs="Times New Roman"/>
      <w:sz w:val="21"/>
      <w:szCs w:val="21"/>
      <w:shd w:val="clear" w:color="auto" w:fill="000080"/>
    </w:rPr>
  </w:style>
  <w:style w:type="paragraph" w:customStyle="1" w:styleId="af3">
    <w:name w:val="正文 + (符号) 宋体"/>
    <w:aliases w:val="小四,紧缩量  0.2 磅"/>
    <w:basedOn w:val="a"/>
    <w:uiPriority w:val="99"/>
    <w:rsid w:val="004061AC"/>
    <w:pPr>
      <w:autoSpaceDE w:val="0"/>
      <w:autoSpaceDN w:val="0"/>
      <w:adjustRightInd w:val="0"/>
      <w:ind w:rightChars="671" w:right="1409" w:firstLineChars="512" w:firstLine="1229"/>
      <w:jc w:val="distribute"/>
    </w:pPr>
    <w:rPr>
      <w:sz w:val="24"/>
      <w:szCs w:val="24"/>
    </w:rPr>
  </w:style>
  <w:style w:type="paragraph" w:styleId="af4">
    <w:name w:val="footnote text"/>
    <w:basedOn w:val="a"/>
    <w:link w:val="Chara"/>
    <w:uiPriority w:val="99"/>
    <w:rsid w:val="004061AC"/>
    <w:pPr>
      <w:snapToGrid w:val="0"/>
      <w:jc w:val="left"/>
    </w:pPr>
    <w:rPr>
      <w:kern w:val="0"/>
      <w:sz w:val="18"/>
      <w:szCs w:val="18"/>
    </w:rPr>
  </w:style>
  <w:style w:type="character" w:customStyle="1" w:styleId="Chara">
    <w:name w:val="脚注文本 Char"/>
    <w:link w:val="af4"/>
    <w:uiPriority w:val="99"/>
    <w:locked/>
    <w:rsid w:val="004061AC"/>
    <w:rPr>
      <w:rFonts w:ascii="Times New Roman" w:eastAsia="宋体" w:hAnsi="Times New Roman" w:cs="Times New Roman"/>
      <w:sz w:val="18"/>
      <w:szCs w:val="18"/>
    </w:rPr>
  </w:style>
  <w:style w:type="character" w:styleId="af5">
    <w:name w:val="footnote reference"/>
    <w:uiPriority w:val="99"/>
    <w:rsid w:val="004061AC"/>
    <w:rPr>
      <w:rFonts w:cs="Times New Roman"/>
      <w:vertAlign w:val="superscript"/>
    </w:rPr>
  </w:style>
  <w:style w:type="paragraph" w:styleId="af6">
    <w:name w:val="Normal (Web)"/>
    <w:basedOn w:val="a"/>
    <w:uiPriority w:val="99"/>
    <w:rsid w:val="004061AC"/>
    <w:pPr>
      <w:widowControl/>
      <w:spacing w:before="100" w:beforeAutospacing="1" w:after="100" w:afterAutospacing="1"/>
      <w:jc w:val="left"/>
    </w:pPr>
    <w:rPr>
      <w:rFonts w:ascii="宋体" w:hAnsi="宋体" w:cs="宋体"/>
      <w:kern w:val="0"/>
      <w:sz w:val="24"/>
      <w:szCs w:val="24"/>
    </w:rPr>
  </w:style>
  <w:style w:type="table" w:styleId="af7">
    <w:name w:val="Table Grid"/>
    <w:basedOn w:val="a2"/>
    <w:qFormat/>
    <w:rsid w:val="004061AC"/>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4061AC"/>
  </w:style>
  <w:style w:type="paragraph" w:customStyle="1" w:styleId="CharCharCharCharCharChar1CharCharChar">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type="paragraph" w:customStyle="1" w:styleId="CharCharCharCharCharChar1CharCharChar2">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8">
    <w:name w:val="Title"/>
    <w:basedOn w:val="a"/>
    <w:next w:val="a"/>
    <w:link w:val="Charb"/>
    <w:uiPriority w:val="99"/>
    <w:qFormat/>
    <w:rsid w:val="004061AC"/>
    <w:pPr>
      <w:spacing w:before="240" w:after="60"/>
      <w:jc w:val="center"/>
      <w:outlineLvl w:val="0"/>
    </w:pPr>
    <w:rPr>
      <w:rFonts w:ascii="Cambria" w:hAnsi="Cambria"/>
      <w:b/>
      <w:bCs/>
      <w:kern w:val="0"/>
      <w:sz w:val="32"/>
      <w:szCs w:val="32"/>
    </w:rPr>
  </w:style>
  <w:style w:type="character" w:customStyle="1" w:styleId="Charb">
    <w:name w:val="标题 Char"/>
    <w:link w:val="af8"/>
    <w:uiPriority w:val="99"/>
    <w:locked/>
    <w:rsid w:val="004061AC"/>
    <w:rPr>
      <w:rFonts w:ascii="Cambria" w:eastAsia="宋体" w:hAnsi="Cambria" w:cs="Cambria"/>
      <w:b/>
      <w:bCs/>
      <w:sz w:val="32"/>
      <w:szCs w:val="32"/>
    </w:rPr>
  </w:style>
  <w:style w:type="paragraph" w:customStyle="1" w:styleId="CharCharCharCharCharChar1CharCharChar1">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9">
    <w:name w:val="No Spacing"/>
    <w:link w:val="Charc"/>
    <w:uiPriority w:val="99"/>
    <w:qFormat/>
    <w:rsid w:val="004061AC"/>
    <w:rPr>
      <w:rFonts w:cs="Calibri"/>
      <w:sz w:val="22"/>
      <w:szCs w:val="22"/>
    </w:rPr>
  </w:style>
  <w:style w:type="character" w:customStyle="1" w:styleId="Charc">
    <w:name w:val="无间隔 Char"/>
    <w:link w:val="af9"/>
    <w:uiPriority w:val="99"/>
    <w:locked/>
    <w:rsid w:val="004061AC"/>
    <w:rPr>
      <w:rFonts w:cs="Calibri"/>
      <w:sz w:val="22"/>
      <w:szCs w:val="22"/>
      <w:lang w:val="en-US" w:eastAsia="zh-CN" w:bidi="ar-SA"/>
    </w:rPr>
  </w:style>
  <w:style w:type="character" w:customStyle="1" w:styleId="t1">
    <w:name w:val="t1"/>
    <w:uiPriority w:val="99"/>
    <w:rsid w:val="004061AC"/>
    <w:rPr>
      <w:rFonts w:cs="Times New Roman"/>
      <w:color w:val="auto"/>
    </w:rPr>
  </w:style>
  <w:style w:type="paragraph" w:styleId="afa">
    <w:name w:val="List Paragraph"/>
    <w:basedOn w:val="a"/>
    <w:uiPriority w:val="99"/>
    <w:qFormat/>
    <w:rsid w:val="00154BE1"/>
    <w:pPr>
      <w:ind w:firstLineChars="200" w:firstLine="420"/>
    </w:pPr>
  </w:style>
  <w:style w:type="paragraph" w:customStyle="1" w:styleId="Default">
    <w:name w:val="Default"/>
    <w:uiPriority w:val="99"/>
    <w:rsid w:val="00275745"/>
    <w:pPr>
      <w:widowControl w:val="0"/>
      <w:autoSpaceDE w:val="0"/>
      <w:autoSpaceDN w:val="0"/>
      <w:adjustRightInd w:val="0"/>
    </w:pPr>
    <w:rPr>
      <w:rFonts w:ascii="FangSong" w:hAnsi="FangSong" w:cs="FangSong"/>
      <w:color w:val="000000"/>
      <w:sz w:val="24"/>
      <w:szCs w:val="24"/>
    </w:rPr>
  </w:style>
  <w:style w:type="character" w:styleId="afb">
    <w:name w:val="Strong"/>
    <w:uiPriority w:val="22"/>
    <w:qFormat/>
    <w:locked/>
    <w:rsid w:val="00D874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C6B21-7A15-4E18-A651-94219DFDE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962</Words>
  <Characters>5484</Characters>
  <Application>Microsoft Office Word</Application>
  <DocSecurity>0</DocSecurity>
  <Lines>45</Lines>
  <Paragraphs>12</Paragraphs>
  <ScaleCrop>false</ScaleCrop>
  <Company/>
  <LinksUpToDate>false</LinksUpToDate>
  <CharactersWithSpaces>6434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杜洲驰</dc:creator>
  <cp:lastModifiedBy>温学谦</cp:lastModifiedBy>
  <cp:revision>4</cp:revision>
  <dcterms:created xsi:type="dcterms:W3CDTF">2020-07-16T03:14:00Z</dcterms:created>
  <dcterms:modified xsi:type="dcterms:W3CDTF">2020-07-16T10:28:00Z</dcterms:modified>
</cp:coreProperties>
</file>