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4061AC">
      <w:pPr>
        <w:autoSpaceDE w:val="0"/>
        <w:autoSpaceDN w:val="0"/>
        <w:adjustRightInd w:val="0"/>
        <w:spacing w:line="360" w:lineRule="auto"/>
        <w:jc w:val="left"/>
        <w:rPr>
          <w:rFonts w:ascii="宋体"/>
          <w:color w:val="000000"/>
          <w:kern w:val="0"/>
          <w:sz w:val="24"/>
          <w:szCs w:val="24"/>
        </w:rPr>
      </w:pPr>
    </w:p>
    <w:p w:rsidR="00750D48" w:rsidRPr="00264E55" w:rsidRDefault="00750D48" w:rsidP="00542546">
      <w:pPr>
        <w:spacing w:line="360" w:lineRule="auto"/>
        <w:jc w:val="center"/>
        <w:rPr>
          <w:rFonts w:ascii="宋体" w:hAnsi="宋体"/>
          <w:b/>
          <w:sz w:val="36"/>
          <w:szCs w:val="36"/>
        </w:rPr>
      </w:pPr>
      <w:r w:rsidRPr="00264E55">
        <w:rPr>
          <w:rFonts w:ascii="宋体" w:hAnsi="宋体"/>
          <w:b/>
          <w:sz w:val="36"/>
          <w:szCs w:val="36"/>
        </w:rPr>
        <w:t>易方达安心回馈混合型证券投资基金</w:t>
      </w:r>
    </w:p>
    <w:p w:rsidR="00750D48" w:rsidRPr="00264E55" w:rsidRDefault="00750D48" w:rsidP="00542546">
      <w:pPr>
        <w:spacing w:line="360" w:lineRule="auto"/>
        <w:jc w:val="center"/>
        <w:rPr>
          <w:rFonts w:ascii="宋体" w:hAnsi="宋体"/>
          <w:b/>
          <w:sz w:val="36"/>
          <w:szCs w:val="36"/>
        </w:rPr>
      </w:pPr>
      <w:r w:rsidRPr="00264E55">
        <w:rPr>
          <w:rFonts w:ascii="宋体" w:hAnsi="宋体"/>
          <w:b/>
          <w:sz w:val="36"/>
          <w:szCs w:val="36"/>
        </w:rPr>
        <w:t>2020年第2季度报告</w:t>
      </w:r>
    </w:p>
    <w:p w:rsidR="00750D48" w:rsidRPr="00093704" w:rsidRDefault="00750D48" w:rsidP="00542546">
      <w:pPr>
        <w:spacing w:line="360" w:lineRule="auto"/>
        <w:jc w:val="center"/>
        <w:rPr>
          <w:rFonts w:ascii="宋体" w:hAnsi="宋体"/>
          <w:b/>
          <w:sz w:val="24"/>
          <w:szCs w:val="24"/>
        </w:rPr>
      </w:pPr>
      <w:r w:rsidRPr="00093704">
        <w:rPr>
          <w:rFonts w:ascii="宋体" w:hAnsi="宋体"/>
          <w:b/>
          <w:sz w:val="24"/>
          <w:szCs w:val="24"/>
        </w:rPr>
        <w:t>2020年6月30日</w:t>
      </w: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jc w:val="center"/>
        <w:rPr>
          <w:rFonts w:ascii="宋体"/>
          <w:b/>
          <w:bCs/>
          <w:color w:val="000000"/>
          <w:sz w:val="24"/>
          <w:szCs w:val="24"/>
        </w:rPr>
      </w:pPr>
    </w:p>
    <w:p w:rsidR="00750D48" w:rsidRPr="00264E55" w:rsidRDefault="00750D48" w:rsidP="004061AC">
      <w:pPr>
        <w:spacing w:line="360" w:lineRule="auto"/>
        <w:rPr>
          <w:rFonts w:ascii="宋体"/>
          <w:b/>
          <w:bCs/>
          <w:color w:val="000000"/>
          <w:sz w:val="24"/>
          <w:szCs w:val="24"/>
        </w:rPr>
      </w:pPr>
    </w:p>
    <w:p w:rsidR="00750D48" w:rsidRPr="00264E55" w:rsidRDefault="00750D48" w:rsidP="00EB572F">
      <w:pPr>
        <w:spacing w:line="360" w:lineRule="auto"/>
        <w:ind w:firstLineChars="900" w:firstLine="2168"/>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hAnsi="宋体"/>
          <w:b/>
          <w:color w:val="000000"/>
          <w:sz w:val="24"/>
          <w:szCs w:val="24"/>
        </w:rPr>
        <w:t>易方达基金管理有限公司</w:t>
      </w:r>
    </w:p>
    <w:p w:rsidR="00750D48" w:rsidRPr="00264E55" w:rsidRDefault="00750D48" w:rsidP="00EB572F">
      <w:pPr>
        <w:spacing w:line="360" w:lineRule="auto"/>
        <w:ind w:firstLineChars="900" w:firstLine="2168"/>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hAnsi="宋体"/>
          <w:b/>
          <w:color w:val="000000"/>
          <w:sz w:val="24"/>
          <w:szCs w:val="24"/>
        </w:rPr>
        <w:t>中国工商银行股份有限公司</w:t>
      </w:r>
    </w:p>
    <w:p w:rsidR="00750D48" w:rsidRPr="00264E55" w:rsidRDefault="00750D48" w:rsidP="00EB572F">
      <w:pPr>
        <w:spacing w:line="360" w:lineRule="auto"/>
        <w:ind w:firstLineChars="900" w:firstLine="2168"/>
        <w:rPr>
          <w:rFonts w:ascii="宋体" w:hAnsi="宋体"/>
          <w:b/>
          <w:color w:val="000000"/>
          <w:sz w:val="24"/>
          <w:szCs w:val="24"/>
        </w:rPr>
        <w:sectPr w:rsidR="00750D48" w:rsidRPr="00264E55" w:rsidSect="00304A12">
          <w:headerReference w:type="default" r:id="rId8"/>
          <w:footerReference w:type="default" r:id="rId9"/>
          <w:pgSz w:w="11926" w:h="15840"/>
          <w:pgMar w:top="1418" w:right="1418" w:bottom="851" w:left="1418" w:header="851" w:footer="992" w:gutter="0"/>
          <w:cols w:space="720"/>
          <w:noEndnote/>
        </w:sectPr>
      </w:pPr>
      <w:r w:rsidRPr="00264E55">
        <w:rPr>
          <w:rFonts w:ascii="宋体" w:hAnsi="宋体" w:hint="eastAsia"/>
          <w:b/>
          <w:color w:val="000000"/>
          <w:sz w:val="24"/>
          <w:szCs w:val="24"/>
        </w:rPr>
        <w:t>报告送出日期：</w:t>
      </w:r>
      <w:r w:rsidRPr="00264E55">
        <w:rPr>
          <w:rFonts w:ascii="宋体" w:hAnsi="宋体"/>
          <w:b/>
          <w:color w:val="000000"/>
          <w:sz w:val="24"/>
          <w:szCs w:val="24"/>
        </w:rPr>
        <w:t>二〇二〇年七月二十一日</w:t>
      </w:r>
    </w:p>
    <w:p w:rsidR="00750D48" w:rsidRPr="00264E55" w:rsidRDefault="00750D48" w:rsidP="004D28A3">
      <w:pPr>
        <w:pStyle w:val="1"/>
        <w:spacing w:beforeLines="100" w:before="312" w:afterLines="100" w:after="312"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rsidR="00AA2E16" w:rsidRDefault="00EC3CD4">
      <w:pPr>
        <w:spacing w:line="360" w:lineRule="auto"/>
        <w:ind w:firstLineChars="200" w:firstLine="480"/>
        <w:rPr>
          <w:color w:val="000000"/>
          <w:sz w:val="24"/>
          <w:szCs w:val="24"/>
        </w:rPr>
      </w:pPr>
      <w:r>
        <w:rPr>
          <w:color w:val="000000"/>
          <w:sz w:val="24"/>
          <w:szCs w:val="24"/>
        </w:rPr>
        <w:t>基金管理人的董事会及董事保证本报告所载资料不存在虚假记载、误导性陈述或重大遗漏，并对其内容的真实性、准确性和完整性承担个别及连带责任。</w:t>
      </w:r>
      <w:r>
        <w:rPr>
          <w:color w:val="000000"/>
          <w:sz w:val="24"/>
          <w:szCs w:val="24"/>
        </w:rPr>
        <w:t xml:space="preserve"> </w:t>
      </w:r>
    </w:p>
    <w:p w:rsidR="00AA2E16" w:rsidRDefault="00EC3CD4">
      <w:pPr>
        <w:spacing w:line="360" w:lineRule="auto"/>
        <w:ind w:firstLineChars="200" w:firstLine="480"/>
        <w:rPr>
          <w:color w:val="000000"/>
          <w:sz w:val="24"/>
          <w:szCs w:val="24"/>
        </w:rPr>
      </w:pPr>
      <w:r>
        <w:rPr>
          <w:color w:val="000000"/>
          <w:sz w:val="24"/>
          <w:szCs w:val="24"/>
        </w:rPr>
        <w:t>基金托管人中国工商银行股份有限公司根据本基金合同规定，于</w:t>
      </w:r>
      <w:r>
        <w:rPr>
          <w:color w:val="000000"/>
          <w:sz w:val="24"/>
          <w:szCs w:val="24"/>
        </w:rPr>
        <w:t>2020</w:t>
      </w:r>
      <w:r>
        <w:rPr>
          <w:color w:val="000000"/>
          <w:sz w:val="24"/>
          <w:szCs w:val="24"/>
        </w:rPr>
        <w:t>年</w:t>
      </w:r>
      <w:r>
        <w:rPr>
          <w:color w:val="000000"/>
          <w:sz w:val="24"/>
          <w:szCs w:val="24"/>
        </w:rPr>
        <w:t>7</w:t>
      </w:r>
      <w:r>
        <w:rPr>
          <w:color w:val="000000"/>
          <w:sz w:val="24"/>
          <w:szCs w:val="24"/>
        </w:rPr>
        <w:t>月</w:t>
      </w:r>
      <w:r>
        <w:rPr>
          <w:color w:val="000000"/>
          <w:sz w:val="24"/>
          <w:szCs w:val="24"/>
        </w:rPr>
        <w:t>17</w:t>
      </w:r>
      <w:r>
        <w:rPr>
          <w:color w:val="000000"/>
          <w:sz w:val="24"/>
          <w:szCs w:val="24"/>
        </w:rPr>
        <w:t>日复核了本报告中的财务指标、净值表现和投资组合报告等内容，保证复核内容不存在虚假记载、误导性陈述或者重大遗漏。</w:t>
      </w:r>
      <w:r>
        <w:rPr>
          <w:color w:val="000000"/>
          <w:sz w:val="24"/>
          <w:szCs w:val="24"/>
        </w:rPr>
        <w:t xml:space="preserve"> </w:t>
      </w:r>
    </w:p>
    <w:p w:rsidR="00AA2E16" w:rsidRDefault="00EC3CD4">
      <w:pPr>
        <w:spacing w:line="360" w:lineRule="auto"/>
        <w:ind w:firstLineChars="200" w:firstLine="480"/>
        <w:rPr>
          <w:color w:val="000000"/>
          <w:sz w:val="24"/>
          <w:szCs w:val="24"/>
        </w:rPr>
      </w:pPr>
      <w:r>
        <w:rPr>
          <w:color w:val="000000"/>
          <w:sz w:val="24"/>
          <w:szCs w:val="24"/>
        </w:rPr>
        <w:t>基金管理人承诺以诚实信用、勤勉尽责的原则管理和运用基金资产，但不保证基金一定盈利。</w:t>
      </w:r>
      <w:r>
        <w:rPr>
          <w:color w:val="000000"/>
          <w:sz w:val="24"/>
          <w:szCs w:val="24"/>
        </w:rPr>
        <w:t xml:space="preserve"> </w:t>
      </w:r>
    </w:p>
    <w:p w:rsidR="00AA2E16" w:rsidRDefault="00EC3CD4">
      <w:pPr>
        <w:spacing w:line="360" w:lineRule="auto"/>
        <w:ind w:firstLineChars="200" w:firstLine="480"/>
        <w:rPr>
          <w:color w:val="000000"/>
          <w:sz w:val="24"/>
          <w:szCs w:val="24"/>
        </w:rPr>
      </w:pPr>
      <w:r>
        <w:rPr>
          <w:color w:val="000000"/>
          <w:sz w:val="24"/>
          <w:szCs w:val="24"/>
        </w:rPr>
        <w:t>基金的过往业绩并不代表其未来表现。投资有风险，投资者在作出投资决策前应仔细阅读本基金的招募说明书。</w:t>
      </w:r>
      <w:r>
        <w:rPr>
          <w:color w:val="000000"/>
          <w:sz w:val="24"/>
          <w:szCs w:val="24"/>
        </w:rPr>
        <w:t xml:space="preserve"> </w:t>
      </w:r>
    </w:p>
    <w:p w:rsidR="00AA2E16" w:rsidRDefault="00EC3CD4">
      <w:pPr>
        <w:spacing w:line="360" w:lineRule="auto"/>
        <w:ind w:firstLineChars="200" w:firstLine="480"/>
        <w:rPr>
          <w:color w:val="000000"/>
          <w:sz w:val="24"/>
          <w:szCs w:val="24"/>
        </w:rPr>
      </w:pPr>
      <w:r>
        <w:rPr>
          <w:color w:val="000000"/>
          <w:sz w:val="24"/>
          <w:szCs w:val="24"/>
        </w:rPr>
        <w:t>本报告中财务资料未经审计。</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本报告期自</w:t>
      </w:r>
      <w:r w:rsidRPr="006C56AA">
        <w:rPr>
          <w:color w:val="000000"/>
          <w:sz w:val="24"/>
          <w:szCs w:val="24"/>
        </w:rPr>
        <w:t>2020</w:t>
      </w:r>
      <w:r w:rsidRPr="006C56AA">
        <w:rPr>
          <w:color w:val="000000"/>
          <w:sz w:val="24"/>
          <w:szCs w:val="24"/>
        </w:rPr>
        <w:t>年</w:t>
      </w:r>
      <w:r w:rsidRPr="006C56AA">
        <w:rPr>
          <w:color w:val="000000"/>
          <w:sz w:val="24"/>
          <w:szCs w:val="24"/>
        </w:rPr>
        <w:t>4</w:t>
      </w:r>
      <w:r w:rsidRPr="006C56AA">
        <w:rPr>
          <w:color w:val="000000"/>
          <w:sz w:val="24"/>
          <w:szCs w:val="24"/>
        </w:rPr>
        <w:t>月</w:t>
      </w:r>
      <w:r w:rsidRPr="006C56AA">
        <w:rPr>
          <w:color w:val="000000"/>
          <w:sz w:val="24"/>
          <w:szCs w:val="24"/>
        </w:rPr>
        <w:t>1</w:t>
      </w:r>
      <w:r w:rsidRPr="006C56AA">
        <w:rPr>
          <w:color w:val="000000"/>
          <w:sz w:val="24"/>
          <w:szCs w:val="24"/>
        </w:rPr>
        <w:t>日起至</w:t>
      </w:r>
      <w:r w:rsidRPr="006C56AA">
        <w:rPr>
          <w:color w:val="000000"/>
          <w:sz w:val="24"/>
          <w:szCs w:val="24"/>
        </w:rPr>
        <w:t>6</w:t>
      </w:r>
      <w:r w:rsidRPr="006C56AA">
        <w:rPr>
          <w:color w:val="000000"/>
          <w:sz w:val="24"/>
          <w:szCs w:val="24"/>
        </w:rPr>
        <w:t>月</w:t>
      </w:r>
      <w:r w:rsidRPr="006C56AA">
        <w:rPr>
          <w:color w:val="000000"/>
          <w:sz w:val="24"/>
          <w:szCs w:val="24"/>
        </w:rPr>
        <w:t>30</w:t>
      </w:r>
      <w:r w:rsidRPr="006C56AA">
        <w:rPr>
          <w:color w:val="000000"/>
          <w:sz w:val="24"/>
          <w:szCs w:val="24"/>
        </w:rPr>
        <w:t>日止。</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479"/>
      </w:tblGrid>
      <w:tr w:rsidR="00750D48" w:rsidRPr="00264E55" w:rsidTr="00500A03">
        <w:tc>
          <w:tcPr>
            <w:tcW w:w="2835" w:type="dxa"/>
          </w:tcPr>
          <w:p w:rsidR="00750D48" w:rsidRPr="00232B03" w:rsidRDefault="00750D48" w:rsidP="007B5AFB">
            <w:pPr>
              <w:adjustRightInd w:val="0"/>
              <w:spacing w:before="29" w:line="360" w:lineRule="auto"/>
              <w:ind w:left="17"/>
              <w:jc w:val="left"/>
              <w:rPr>
                <w:kern w:val="0"/>
                <w:sz w:val="24"/>
                <w:szCs w:val="24"/>
              </w:rPr>
            </w:pPr>
            <w:r w:rsidRPr="00232B03">
              <w:rPr>
                <w:kern w:val="0"/>
                <w:sz w:val="24"/>
                <w:szCs w:val="24"/>
              </w:rPr>
              <w:t>基金简称</w:t>
            </w:r>
          </w:p>
        </w:tc>
        <w:tc>
          <w:tcPr>
            <w:tcW w:w="5479" w:type="dxa"/>
          </w:tcPr>
          <w:p w:rsidR="00750D48" w:rsidRPr="00232B03" w:rsidRDefault="00750D48" w:rsidP="007B5AFB">
            <w:pPr>
              <w:adjustRightInd w:val="0"/>
              <w:spacing w:before="29" w:line="360" w:lineRule="auto"/>
              <w:ind w:left="17"/>
              <w:jc w:val="left"/>
              <w:rPr>
                <w:color w:val="000000"/>
                <w:kern w:val="0"/>
                <w:sz w:val="24"/>
                <w:szCs w:val="24"/>
              </w:rPr>
            </w:pPr>
            <w:r w:rsidRPr="00232B03">
              <w:rPr>
                <w:color w:val="000000"/>
                <w:kern w:val="0"/>
                <w:sz w:val="24"/>
                <w:szCs w:val="24"/>
              </w:rPr>
              <w:t>易方达安心回馈混合</w:t>
            </w:r>
          </w:p>
        </w:tc>
      </w:tr>
      <w:tr w:rsidR="00750D48" w:rsidRPr="00264E55" w:rsidTr="00D94B8D">
        <w:tc>
          <w:tcPr>
            <w:tcW w:w="2835" w:type="dxa"/>
          </w:tcPr>
          <w:p w:rsidR="00750D48" w:rsidRPr="00232B03" w:rsidRDefault="00750D48">
            <w:pPr>
              <w:adjustRightInd w:val="0"/>
              <w:spacing w:before="29" w:line="360" w:lineRule="auto"/>
              <w:ind w:left="17"/>
              <w:jc w:val="left"/>
              <w:rPr>
                <w:kern w:val="0"/>
                <w:sz w:val="24"/>
                <w:szCs w:val="24"/>
              </w:rPr>
            </w:pPr>
            <w:r w:rsidRPr="00232B03">
              <w:rPr>
                <w:kern w:val="0"/>
                <w:sz w:val="24"/>
                <w:szCs w:val="24"/>
              </w:rPr>
              <w:t>基金主代码</w:t>
            </w:r>
          </w:p>
        </w:tc>
        <w:tc>
          <w:tcPr>
            <w:tcW w:w="5479" w:type="dxa"/>
          </w:tcPr>
          <w:p w:rsidR="00750D48" w:rsidRPr="00232B03" w:rsidRDefault="00750D48">
            <w:pPr>
              <w:adjustRightInd w:val="0"/>
              <w:spacing w:before="29" w:line="360" w:lineRule="auto"/>
              <w:ind w:left="17"/>
              <w:jc w:val="left"/>
              <w:rPr>
                <w:color w:val="000000"/>
                <w:kern w:val="0"/>
                <w:sz w:val="24"/>
                <w:szCs w:val="24"/>
              </w:rPr>
            </w:pPr>
            <w:r w:rsidRPr="00232B03">
              <w:rPr>
                <w:color w:val="000000"/>
                <w:kern w:val="0"/>
                <w:sz w:val="24"/>
                <w:szCs w:val="24"/>
              </w:rPr>
              <w:t>001182</w:t>
            </w:r>
          </w:p>
        </w:tc>
      </w:tr>
      <w:tr w:rsidR="00750D48" w:rsidRPr="00264E55" w:rsidTr="00D94B8D">
        <w:tc>
          <w:tcPr>
            <w:tcW w:w="2835" w:type="dxa"/>
          </w:tcPr>
          <w:p w:rsidR="00750D48" w:rsidRPr="00232B03" w:rsidRDefault="00750D48" w:rsidP="00895A8A">
            <w:pPr>
              <w:adjustRightInd w:val="0"/>
              <w:spacing w:before="29" w:line="360" w:lineRule="auto"/>
              <w:ind w:left="17"/>
              <w:jc w:val="left"/>
              <w:rPr>
                <w:kern w:val="0"/>
                <w:sz w:val="24"/>
                <w:szCs w:val="24"/>
              </w:rPr>
            </w:pPr>
            <w:r w:rsidRPr="00232B03">
              <w:rPr>
                <w:kern w:val="0"/>
                <w:sz w:val="24"/>
                <w:szCs w:val="24"/>
              </w:rPr>
              <w:t>交易代码</w:t>
            </w:r>
          </w:p>
        </w:tc>
        <w:tc>
          <w:tcPr>
            <w:tcW w:w="5479" w:type="dxa"/>
          </w:tcPr>
          <w:p w:rsidR="00750D48" w:rsidRPr="00232B03" w:rsidRDefault="00750D48" w:rsidP="00895A8A">
            <w:pPr>
              <w:adjustRightInd w:val="0"/>
              <w:spacing w:before="29" w:line="360" w:lineRule="auto"/>
              <w:ind w:left="17"/>
              <w:jc w:val="left"/>
              <w:rPr>
                <w:color w:val="000000"/>
                <w:kern w:val="0"/>
                <w:sz w:val="24"/>
                <w:szCs w:val="24"/>
              </w:rPr>
            </w:pPr>
            <w:r w:rsidRPr="00232B03">
              <w:rPr>
                <w:kern w:val="0"/>
                <w:sz w:val="24"/>
              </w:rPr>
              <w:t>001182</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基金运作方式</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契约型开放式</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基金合同生效日</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2015</w:t>
            </w:r>
            <w:r w:rsidRPr="00232B03">
              <w:rPr>
                <w:color w:val="000000"/>
                <w:kern w:val="0"/>
                <w:sz w:val="24"/>
                <w:szCs w:val="24"/>
              </w:rPr>
              <w:t>年</w:t>
            </w:r>
            <w:r w:rsidRPr="00232B03">
              <w:rPr>
                <w:color w:val="000000"/>
                <w:kern w:val="0"/>
                <w:sz w:val="24"/>
                <w:szCs w:val="24"/>
              </w:rPr>
              <w:t>5</w:t>
            </w:r>
            <w:r w:rsidRPr="00232B03">
              <w:rPr>
                <w:color w:val="000000"/>
                <w:kern w:val="0"/>
                <w:sz w:val="24"/>
                <w:szCs w:val="24"/>
              </w:rPr>
              <w:t>月</w:t>
            </w:r>
            <w:r w:rsidRPr="00232B03">
              <w:rPr>
                <w:color w:val="000000"/>
                <w:kern w:val="0"/>
                <w:sz w:val="24"/>
                <w:szCs w:val="24"/>
              </w:rPr>
              <w:t>29</w:t>
            </w:r>
            <w:r w:rsidRPr="00232B03">
              <w:rPr>
                <w:color w:val="000000"/>
                <w:kern w:val="0"/>
                <w:sz w:val="24"/>
                <w:szCs w:val="24"/>
              </w:rPr>
              <w:t>日</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报告期末基金份额总额</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712,354,476.27</w:t>
            </w:r>
            <w:r w:rsidRPr="00232B03">
              <w:rPr>
                <w:color w:val="000000"/>
                <w:kern w:val="0"/>
                <w:sz w:val="24"/>
                <w:szCs w:val="24"/>
              </w:rPr>
              <w:t>份</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投资目标</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本基金主要投资于固定收益类资产，并通过较灵活的资产配置，力争实现基金资产的长期稳健增值。</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投资策略</w:t>
            </w:r>
          </w:p>
        </w:tc>
        <w:tc>
          <w:tcPr>
            <w:tcW w:w="5479" w:type="dxa"/>
          </w:tcPr>
          <w:p w:rsidR="00AA2E16" w:rsidRDefault="00EC3CD4">
            <w:pPr>
              <w:adjustRightInd w:val="0"/>
              <w:spacing w:before="29" w:line="360" w:lineRule="auto"/>
              <w:ind w:left="17"/>
              <w:jc w:val="left"/>
              <w:rPr>
                <w:color w:val="000000"/>
                <w:sz w:val="24"/>
                <w:szCs w:val="24"/>
              </w:rPr>
            </w:pPr>
            <w:r>
              <w:rPr>
                <w:color w:val="000000"/>
                <w:kern w:val="0"/>
                <w:sz w:val="24"/>
                <w:szCs w:val="24"/>
              </w:rPr>
              <w:t>1</w:t>
            </w:r>
            <w:r>
              <w:rPr>
                <w:color w:val="000000"/>
                <w:kern w:val="0"/>
                <w:sz w:val="24"/>
                <w:szCs w:val="24"/>
              </w:rPr>
              <w:t>、资产配置策略</w:t>
            </w:r>
            <w:r>
              <w:rPr>
                <w:color w:val="000000"/>
                <w:kern w:val="0"/>
                <w:sz w:val="24"/>
                <w:szCs w:val="24"/>
              </w:rPr>
              <w:t xml:space="preserve"> </w:t>
            </w:r>
          </w:p>
          <w:p w:rsidR="00AA2E16" w:rsidRDefault="00EC3CD4">
            <w:pPr>
              <w:adjustRightInd w:val="0"/>
              <w:spacing w:before="29" w:line="360" w:lineRule="auto"/>
              <w:ind w:left="17"/>
              <w:jc w:val="left"/>
              <w:rPr>
                <w:color w:val="000000"/>
                <w:sz w:val="24"/>
                <w:szCs w:val="24"/>
              </w:rPr>
            </w:pPr>
            <w:r>
              <w:rPr>
                <w:color w:val="000000"/>
                <w:kern w:val="0"/>
                <w:sz w:val="24"/>
                <w:szCs w:val="24"/>
              </w:rPr>
              <w:t>本基金将密切关注宏观经济走势，深入分析货币和财政政策、国家产业政策以及资本市场资金环境、证券市场走势等，综合考量各类资产的市场容量、市场流动性和风险收益特征等因素，在固定收益类</w:t>
            </w:r>
            <w:r>
              <w:rPr>
                <w:color w:val="000000"/>
                <w:kern w:val="0"/>
                <w:sz w:val="24"/>
                <w:szCs w:val="24"/>
              </w:rPr>
              <w:lastRenderedPageBreak/>
              <w:t>资产和权益类资产等资产类别之间进行动态配置，确定资产的最优配置比例。</w:t>
            </w:r>
            <w:r>
              <w:rPr>
                <w:color w:val="000000"/>
                <w:kern w:val="0"/>
                <w:sz w:val="24"/>
                <w:szCs w:val="24"/>
              </w:rPr>
              <w:t xml:space="preserve"> </w:t>
            </w:r>
          </w:p>
          <w:p w:rsidR="00AA2E16" w:rsidRDefault="00EC3CD4">
            <w:pPr>
              <w:adjustRightInd w:val="0"/>
              <w:spacing w:before="29" w:line="360" w:lineRule="auto"/>
              <w:ind w:left="17"/>
              <w:jc w:val="left"/>
              <w:rPr>
                <w:color w:val="000000"/>
                <w:sz w:val="24"/>
                <w:szCs w:val="24"/>
              </w:rPr>
            </w:pPr>
            <w:r>
              <w:rPr>
                <w:color w:val="000000"/>
                <w:kern w:val="0"/>
                <w:sz w:val="24"/>
                <w:szCs w:val="24"/>
              </w:rPr>
              <w:t>2</w:t>
            </w:r>
            <w:r>
              <w:rPr>
                <w:color w:val="000000"/>
                <w:kern w:val="0"/>
                <w:sz w:val="24"/>
                <w:szCs w:val="24"/>
              </w:rPr>
              <w:t>、固定收益类资产投资策略</w:t>
            </w:r>
            <w:r>
              <w:rPr>
                <w:color w:val="000000"/>
                <w:kern w:val="0"/>
                <w:sz w:val="24"/>
                <w:szCs w:val="24"/>
              </w:rPr>
              <w:t xml:space="preserve"> </w:t>
            </w:r>
          </w:p>
          <w:p w:rsidR="00AA2E16" w:rsidRDefault="00EC3CD4">
            <w:pPr>
              <w:adjustRightInd w:val="0"/>
              <w:spacing w:before="29" w:line="360" w:lineRule="auto"/>
              <w:ind w:left="17"/>
              <w:jc w:val="left"/>
              <w:rPr>
                <w:color w:val="000000"/>
                <w:sz w:val="24"/>
                <w:szCs w:val="24"/>
              </w:rPr>
            </w:pPr>
            <w:r>
              <w:rPr>
                <w:color w:val="000000"/>
                <w:kern w:val="0"/>
                <w:sz w:val="24"/>
                <w:szCs w:val="24"/>
              </w:rPr>
              <w:t>本基金通过久期配置、类属配置、期限结构配置和个券选择四个层次进行投资管理。</w:t>
            </w:r>
            <w:r>
              <w:rPr>
                <w:color w:val="000000"/>
                <w:kern w:val="0"/>
                <w:sz w:val="24"/>
                <w:szCs w:val="24"/>
              </w:rPr>
              <w:t xml:space="preserve"> </w:t>
            </w:r>
            <w:r>
              <w:rPr>
                <w:color w:val="000000"/>
                <w:kern w:val="0"/>
                <w:sz w:val="24"/>
                <w:szCs w:val="24"/>
              </w:rPr>
              <w:t>本基金将对资金面进行综合分析的基础上，比较债券收益率、存款利率和融资成本，判断利差空间，力争通过适当杠杆操作提高组合收益。</w:t>
            </w:r>
            <w:r>
              <w:rPr>
                <w:color w:val="000000"/>
                <w:kern w:val="0"/>
                <w:sz w:val="24"/>
                <w:szCs w:val="24"/>
              </w:rPr>
              <w:t xml:space="preserve"> </w:t>
            </w:r>
          </w:p>
          <w:p w:rsidR="00AA2E16" w:rsidRDefault="00EC3CD4">
            <w:pPr>
              <w:adjustRightInd w:val="0"/>
              <w:spacing w:before="29" w:line="360" w:lineRule="auto"/>
              <w:ind w:left="17"/>
              <w:jc w:val="left"/>
              <w:rPr>
                <w:color w:val="000000"/>
                <w:sz w:val="24"/>
                <w:szCs w:val="24"/>
              </w:rPr>
            </w:pPr>
            <w:r>
              <w:rPr>
                <w:color w:val="000000"/>
                <w:kern w:val="0"/>
                <w:sz w:val="24"/>
                <w:szCs w:val="24"/>
              </w:rPr>
              <w:t>3</w:t>
            </w:r>
            <w:r>
              <w:rPr>
                <w:color w:val="000000"/>
                <w:kern w:val="0"/>
                <w:sz w:val="24"/>
                <w:szCs w:val="24"/>
              </w:rPr>
              <w:t>、股票投资策略</w:t>
            </w:r>
            <w:r>
              <w:rPr>
                <w:color w:val="000000"/>
                <w:kern w:val="0"/>
                <w:sz w:val="24"/>
                <w:szCs w:val="24"/>
              </w:rPr>
              <w:t xml:space="preserve"> </w:t>
            </w:r>
          </w:p>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本基金股票投资部分主要采取</w:t>
            </w:r>
            <w:r w:rsidRPr="00232B03">
              <w:rPr>
                <w:color w:val="000000"/>
                <w:kern w:val="0"/>
                <w:sz w:val="24"/>
                <w:szCs w:val="24"/>
              </w:rPr>
              <w:t>“</w:t>
            </w:r>
            <w:r w:rsidRPr="00232B03">
              <w:rPr>
                <w:color w:val="000000"/>
                <w:kern w:val="0"/>
                <w:sz w:val="24"/>
                <w:szCs w:val="24"/>
              </w:rPr>
              <w:t>自下而上</w:t>
            </w:r>
            <w:r w:rsidRPr="00232B03">
              <w:rPr>
                <w:color w:val="000000"/>
                <w:kern w:val="0"/>
                <w:sz w:val="24"/>
                <w:szCs w:val="24"/>
              </w:rPr>
              <w:t>”</w:t>
            </w:r>
            <w:r w:rsidRPr="00232B03">
              <w:rPr>
                <w:color w:val="000000"/>
                <w:kern w:val="0"/>
                <w:sz w:val="24"/>
                <w:szCs w:val="24"/>
              </w:rPr>
              <w:t>的投资策略，结合对宏观经济状况、行业成长空间、行业集中度、公司竞争优势等因素的判断，对公司的盈利能力、偿债能力、营运能力、成长性、估值水平、公司战略、治理结构和商业模式等方面进行定量和定性的分析，追求股票投资组合的长期稳健增值。</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lastRenderedPageBreak/>
              <w:t>业绩比较基准</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沪深</w:t>
            </w:r>
            <w:r w:rsidRPr="00232B03">
              <w:rPr>
                <w:color w:val="000000"/>
                <w:kern w:val="0"/>
                <w:sz w:val="24"/>
                <w:szCs w:val="24"/>
              </w:rPr>
              <w:t>300</w:t>
            </w:r>
            <w:r w:rsidRPr="00232B03">
              <w:rPr>
                <w:color w:val="000000"/>
                <w:kern w:val="0"/>
                <w:sz w:val="24"/>
                <w:szCs w:val="24"/>
              </w:rPr>
              <w:t>指数收益率</w:t>
            </w:r>
            <w:r w:rsidRPr="00232B03">
              <w:rPr>
                <w:color w:val="000000"/>
                <w:kern w:val="0"/>
                <w:sz w:val="24"/>
                <w:szCs w:val="24"/>
              </w:rPr>
              <w:t>×25%+</w:t>
            </w:r>
            <w:r w:rsidRPr="00232B03">
              <w:rPr>
                <w:color w:val="000000"/>
                <w:kern w:val="0"/>
                <w:sz w:val="24"/>
                <w:szCs w:val="24"/>
              </w:rPr>
              <w:t>中债新综合指数收益率</w:t>
            </w:r>
            <w:r w:rsidRPr="00232B03">
              <w:rPr>
                <w:color w:val="000000"/>
                <w:kern w:val="0"/>
                <w:sz w:val="24"/>
                <w:szCs w:val="24"/>
              </w:rPr>
              <w:t>×70%+</w:t>
            </w:r>
            <w:r w:rsidRPr="00232B03">
              <w:rPr>
                <w:color w:val="000000"/>
                <w:kern w:val="0"/>
                <w:sz w:val="24"/>
                <w:szCs w:val="24"/>
              </w:rPr>
              <w:t>金融机构人民币活期存款基准利率（税后）</w:t>
            </w:r>
            <w:r w:rsidRPr="00232B03">
              <w:rPr>
                <w:color w:val="000000"/>
                <w:kern w:val="0"/>
                <w:sz w:val="24"/>
                <w:szCs w:val="24"/>
              </w:rPr>
              <w:t>×5%</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风险收益特征</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本基金为混合型基金，理论上其预期风险与预期收益水平低于股票型基金，高于债券型基金和货币市场基金。</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基金管理人</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易方达基金管理有限公司</w:t>
            </w:r>
          </w:p>
        </w:tc>
      </w:tr>
      <w:tr w:rsidR="00750D48" w:rsidRPr="00264E55" w:rsidTr="00500A03">
        <w:tc>
          <w:tcPr>
            <w:tcW w:w="2835" w:type="dxa"/>
          </w:tcPr>
          <w:p w:rsidR="00750D48" w:rsidRPr="00232B03" w:rsidRDefault="00750D48" w:rsidP="007B5AFB">
            <w:pPr>
              <w:adjustRightInd w:val="0"/>
              <w:spacing w:before="29" w:line="360" w:lineRule="auto"/>
              <w:ind w:left="17"/>
              <w:jc w:val="left"/>
              <w:rPr>
                <w:sz w:val="24"/>
                <w:szCs w:val="24"/>
              </w:rPr>
            </w:pPr>
            <w:r w:rsidRPr="00232B03">
              <w:rPr>
                <w:kern w:val="0"/>
                <w:sz w:val="24"/>
                <w:szCs w:val="24"/>
              </w:rPr>
              <w:t>基金托管人</w:t>
            </w:r>
          </w:p>
        </w:tc>
        <w:tc>
          <w:tcPr>
            <w:tcW w:w="5479" w:type="dxa"/>
          </w:tcPr>
          <w:p w:rsidR="00750D48" w:rsidRPr="00232B03" w:rsidRDefault="00750D48" w:rsidP="007B5AFB">
            <w:pPr>
              <w:adjustRightInd w:val="0"/>
              <w:spacing w:before="29" w:line="360" w:lineRule="auto"/>
              <w:ind w:left="17"/>
              <w:jc w:val="left"/>
              <w:rPr>
                <w:color w:val="000000"/>
                <w:sz w:val="24"/>
                <w:szCs w:val="24"/>
              </w:rPr>
            </w:pPr>
            <w:r w:rsidRPr="00232B03">
              <w:rPr>
                <w:color w:val="000000"/>
                <w:kern w:val="0"/>
                <w:sz w:val="24"/>
                <w:szCs w:val="24"/>
              </w:rPr>
              <w:t>中国工商银行股份有限公司</w:t>
            </w:r>
          </w:p>
        </w:tc>
      </w:tr>
    </w:tbl>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R="00392044" w:rsidRPr="006506EF" w:rsidRDefault="00392044" w:rsidP="00392044">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4962"/>
      </w:tblGrid>
      <w:tr w:rsidR="00EF115C" w:rsidRPr="006506EF" w:rsidTr="00EF115C">
        <w:tc>
          <w:tcPr>
            <w:tcW w:w="3402" w:type="dxa"/>
            <w:vAlign w:val="center"/>
          </w:tcPr>
          <w:p w:rsidR="00392044" w:rsidRPr="006506EF" w:rsidRDefault="00392044" w:rsidP="00C3442A">
            <w:pPr>
              <w:adjustRightInd w:val="0"/>
              <w:spacing w:before="29" w:line="360" w:lineRule="auto"/>
              <w:ind w:left="17"/>
              <w:jc w:val="center"/>
              <w:rPr>
                <w:kern w:val="0"/>
                <w:sz w:val="24"/>
              </w:rPr>
            </w:pPr>
            <w:r w:rsidRPr="006506EF">
              <w:rPr>
                <w:kern w:val="0"/>
                <w:sz w:val="24"/>
              </w:rPr>
              <w:t>主要财务指标</w:t>
            </w:r>
          </w:p>
        </w:tc>
        <w:tc>
          <w:tcPr>
            <w:tcW w:w="4962" w:type="dxa"/>
            <w:vAlign w:val="center"/>
          </w:tcPr>
          <w:p w:rsidR="00392044" w:rsidRPr="006506EF" w:rsidRDefault="00392044" w:rsidP="00C3442A">
            <w:pPr>
              <w:adjustRightInd w:val="0"/>
              <w:spacing w:before="29" w:line="360" w:lineRule="auto"/>
              <w:ind w:left="17"/>
              <w:jc w:val="center"/>
              <w:rPr>
                <w:color w:val="000000"/>
                <w:sz w:val="24"/>
              </w:rPr>
            </w:pPr>
            <w:r w:rsidRPr="006506EF">
              <w:rPr>
                <w:color w:val="000000"/>
                <w:sz w:val="24"/>
              </w:rPr>
              <w:t>报告期</w:t>
            </w:r>
          </w:p>
          <w:p w:rsidR="00392044" w:rsidRPr="006506EF" w:rsidRDefault="00392044" w:rsidP="00C3442A">
            <w:pPr>
              <w:adjustRightInd w:val="0"/>
              <w:spacing w:before="29" w:line="360" w:lineRule="auto"/>
              <w:ind w:left="17"/>
              <w:jc w:val="center"/>
              <w:rPr>
                <w:color w:val="000000"/>
                <w:sz w:val="24"/>
              </w:rPr>
            </w:pPr>
            <w:r w:rsidRPr="006506EF">
              <w:rPr>
                <w:color w:val="000000"/>
                <w:sz w:val="24"/>
              </w:rPr>
              <w:lastRenderedPageBreak/>
              <w:t>(2020</w:t>
            </w:r>
            <w:r w:rsidRPr="006506EF">
              <w:rPr>
                <w:color w:val="000000"/>
                <w:sz w:val="24"/>
              </w:rPr>
              <w:t>年</w:t>
            </w:r>
            <w:r w:rsidRPr="006506EF">
              <w:rPr>
                <w:color w:val="000000"/>
                <w:sz w:val="24"/>
              </w:rPr>
              <w:t>4</w:t>
            </w:r>
            <w:r w:rsidRPr="006506EF">
              <w:rPr>
                <w:color w:val="000000"/>
                <w:sz w:val="24"/>
              </w:rPr>
              <w:t>月</w:t>
            </w:r>
            <w:r w:rsidRPr="006506EF">
              <w:rPr>
                <w:color w:val="000000"/>
                <w:sz w:val="24"/>
              </w:rPr>
              <w:t>1</w:t>
            </w:r>
            <w:r w:rsidRPr="006506EF">
              <w:rPr>
                <w:color w:val="000000"/>
                <w:sz w:val="24"/>
              </w:rPr>
              <w:t>日</w:t>
            </w:r>
            <w:r w:rsidRPr="006506EF">
              <w:rPr>
                <w:color w:val="000000"/>
                <w:sz w:val="24"/>
              </w:rPr>
              <w:t>-2020</w:t>
            </w:r>
            <w:r w:rsidRPr="006506EF">
              <w:rPr>
                <w:color w:val="000000"/>
                <w:sz w:val="24"/>
              </w:rPr>
              <w:t>年</w:t>
            </w:r>
            <w:r w:rsidRPr="006506EF">
              <w:rPr>
                <w:color w:val="000000"/>
                <w:sz w:val="24"/>
              </w:rPr>
              <w:t>6</w:t>
            </w:r>
            <w:r w:rsidRPr="006506EF">
              <w:rPr>
                <w:color w:val="000000"/>
                <w:sz w:val="24"/>
              </w:rPr>
              <w:t>月</w:t>
            </w:r>
            <w:r w:rsidRPr="006506EF">
              <w:rPr>
                <w:color w:val="000000"/>
                <w:sz w:val="24"/>
              </w:rPr>
              <w:t>30</w:t>
            </w:r>
            <w:r w:rsidRPr="006506EF">
              <w:rPr>
                <w:color w:val="000000"/>
                <w:sz w:val="24"/>
              </w:rPr>
              <w:t>日</w:t>
            </w:r>
            <w:r w:rsidRPr="006506EF">
              <w:rPr>
                <w:color w:val="000000"/>
                <w:sz w:val="24"/>
              </w:rPr>
              <w:t>)</w:t>
            </w:r>
          </w:p>
        </w:tc>
      </w:tr>
      <w:tr w:rsidR="00EF115C" w:rsidRPr="006506EF" w:rsidTr="00EF115C">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lastRenderedPageBreak/>
              <w:t>1.</w:t>
            </w:r>
            <w:r w:rsidRPr="006506EF">
              <w:rPr>
                <w:kern w:val="0"/>
                <w:sz w:val="24"/>
              </w:rPr>
              <w:t>本期已实现收益</w:t>
            </w:r>
          </w:p>
        </w:tc>
        <w:tc>
          <w:tcPr>
            <w:tcW w:w="4962" w:type="dxa"/>
            <w:vAlign w:val="bottom"/>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42,807,063.82</w:t>
            </w:r>
          </w:p>
        </w:tc>
      </w:tr>
      <w:tr w:rsidR="00EF115C" w:rsidRPr="006506EF" w:rsidTr="00EF115C">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2.</w:t>
            </w:r>
            <w:r w:rsidRPr="006506EF">
              <w:rPr>
                <w:kern w:val="0"/>
                <w:sz w:val="24"/>
              </w:rPr>
              <w:t>本期利润</w:t>
            </w:r>
          </w:p>
        </w:tc>
        <w:tc>
          <w:tcPr>
            <w:tcW w:w="4962" w:type="dxa"/>
            <w:vAlign w:val="bottom"/>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115,946,266.59</w:t>
            </w:r>
          </w:p>
        </w:tc>
      </w:tr>
      <w:tr w:rsidR="00EF115C" w:rsidRPr="006506EF" w:rsidTr="00EF115C">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w="4962" w:type="dxa"/>
            <w:vAlign w:val="bottom"/>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0.1482</w:t>
            </w:r>
          </w:p>
        </w:tc>
      </w:tr>
      <w:tr w:rsidR="00EF115C" w:rsidRPr="006506EF" w:rsidTr="00EF115C">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w="4962" w:type="dxa"/>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1,378,485,198.91</w:t>
            </w:r>
          </w:p>
        </w:tc>
      </w:tr>
      <w:tr w:rsidR="00EF115C" w:rsidRPr="006506EF" w:rsidTr="00EF115C">
        <w:trPr>
          <w:trHeight w:val="158"/>
        </w:trPr>
        <w:tc>
          <w:tcPr>
            <w:tcW w:w="3402" w:type="dxa"/>
          </w:tcPr>
          <w:p w:rsidR="00392044" w:rsidRPr="006506EF" w:rsidRDefault="00392044" w:rsidP="00C3442A">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w="4962" w:type="dxa"/>
          </w:tcPr>
          <w:p w:rsidR="00392044" w:rsidRPr="006506EF" w:rsidRDefault="00392044" w:rsidP="00C3442A">
            <w:pPr>
              <w:adjustRightInd w:val="0"/>
              <w:spacing w:before="29" w:line="360" w:lineRule="auto"/>
              <w:ind w:left="17"/>
              <w:jc w:val="right"/>
              <w:rPr>
                <w:color w:val="000000"/>
                <w:sz w:val="24"/>
              </w:rPr>
            </w:pPr>
            <w:r w:rsidRPr="006506EF">
              <w:rPr>
                <w:color w:val="000000"/>
                <w:sz w:val="24"/>
              </w:rPr>
              <w:t>1.935</w:t>
            </w:r>
          </w:p>
        </w:tc>
      </w:tr>
    </w:tbl>
    <w:p w:rsidR="00AA2E16" w:rsidRDefault="00EC3CD4">
      <w:pPr>
        <w:spacing w:line="360" w:lineRule="auto"/>
        <w:ind w:firstLineChars="200" w:firstLine="480"/>
        <w:rPr>
          <w:color w:val="000000"/>
          <w:sz w:val="24"/>
          <w:szCs w:val="24"/>
        </w:rPr>
      </w:pPr>
      <w:r>
        <w:rPr>
          <w:color w:val="000000"/>
          <w:sz w:val="24"/>
        </w:rPr>
        <w:t>注：</w:t>
      </w:r>
      <w:r>
        <w:rPr>
          <w:color w:val="000000"/>
          <w:sz w:val="24"/>
        </w:rPr>
        <w:t>1.</w:t>
      </w:r>
      <w:r>
        <w:rPr>
          <w:color w:val="000000"/>
          <w:sz w:val="24"/>
        </w:rPr>
        <w:t>所述基金业绩指标不包括持有人认购或交易基金的各项费用，计入费用后实际收益水平要低于所列数字。</w:t>
      </w:r>
    </w:p>
    <w:p w:rsidR="00750D48" w:rsidRPr="00232B03" w:rsidRDefault="00392044" w:rsidP="00232B03">
      <w:pPr>
        <w:spacing w:line="360" w:lineRule="auto"/>
        <w:ind w:firstLineChars="200" w:firstLine="480"/>
        <w:rPr>
          <w:color w:val="000000"/>
          <w:sz w:val="24"/>
          <w:szCs w:val="24"/>
        </w:rPr>
      </w:pPr>
      <w:r w:rsidRPr="006506EF">
        <w:rPr>
          <w:color w:val="000000"/>
          <w:sz w:val="24"/>
        </w:rPr>
        <w:t>2.</w:t>
      </w:r>
      <w:r w:rsidRPr="006506EF">
        <w:rPr>
          <w:color w:val="000000"/>
          <w:sz w:val="24"/>
        </w:rPr>
        <w:t>本期已实现收益指基金本期利息收入、投资收益、其他收入（不含公允价值变动收益）扣除相关费用后的余额，本期利润为本期已实现收益加上本期公允价值变动收益。</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R="00750D48" w:rsidRPr="00264E55" w:rsidRDefault="00750D48" w:rsidP="009E7C6A">
      <w:pPr>
        <w:autoSpaceDE w:val="0"/>
        <w:autoSpaceDN w:val="0"/>
        <w:adjustRightInd w:val="0"/>
        <w:spacing w:line="360" w:lineRule="auto"/>
        <w:jc w:val="left"/>
        <w:rPr>
          <w:rFonts w:ascii="宋体" w:cs="宋体"/>
          <w:b/>
          <w:bCs/>
          <w:color w:val="000000"/>
          <w:kern w:val="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hAnsi="宋体" w:cs="宋体" w:hint="eastAsia"/>
          <w:b/>
          <w:bCs/>
          <w:color w:val="000000"/>
          <w:kern w:val="0"/>
          <w:sz w:val="24"/>
          <w:szCs w:val="24"/>
        </w:rPr>
        <w:t>本报告期基金份额净值增长率及其与同期业绩比较基准收益率的比较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95"/>
        <w:gridCol w:w="1092"/>
        <w:gridCol w:w="1161"/>
        <w:gridCol w:w="1181"/>
        <w:gridCol w:w="1188"/>
        <w:gridCol w:w="1199"/>
        <w:gridCol w:w="1204"/>
      </w:tblGrid>
      <w:tr w:rsidR="00750D48" w:rsidRPr="00264E55" w:rsidTr="00B05049">
        <w:tc>
          <w:tcPr>
            <w:tcW w:w="1395"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p>
        </w:tc>
        <w:tc>
          <w:tcPr>
            <w:tcW w:w="1092"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hAnsi="宋体" w:cs="宋体" w:hint="eastAsia"/>
                <w:color w:val="000000"/>
                <w:kern w:val="0"/>
                <w:sz w:val="24"/>
                <w:szCs w:val="24"/>
              </w:rPr>
              <w:t>①</w:t>
            </w:r>
          </w:p>
        </w:tc>
        <w:tc>
          <w:tcPr>
            <w:tcW w:w="1161"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hAnsi="宋体" w:cs="宋体" w:hint="eastAsia"/>
                <w:color w:val="000000"/>
                <w:kern w:val="0"/>
                <w:sz w:val="24"/>
                <w:szCs w:val="24"/>
              </w:rPr>
              <w:t>②</w:t>
            </w:r>
          </w:p>
        </w:tc>
        <w:tc>
          <w:tcPr>
            <w:tcW w:w="1181"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hAnsi="宋体" w:cs="宋体" w:hint="eastAsia"/>
                <w:color w:val="000000"/>
                <w:kern w:val="0"/>
                <w:sz w:val="24"/>
                <w:szCs w:val="24"/>
              </w:rPr>
              <w:t>③</w:t>
            </w:r>
          </w:p>
        </w:tc>
        <w:tc>
          <w:tcPr>
            <w:tcW w:w="1188"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业绩比较基准收益率标准差</w:t>
            </w:r>
            <w:r w:rsidRPr="00232B03">
              <w:rPr>
                <w:rFonts w:ascii="宋体" w:hAnsi="宋体" w:cs="宋体" w:hint="eastAsia"/>
                <w:color w:val="000000"/>
                <w:kern w:val="0"/>
                <w:sz w:val="24"/>
                <w:szCs w:val="24"/>
              </w:rPr>
              <w:t>④</w:t>
            </w:r>
          </w:p>
        </w:tc>
        <w:tc>
          <w:tcPr>
            <w:tcW w:w="1199"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rFonts w:ascii="宋体" w:hAnsi="宋体" w:cs="宋体" w:hint="eastAsia"/>
                <w:color w:val="000000"/>
                <w:kern w:val="0"/>
                <w:sz w:val="24"/>
                <w:szCs w:val="24"/>
              </w:rPr>
              <w:t>①</w:t>
            </w:r>
            <w:r w:rsidRPr="00232B03">
              <w:rPr>
                <w:color w:val="000000"/>
                <w:kern w:val="0"/>
                <w:sz w:val="24"/>
                <w:szCs w:val="24"/>
              </w:rPr>
              <w:t>-</w:t>
            </w:r>
            <w:r w:rsidRPr="00232B03">
              <w:rPr>
                <w:rFonts w:ascii="宋体" w:hAnsi="宋体" w:cs="宋体" w:hint="eastAsia"/>
                <w:color w:val="000000"/>
                <w:kern w:val="0"/>
                <w:sz w:val="24"/>
                <w:szCs w:val="24"/>
              </w:rPr>
              <w:t>③</w:t>
            </w:r>
          </w:p>
        </w:tc>
        <w:tc>
          <w:tcPr>
            <w:tcW w:w="1204" w:type="dxa"/>
            <w:vAlign w:val="center"/>
          </w:tcPr>
          <w:p w:rsidR="00750D48" w:rsidRPr="00232B03" w:rsidRDefault="00750D48" w:rsidP="00B05049">
            <w:pPr>
              <w:autoSpaceDE w:val="0"/>
              <w:autoSpaceDN w:val="0"/>
              <w:adjustRightInd w:val="0"/>
              <w:spacing w:before="29" w:line="360" w:lineRule="auto"/>
              <w:ind w:left="17"/>
              <w:jc w:val="center"/>
              <w:rPr>
                <w:color w:val="000000"/>
                <w:kern w:val="0"/>
                <w:sz w:val="24"/>
                <w:szCs w:val="24"/>
              </w:rPr>
            </w:pPr>
            <w:r w:rsidRPr="00232B03">
              <w:rPr>
                <w:rFonts w:ascii="宋体" w:hAnsi="宋体" w:cs="宋体" w:hint="eastAsia"/>
                <w:color w:val="000000"/>
                <w:kern w:val="0"/>
                <w:sz w:val="24"/>
                <w:szCs w:val="24"/>
              </w:rPr>
              <w:t>②</w:t>
            </w:r>
            <w:r w:rsidRPr="00232B03">
              <w:rPr>
                <w:color w:val="000000"/>
                <w:kern w:val="0"/>
                <w:sz w:val="24"/>
                <w:szCs w:val="24"/>
              </w:rPr>
              <w:t>-</w:t>
            </w:r>
            <w:r w:rsidRPr="00232B03">
              <w:rPr>
                <w:rFonts w:ascii="宋体" w:hAnsi="宋体" w:cs="宋体" w:hint="eastAsia"/>
                <w:color w:val="000000"/>
                <w:kern w:val="0"/>
                <w:sz w:val="24"/>
                <w:szCs w:val="24"/>
              </w:rPr>
              <w:t>④</w:t>
            </w:r>
          </w:p>
        </w:tc>
      </w:tr>
      <w:tr w:rsidR="00AA2E16">
        <w:tc>
          <w:tcPr>
            <w:tcW w:w="1395" w:type="dxa"/>
            <w:vAlign w:val="center"/>
          </w:tcPr>
          <w:p w:rsidR="00AA2E16" w:rsidRDefault="00EC3CD4">
            <w:pPr>
              <w:jc w:val="left"/>
            </w:pPr>
            <w:r>
              <w:rPr>
                <w:color w:val="000000"/>
                <w:kern w:val="0"/>
                <w:sz w:val="24"/>
                <w:szCs w:val="24"/>
              </w:rPr>
              <w:t>过去三个月</w:t>
            </w:r>
          </w:p>
        </w:tc>
        <w:tc>
          <w:tcPr>
            <w:tcW w:w="1092" w:type="dxa"/>
            <w:vAlign w:val="center"/>
          </w:tcPr>
          <w:p w:rsidR="00AA2E16" w:rsidRDefault="00EC3CD4">
            <w:pPr>
              <w:jc w:val="center"/>
            </w:pPr>
            <w:r>
              <w:rPr>
                <w:color w:val="000000"/>
                <w:kern w:val="0"/>
                <w:sz w:val="24"/>
                <w:szCs w:val="24"/>
              </w:rPr>
              <w:t>8.52%</w:t>
            </w:r>
          </w:p>
        </w:tc>
        <w:tc>
          <w:tcPr>
            <w:tcW w:w="1161" w:type="dxa"/>
            <w:vAlign w:val="center"/>
          </w:tcPr>
          <w:p w:rsidR="00AA2E16" w:rsidRDefault="00EC3CD4">
            <w:pPr>
              <w:jc w:val="center"/>
            </w:pPr>
            <w:r>
              <w:rPr>
                <w:color w:val="000000"/>
                <w:kern w:val="0"/>
                <w:sz w:val="24"/>
                <w:szCs w:val="24"/>
              </w:rPr>
              <w:t>0.48%</w:t>
            </w:r>
          </w:p>
        </w:tc>
        <w:tc>
          <w:tcPr>
            <w:tcW w:w="1181" w:type="dxa"/>
            <w:vAlign w:val="center"/>
          </w:tcPr>
          <w:p w:rsidR="00AA2E16" w:rsidRDefault="00EC3CD4">
            <w:pPr>
              <w:jc w:val="center"/>
            </w:pPr>
            <w:r>
              <w:rPr>
                <w:color w:val="000000"/>
                <w:kern w:val="0"/>
                <w:sz w:val="24"/>
                <w:szCs w:val="24"/>
              </w:rPr>
              <w:t>2.98%</w:t>
            </w:r>
          </w:p>
        </w:tc>
        <w:tc>
          <w:tcPr>
            <w:tcW w:w="1188" w:type="dxa"/>
            <w:vAlign w:val="center"/>
          </w:tcPr>
          <w:p w:rsidR="00AA2E16" w:rsidRDefault="00EC3CD4">
            <w:pPr>
              <w:jc w:val="center"/>
            </w:pPr>
            <w:r>
              <w:rPr>
                <w:color w:val="000000"/>
                <w:kern w:val="0"/>
                <w:sz w:val="24"/>
                <w:szCs w:val="24"/>
              </w:rPr>
              <w:t>0.24%</w:t>
            </w:r>
          </w:p>
        </w:tc>
        <w:tc>
          <w:tcPr>
            <w:tcW w:w="1199" w:type="dxa"/>
            <w:vAlign w:val="center"/>
          </w:tcPr>
          <w:p w:rsidR="00AA2E16" w:rsidRDefault="00EC3CD4">
            <w:pPr>
              <w:jc w:val="center"/>
            </w:pPr>
            <w:r>
              <w:rPr>
                <w:color w:val="000000"/>
                <w:kern w:val="0"/>
                <w:sz w:val="24"/>
                <w:szCs w:val="24"/>
              </w:rPr>
              <w:t>5.54%</w:t>
            </w:r>
          </w:p>
        </w:tc>
        <w:tc>
          <w:tcPr>
            <w:tcW w:w="1204" w:type="dxa"/>
            <w:vAlign w:val="center"/>
          </w:tcPr>
          <w:p w:rsidR="00AA2E16" w:rsidRDefault="00EC3CD4">
            <w:pPr>
              <w:jc w:val="center"/>
            </w:pPr>
            <w:r>
              <w:rPr>
                <w:color w:val="000000"/>
                <w:kern w:val="0"/>
                <w:sz w:val="24"/>
                <w:szCs w:val="24"/>
              </w:rPr>
              <w:t>0.24%</w:t>
            </w:r>
          </w:p>
        </w:tc>
      </w:tr>
      <w:tr w:rsidR="00AA2E16">
        <w:tc>
          <w:tcPr>
            <w:tcW w:w="1395" w:type="dxa"/>
            <w:vAlign w:val="center"/>
          </w:tcPr>
          <w:p w:rsidR="00AA2E16" w:rsidRDefault="00EC3CD4">
            <w:pPr>
              <w:jc w:val="left"/>
            </w:pPr>
            <w:r>
              <w:rPr>
                <w:color w:val="000000"/>
                <w:kern w:val="0"/>
                <w:sz w:val="24"/>
                <w:szCs w:val="24"/>
              </w:rPr>
              <w:t>过去六个月</w:t>
            </w:r>
          </w:p>
        </w:tc>
        <w:tc>
          <w:tcPr>
            <w:tcW w:w="1092" w:type="dxa"/>
            <w:vAlign w:val="center"/>
          </w:tcPr>
          <w:p w:rsidR="00AA2E16" w:rsidRDefault="00EC3CD4">
            <w:pPr>
              <w:jc w:val="center"/>
            </w:pPr>
            <w:r>
              <w:rPr>
                <w:color w:val="000000"/>
                <w:kern w:val="0"/>
                <w:sz w:val="24"/>
                <w:szCs w:val="24"/>
              </w:rPr>
              <w:t>9.51%</w:t>
            </w:r>
          </w:p>
        </w:tc>
        <w:tc>
          <w:tcPr>
            <w:tcW w:w="1161" w:type="dxa"/>
            <w:vAlign w:val="center"/>
          </w:tcPr>
          <w:p w:rsidR="00AA2E16" w:rsidRDefault="00EC3CD4">
            <w:pPr>
              <w:jc w:val="center"/>
            </w:pPr>
            <w:r>
              <w:rPr>
                <w:color w:val="000000"/>
                <w:kern w:val="0"/>
                <w:sz w:val="24"/>
                <w:szCs w:val="24"/>
              </w:rPr>
              <w:t>0.80%</w:t>
            </w:r>
          </w:p>
        </w:tc>
        <w:tc>
          <w:tcPr>
            <w:tcW w:w="1181" w:type="dxa"/>
            <w:vAlign w:val="center"/>
          </w:tcPr>
          <w:p w:rsidR="00AA2E16" w:rsidRDefault="00EC3CD4">
            <w:pPr>
              <w:jc w:val="center"/>
            </w:pPr>
            <w:r>
              <w:rPr>
                <w:color w:val="000000"/>
                <w:kern w:val="0"/>
                <w:sz w:val="24"/>
                <w:szCs w:val="24"/>
              </w:rPr>
              <w:t>2.33%</w:t>
            </w:r>
          </w:p>
        </w:tc>
        <w:tc>
          <w:tcPr>
            <w:tcW w:w="1188" w:type="dxa"/>
            <w:vAlign w:val="center"/>
          </w:tcPr>
          <w:p w:rsidR="00AA2E16" w:rsidRDefault="00EC3CD4">
            <w:pPr>
              <w:jc w:val="center"/>
            </w:pPr>
            <w:r>
              <w:rPr>
                <w:color w:val="000000"/>
                <w:kern w:val="0"/>
                <w:sz w:val="24"/>
                <w:szCs w:val="24"/>
              </w:rPr>
              <w:t>0.36%</w:t>
            </w:r>
          </w:p>
        </w:tc>
        <w:tc>
          <w:tcPr>
            <w:tcW w:w="1199" w:type="dxa"/>
            <w:vAlign w:val="center"/>
          </w:tcPr>
          <w:p w:rsidR="00AA2E16" w:rsidRDefault="00EC3CD4">
            <w:pPr>
              <w:jc w:val="center"/>
            </w:pPr>
            <w:r>
              <w:rPr>
                <w:color w:val="000000"/>
                <w:kern w:val="0"/>
                <w:sz w:val="24"/>
                <w:szCs w:val="24"/>
              </w:rPr>
              <w:t>7.18%</w:t>
            </w:r>
          </w:p>
        </w:tc>
        <w:tc>
          <w:tcPr>
            <w:tcW w:w="1204" w:type="dxa"/>
            <w:vAlign w:val="center"/>
          </w:tcPr>
          <w:p w:rsidR="00AA2E16" w:rsidRDefault="00EC3CD4">
            <w:pPr>
              <w:jc w:val="center"/>
            </w:pPr>
            <w:r>
              <w:rPr>
                <w:color w:val="000000"/>
                <w:kern w:val="0"/>
                <w:sz w:val="24"/>
                <w:szCs w:val="24"/>
              </w:rPr>
              <w:t>0.44%</w:t>
            </w:r>
          </w:p>
        </w:tc>
      </w:tr>
      <w:tr w:rsidR="00AA2E16">
        <w:tc>
          <w:tcPr>
            <w:tcW w:w="1395" w:type="dxa"/>
            <w:vAlign w:val="center"/>
          </w:tcPr>
          <w:p w:rsidR="00AA2E16" w:rsidRDefault="00EC3CD4">
            <w:pPr>
              <w:jc w:val="left"/>
            </w:pPr>
            <w:r>
              <w:rPr>
                <w:color w:val="000000"/>
                <w:kern w:val="0"/>
                <w:sz w:val="24"/>
                <w:szCs w:val="24"/>
              </w:rPr>
              <w:t>过去一年</w:t>
            </w:r>
          </w:p>
        </w:tc>
        <w:tc>
          <w:tcPr>
            <w:tcW w:w="1092" w:type="dxa"/>
            <w:vAlign w:val="center"/>
          </w:tcPr>
          <w:p w:rsidR="00AA2E16" w:rsidRDefault="00EC3CD4">
            <w:pPr>
              <w:jc w:val="center"/>
            </w:pPr>
            <w:r>
              <w:rPr>
                <w:color w:val="000000"/>
                <w:kern w:val="0"/>
                <w:sz w:val="24"/>
                <w:szCs w:val="24"/>
              </w:rPr>
              <w:t>31.19%</w:t>
            </w:r>
          </w:p>
        </w:tc>
        <w:tc>
          <w:tcPr>
            <w:tcW w:w="1161" w:type="dxa"/>
            <w:vAlign w:val="center"/>
          </w:tcPr>
          <w:p w:rsidR="00AA2E16" w:rsidRDefault="00EC3CD4">
            <w:pPr>
              <w:jc w:val="center"/>
            </w:pPr>
            <w:r>
              <w:rPr>
                <w:color w:val="000000"/>
                <w:kern w:val="0"/>
                <w:sz w:val="24"/>
                <w:szCs w:val="24"/>
              </w:rPr>
              <w:t>0.67%</w:t>
            </w:r>
          </w:p>
        </w:tc>
        <w:tc>
          <w:tcPr>
            <w:tcW w:w="1181" w:type="dxa"/>
            <w:vAlign w:val="center"/>
          </w:tcPr>
          <w:p w:rsidR="00AA2E16" w:rsidRDefault="00EC3CD4">
            <w:pPr>
              <w:jc w:val="center"/>
            </w:pPr>
            <w:r>
              <w:rPr>
                <w:color w:val="000000"/>
                <w:kern w:val="0"/>
                <w:sz w:val="24"/>
                <w:szCs w:val="24"/>
              </w:rPr>
              <w:t>6.17%</w:t>
            </w:r>
          </w:p>
        </w:tc>
        <w:tc>
          <w:tcPr>
            <w:tcW w:w="1188" w:type="dxa"/>
            <w:vAlign w:val="center"/>
          </w:tcPr>
          <w:p w:rsidR="00AA2E16" w:rsidRDefault="00EC3CD4">
            <w:pPr>
              <w:jc w:val="center"/>
            </w:pPr>
            <w:r>
              <w:rPr>
                <w:color w:val="000000"/>
                <w:kern w:val="0"/>
                <w:sz w:val="24"/>
                <w:szCs w:val="24"/>
              </w:rPr>
              <w:t>0.29%</w:t>
            </w:r>
          </w:p>
        </w:tc>
        <w:tc>
          <w:tcPr>
            <w:tcW w:w="1199" w:type="dxa"/>
            <w:vAlign w:val="center"/>
          </w:tcPr>
          <w:p w:rsidR="00AA2E16" w:rsidRDefault="00EC3CD4">
            <w:pPr>
              <w:jc w:val="center"/>
            </w:pPr>
            <w:r>
              <w:rPr>
                <w:color w:val="000000"/>
                <w:kern w:val="0"/>
                <w:sz w:val="24"/>
                <w:szCs w:val="24"/>
              </w:rPr>
              <w:t>25.02%</w:t>
            </w:r>
          </w:p>
        </w:tc>
        <w:tc>
          <w:tcPr>
            <w:tcW w:w="1204" w:type="dxa"/>
            <w:vAlign w:val="center"/>
          </w:tcPr>
          <w:p w:rsidR="00AA2E16" w:rsidRDefault="00EC3CD4">
            <w:pPr>
              <w:jc w:val="center"/>
            </w:pPr>
            <w:r>
              <w:rPr>
                <w:color w:val="000000"/>
                <w:kern w:val="0"/>
                <w:sz w:val="24"/>
                <w:szCs w:val="24"/>
              </w:rPr>
              <w:t>0.38%</w:t>
            </w:r>
          </w:p>
        </w:tc>
      </w:tr>
      <w:tr w:rsidR="00AA2E16">
        <w:tc>
          <w:tcPr>
            <w:tcW w:w="1395" w:type="dxa"/>
            <w:vAlign w:val="center"/>
          </w:tcPr>
          <w:p w:rsidR="00AA2E16" w:rsidRDefault="00EC3CD4">
            <w:pPr>
              <w:jc w:val="left"/>
            </w:pPr>
            <w:r>
              <w:rPr>
                <w:color w:val="000000"/>
                <w:kern w:val="0"/>
                <w:sz w:val="24"/>
                <w:szCs w:val="24"/>
              </w:rPr>
              <w:t>过去三年</w:t>
            </w:r>
          </w:p>
        </w:tc>
        <w:tc>
          <w:tcPr>
            <w:tcW w:w="1092" w:type="dxa"/>
            <w:vAlign w:val="center"/>
          </w:tcPr>
          <w:p w:rsidR="00AA2E16" w:rsidRDefault="00EC3CD4">
            <w:pPr>
              <w:jc w:val="center"/>
            </w:pPr>
            <w:r>
              <w:rPr>
                <w:color w:val="000000"/>
                <w:kern w:val="0"/>
                <w:sz w:val="24"/>
                <w:szCs w:val="24"/>
              </w:rPr>
              <w:t>58.61%</w:t>
            </w:r>
          </w:p>
        </w:tc>
        <w:tc>
          <w:tcPr>
            <w:tcW w:w="1161" w:type="dxa"/>
            <w:vAlign w:val="center"/>
          </w:tcPr>
          <w:p w:rsidR="00AA2E16" w:rsidRDefault="00EC3CD4">
            <w:pPr>
              <w:jc w:val="center"/>
            </w:pPr>
            <w:r>
              <w:rPr>
                <w:color w:val="000000"/>
                <w:kern w:val="0"/>
                <w:sz w:val="24"/>
                <w:szCs w:val="24"/>
              </w:rPr>
              <w:t>0.71%</w:t>
            </w:r>
          </w:p>
        </w:tc>
        <w:tc>
          <w:tcPr>
            <w:tcW w:w="1181" w:type="dxa"/>
            <w:vAlign w:val="center"/>
          </w:tcPr>
          <w:p w:rsidR="00AA2E16" w:rsidRDefault="00EC3CD4">
            <w:pPr>
              <w:jc w:val="center"/>
            </w:pPr>
            <w:r>
              <w:rPr>
                <w:color w:val="000000"/>
                <w:kern w:val="0"/>
                <w:sz w:val="24"/>
                <w:szCs w:val="24"/>
              </w:rPr>
              <w:t>16.06%</w:t>
            </w:r>
          </w:p>
        </w:tc>
        <w:tc>
          <w:tcPr>
            <w:tcW w:w="1188" w:type="dxa"/>
            <w:vAlign w:val="center"/>
          </w:tcPr>
          <w:p w:rsidR="00AA2E16" w:rsidRDefault="00EC3CD4">
            <w:pPr>
              <w:jc w:val="center"/>
            </w:pPr>
            <w:r>
              <w:rPr>
                <w:color w:val="000000"/>
                <w:kern w:val="0"/>
                <w:sz w:val="24"/>
                <w:szCs w:val="24"/>
              </w:rPr>
              <w:t>0.30%</w:t>
            </w:r>
          </w:p>
        </w:tc>
        <w:tc>
          <w:tcPr>
            <w:tcW w:w="1199" w:type="dxa"/>
            <w:vAlign w:val="center"/>
          </w:tcPr>
          <w:p w:rsidR="00AA2E16" w:rsidRDefault="00EC3CD4">
            <w:pPr>
              <w:jc w:val="center"/>
            </w:pPr>
            <w:r>
              <w:rPr>
                <w:color w:val="000000"/>
                <w:kern w:val="0"/>
                <w:sz w:val="24"/>
                <w:szCs w:val="24"/>
              </w:rPr>
              <w:t>42.55%</w:t>
            </w:r>
          </w:p>
        </w:tc>
        <w:tc>
          <w:tcPr>
            <w:tcW w:w="1204" w:type="dxa"/>
            <w:vAlign w:val="center"/>
          </w:tcPr>
          <w:p w:rsidR="00AA2E16" w:rsidRDefault="00EC3CD4">
            <w:pPr>
              <w:jc w:val="center"/>
            </w:pPr>
            <w:r>
              <w:rPr>
                <w:color w:val="000000"/>
                <w:kern w:val="0"/>
                <w:sz w:val="24"/>
                <w:szCs w:val="24"/>
              </w:rPr>
              <w:t>0.41%</w:t>
            </w:r>
          </w:p>
        </w:tc>
      </w:tr>
      <w:tr w:rsidR="00AA2E16">
        <w:tc>
          <w:tcPr>
            <w:tcW w:w="1395" w:type="dxa"/>
            <w:vAlign w:val="center"/>
          </w:tcPr>
          <w:p w:rsidR="00AA2E16" w:rsidRDefault="00EC3CD4">
            <w:pPr>
              <w:jc w:val="left"/>
            </w:pPr>
            <w:r>
              <w:rPr>
                <w:color w:val="000000"/>
                <w:kern w:val="0"/>
                <w:sz w:val="24"/>
                <w:szCs w:val="24"/>
              </w:rPr>
              <w:t>过去五年</w:t>
            </w:r>
          </w:p>
        </w:tc>
        <w:tc>
          <w:tcPr>
            <w:tcW w:w="1092" w:type="dxa"/>
            <w:vAlign w:val="center"/>
          </w:tcPr>
          <w:p w:rsidR="00AA2E16" w:rsidRDefault="00EC3CD4">
            <w:pPr>
              <w:jc w:val="center"/>
            </w:pPr>
            <w:r>
              <w:rPr>
                <w:color w:val="000000"/>
                <w:kern w:val="0"/>
                <w:sz w:val="24"/>
                <w:szCs w:val="24"/>
              </w:rPr>
              <w:t>93.11%</w:t>
            </w:r>
          </w:p>
        </w:tc>
        <w:tc>
          <w:tcPr>
            <w:tcW w:w="1161" w:type="dxa"/>
            <w:vAlign w:val="center"/>
          </w:tcPr>
          <w:p w:rsidR="00AA2E16" w:rsidRDefault="00EC3CD4">
            <w:pPr>
              <w:jc w:val="center"/>
            </w:pPr>
            <w:r>
              <w:rPr>
                <w:color w:val="000000"/>
                <w:kern w:val="0"/>
                <w:sz w:val="24"/>
                <w:szCs w:val="24"/>
              </w:rPr>
              <w:t>0.56%</w:t>
            </w:r>
          </w:p>
        </w:tc>
        <w:tc>
          <w:tcPr>
            <w:tcW w:w="1181" w:type="dxa"/>
            <w:vAlign w:val="center"/>
          </w:tcPr>
          <w:p w:rsidR="00AA2E16" w:rsidRDefault="00EC3CD4">
            <w:pPr>
              <w:jc w:val="center"/>
            </w:pPr>
            <w:r>
              <w:rPr>
                <w:color w:val="000000"/>
                <w:kern w:val="0"/>
                <w:sz w:val="24"/>
                <w:szCs w:val="24"/>
              </w:rPr>
              <w:t>17.17%</w:t>
            </w:r>
          </w:p>
        </w:tc>
        <w:tc>
          <w:tcPr>
            <w:tcW w:w="1188" w:type="dxa"/>
            <w:vAlign w:val="center"/>
          </w:tcPr>
          <w:p w:rsidR="00AA2E16" w:rsidRDefault="00EC3CD4">
            <w:pPr>
              <w:jc w:val="center"/>
            </w:pPr>
            <w:r>
              <w:rPr>
                <w:color w:val="000000"/>
                <w:kern w:val="0"/>
                <w:sz w:val="24"/>
                <w:szCs w:val="24"/>
              </w:rPr>
              <w:t>0.36%</w:t>
            </w:r>
          </w:p>
        </w:tc>
        <w:tc>
          <w:tcPr>
            <w:tcW w:w="1199" w:type="dxa"/>
            <w:vAlign w:val="center"/>
          </w:tcPr>
          <w:p w:rsidR="00AA2E16" w:rsidRDefault="00EC3CD4">
            <w:pPr>
              <w:jc w:val="center"/>
            </w:pPr>
            <w:r>
              <w:rPr>
                <w:color w:val="000000"/>
                <w:kern w:val="0"/>
                <w:sz w:val="24"/>
                <w:szCs w:val="24"/>
              </w:rPr>
              <w:t>75.94%</w:t>
            </w:r>
          </w:p>
        </w:tc>
        <w:tc>
          <w:tcPr>
            <w:tcW w:w="1204" w:type="dxa"/>
            <w:vAlign w:val="center"/>
          </w:tcPr>
          <w:p w:rsidR="00AA2E16" w:rsidRDefault="00EC3CD4">
            <w:pPr>
              <w:jc w:val="center"/>
            </w:pPr>
            <w:r>
              <w:rPr>
                <w:color w:val="000000"/>
                <w:kern w:val="0"/>
                <w:sz w:val="24"/>
                <w:szCs w:val="24"/>
              </w:rPr>
              <w:t>0.20%</w:t>
            </w:r>
          </w:p>
        </w:tc>
      </w:tr>
      <w:tr w:rsidR="00AA2E16">
        <w:tc>
          <w:tcPr>
            <w:tcW w:w="1395" w:type="dxa"/>
            <w:vAlign w:val="center"/>
          </w:tcPr>
          <w:p w:rsidR="00AA2E16" w:rsidRDefault="00EC3CD4">
            <w:pPr>
              <w:jc w:val="left"/>
            </w:pPr>
            <w:r>
              <w:rPr>
                <w:color w:val="000000"/>
                <w:kern w:val="0"/>
                <w:sz w:val="24"/>
                <w:szCs w:val="24"/>
              </w:rPr>
              <w:t>自基金合同生效起至今</w:t>
            </w:r>
          </w:p>
        </w:tc>
        <w:tc>
          <w:tcPr>
            <w:tcW w:w="1092" w:type="dxa"/>
            <w:vAlign w:val="center"/>
          </w:tcPr>
          <w:p w:rsidR="00AA2E16" w:rsidRDefault="00EC3CD4">
            <w:pPr>
              <w:jc w:val="center"/>
            </w:pPr>
            <w:r>
              <w:rPr>
                <w:color w:val="000000"/>
                <w:kern w:val="0"/>
                <w:sz w:val="24"/>
                <w:szCs w:val="24"/>
              </w:rPr>
              <w:t>93.50%</w:t>
            </w:r>
          </w:p>
        </w:tc>
        <w:tc>
          <w:tcPr>
            <w:tcW w:w="1161" w:type="dxa"/>
            <w:vAlign w:val="center"/>
          </w:tcPr>
          <w:p w:rsidR="00AA2E16" w:rsidRDefault="00EC3CD4">
            <w:pPr>
              <w:jc w:val="center"/>
            </w:pPr>
            <w:r>
              <w:rPr>
                <w:color w:val="000000"/>
                <w:kern w:val="0"/>
                <w:sz w:val="24"/>
                <w:szCs w:val="24"/>
              </w:rPr>
              <w:t>0.56%</w:t>
            </w:r>
          </w:p>
        </w:tc>
        <w:tc>
          <w:tcPr>
            <w:tcW w:w="1181" w:type="dxa"/>
            <w:vAlign w:val="center"/>
          </w:tcPr>
          <w:p w:rsidR="00AA2E16" w:rsidRDefault="00EC3CD4">
            <w:pPr>
              <w:jc w:val="center"/>
            </w:pPr>
            <w:r>
              <w:rPr>
                <w:color w:val="000000"/>
                <w:kern w:val="0"/>
                <w:sz w:val="24"/>
                <w:szCs w:val="24"/>
              </w:rPr>
              <w:t>15.35%</w:t>
            </w:r>
          </w:p>
        </w:tc>
        <w:tc>
          <w:tcPr>
            <w:tcW w:w="1188" w:type="dxa"/>
            <w:vAlign w:val="center"/>
          </w:tcPr>
          <w:p w:rsidR="00AA2E16" w:rsidRDefault="00EC3CD4">
            <w:pPr>
              <w:jc w:val="center"/>
            </w:pPr>
            <w:r>
              <w:rPr>
                <w:color w:val="000000"/>
                <w:kern w:val="0"/>
                <w:sz w:val="24"/>
                <w:szCs w:val="24"/>
              </w:rPr>
              <w:t>0.37%</w:t>
            </w:r>
          </w:p>
        </w:tc>
        <w:tc>
          <w:tcPr>
            <w:tcW w:w="1199" w:type="dxa"/>
            <w:vAlign w:val="center"/>
          </w:tcPr>
          <w:p w:rsidR="00AA2E16" w:rsidRDefault="00EC3CD4">
            <w:pPr>
              <w:jc w:val="center"/>
            </w:pPr>
            <w:r>
              <w:rPr>
                <w:color w:val="000000"/>
                <w:kern w:val="0"/>
                <w:sz w:val="24"/>
                <w:szCs w:val="24"/>
              </w:rPr>
              <w:t>78.15%</w:t>
            </w:r>
          </w:p>
        </w:tc>
        <w:tc>
          <w:tcPr>
            <w:tcW w:w="1204" w:type="dxa"/>
            <w:vAlign w:val="center"/>
          </w:tcPr>
          <w:p w:rsidR="00AA2E16" w:rsidRDefault="00EC3CD4">
            <w:pPr>
              <w:jc w:val="center"/>
            </w:pPr>
            <w:r>
              <w:rPr>
                <w:color w:val="000000"/>
                <w:kern w:val="0"/>
                <w:sz w:val="24"/>
                <w:szCs w:val="24"/>
              </w:rPr>
              <w:t>0.19%</w:t>
            </w:r>
          </w:p>
        </w:tc>
      </w:tr>
    </w:tbl>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val="clear" w:color="auto" w:fill="FFFFFF"/>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R="00750D48" w:rsidRPr="0074694E" w:rsidRDefault="00750D48" w:rsidP="009E7C6A">
      <w:pPr>
        <w:spacing w:line="360" w:lineRule="auto"/>
        <w:jc w:val="center"/>
        <w:rPr>
          <w:color w:val="000000"/>
          <w:sz w:val="24"/>
          <w:szCs w:val="24"/>
        </w:rPr>
      </w:pPr>
      <w:r w:rsidRPr="0074694E">
        <w:rPr>
          <w:color w:val="000000"/>
          <w:sz w:val="24"/>
          <w:szCs w:val="24"/>
        </w:rPr>
        <w:t>易方达安心回馈混合型证券投资基金</w:t>
      </w:r>
    </w:p>
    <w:p w:rsidR="00750D48" w:rsidRPr="0074694E" w:rsidRDefault="00750D48" w:rsidP="009E7C6A">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R="00750D48" w:rsidRPr="0074694E" w:rsidRDefault="005F7917" w:rsidP="009E7C6A">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lastRenderedPageBreak/>
        <w:t>（</w:t>
      </w:r>
      <w:r w:rsidRPr="0074694E">
        <w:rPr>
          <w:rFonts w:ascii="Times New Roman" w:hAnsi="Times New Roman"/>
          <w:sz w:val="24"/>
          <w:szCs w:val="24"/>
        </w:rPr>
        <w:t>2015</w:t>
      </w:r>
      <w:r w:rsidRPr="0074694E">
        <w:rPr>
          <w:rFonts w:ascii="Times New Roman" w:hAnsi="Times New Roman"/>
          <w:sz w:val="24"/>
          <w:szCs w:val="24"/>
        </w:rPr>
        <w:t>年</w:t>
      </w:r>
      <w:r w:rsidRPr="0074694E">
        <w:rPr>
          <w:rFonts w:ascii="Times New Roman" w:hAnsi="Times New Roman"/>
          <w:sz w:val="24"/>
          <w:szCs w:val="24"/>
        </w:rPr>
        <w:t>5</w:t>
      </w:r>
      <w:r w:rsidRPr="0074694E">
        <w:rPr>
          <w:rFonts w:ascii="Times New Roman" w:hAnsi="Times New Roman"/>
          <w:sz w:val="24"/>
          <w:szCs w:val="24"/>
        </w:rPr>
        <w:t>月</w:t>
      </w:r>
      <w:r w:rsidRPr="0074694E">
        <w:rPr>
          <w:rFonts w:ascii="Times New Roman" w:hAnsi="Times New Roman"/>
          <w:sz w:val="24"/>
          <w:szCs w:val="24"/>
        </w:rPr>
        <w:t>29</w:t>
      </w:r>
      <w:r w:rsidRPr="0074694E">
        <w:rPr>
          <w:rFonts w:ascii="Times New Roman" w:hAnsi="Times New Roman"/>
          <w:sz w:val="24"/>
          <w:szCs w:val="24"/>
        </w:rPr>
        <w:t>日至</w:t>
      </w:r>
      <w:r w:rsidRPr="0074694E">
        <w:rPr>
          <w:rFonts w:ascii="Times New Roman" w:hAnsi="Times New Roman"/>
          <w:sz w:val="24"/>
          <w:szCs w:val="24"/>
        </w:rPr>
        <w:t>2020</w:t>
      </w:r>
      <w:r w:rsidRPr="0074694E">
        <w:rPr>
          <w:rFonts w:ascii="Times New Roman" w:hAnsi="Times New Roman"/>
          <w:sz w:val="24"/>
          <w:szCs w:val="24"/>
        </w:rPr>
        <w:t>年</w:t>
      </w:r>
      <w:r w:rsidRPr="0074694E">
        <w:rPr>
          <w:rFonts w:ascii="Times New Roman" w:hAnsi="Times New Roman"/>
          <w:sz w:val="24"/>
          <w:szCs w:val="24"/>
        </w:rPr>
        <w:t>6</w:t>
      </w:r>
      <w:r w:rsidRPr="0074694E">
        <w:rPr>
          <w:rFonts w:ascii="Times New Roman" w:hAnsi="Times New Roman"/>
          <w:sz w:val="24"/>
          <w:szCs w:val="24"/>
        </w:rPr>
        <w:t>月</w:t>
      </w:r>
      <w:r w:rsidRPr="0074694E">
        <w:rPr>
          <w:rFonts w:ascii="Times New Roman" w:hAnsi="Times New Roman"/>
          <w:sz w:val="24"/>
          <w:szCs w:val="24"/>
        </w:rPr>
        <w:t>30</w:t>
      </w:r>
      <w:r w:rsidRPr="0074694E">
        <w:rPr>
          <w:rFonts w:ascii="Times New Roman" w:hAnsi="Times New Roman"/>
          <w:sz w:val="24"/>
          <w:szCs w:val="24"/>
        </w:rPr>
        <w:t>日）</w:t>
      </w:r>
    </w:p>
    <w:p w:rsidR="00750D48" w:rsidRPr="00264E55" w:rsidRDefault="004062AA" w:rsidP="004061AC">
      <w:pPr>
        <w:pStyle w:val="a5"/>
        <w:snapToGrid w:val="0"/>
        <w:spacing w:before="120" w:line="360" w:lineRule="auto"/>
        <w:jc w:val="center"/>
        <w:rPr>
          <w:rFonts w:hAnsi="宋体"/>
          <w:color w:val="000000"/>
          <w:sz w:val="24"/>
          <w:szCs w:val="24"/>
        </w:rPr>
      </w:pPr>
      <w:r>
        <w:rPr>
          <w:rFonts w:hAnsi="宋体"/>
          <w:noProof/>
          <w:color w:val="00000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12.6pt;height:241.05pt;visibility:visible">
            <v:imagedata r:id="rId10" o:title=""/>
          </v:shape>
        </w:pic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注：自基金合同生效至报告期末，基金份额净值增长率为</w:t>
      </w:r>
      <w:r w:rsidRPr="006C56AA">
        <w:rPr>
          <w:color w:val="000000"/>
          <w:sz w:val="24"/>
          <w:szCs w:val="24"/>
        </w:rPr>
        <w:t>93.50%</w:t>
      </w:r>
      <w:r w:rsidRPr="006C56AA">
        <w:rPr>
          <w:color w:val="000000"/>
          <w:sz w:val="24"/>
          <w:szCs w:val="24"/>
        </w:rPr>
        <w:t>，同期业绩比较基准收益率为</w:t>
      </w:r>
      <w:r w:rsidRPr="006C56AA">
        <w:rPr>
          <w:color w:val="000000"/>
          <w:sz w:val="24"/>
          <w:szCs w:val="24"/>
        </w:rPr>
        <w:t>15.35%</w:t>
      </w:r>
      <w:r w:rsidRPr="006C56AA">
        <w:rPr>
          <w:color w:val="000000"/>
          <w:sz w:val="24"/>
          <w:szCs w:val="24"/>
        </w:rPr>
        <w:t>。</w:t>
      </w:r>
    </w:p>
    <w:p w:rsidR="00750D48" w:rsidRPr="00232B03" w:rsidRDefault="00750D48" w:rsidP="00693843">
      <w:pPr>
        <w:tabs>
          <w:tab w:val="left" w:pos="1800"/>
        </w:tabs>
        <w:spacing w:line="288" w:lineRule="auto"/>
        <w:rPr>
          <w:color w:val="000000"/>
          <w:sz w:val="24"/>
          <w:szCs w:val="24"/>
        </w:rPr>
      </w:pP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R="004D28A3" w:rsidRPr="0078105B" w:rsidRDefault="00750D48" w:rsidP="004D28A3">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851"/>
        <w:gridCol w:w="850"/>
        <w:gridCol w:w="851"/>
        <w:gridCol w:w="2977"/>
      </w:tblGrid>
      <w:tr w:rsidR="004D28A3" w:rsidRPr="0078105B" w:rsidTr="003328D9">
        <w:trPr>
          <w:cantSplit/>
        </w:trPr>
        <w:tc>
          <w:tcPr>
            <w:tcW w:w="567"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w="2835"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w="1701" w:type="dxa"/>
            <w:gridSpan w:val="2"/>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w="851"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w="2977" w:type="dxa"/>
            <w:vMerge w:val="restart"/>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w="567" w:type="dxa"/>
            <w:vMerge/>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p>
        </w:tc>
        <w:tc>
          <w:tcPr>
            <w:tcW w:w="2835" w:type="dxa"/>
            <w:vMerge/>
          </w:tcPr>
          <w:p w:rsidR="004D28A3" w:rsidRPr="00FA472B" w:rsidRDefault="004D28A3" w:rsidP="003328D9">
            <w:pPr>
              <w:autoSpaceDE w:val="0"/>
              <w:autoSpaceDN w:val="0"/>
              <w:adjustRightInd w:val="0"/>
              <w:spacing w:before="29" w:line="288" w:lineRule="auto"/>
              <w:ind w:left="15"/>
              <w:jc w:val="center"/>
              <w:rPr>
                <w:color w:val="000000"/>
                <w:kern w:val="0"/>
                <w:sz w:val="24"/>
              </w:rPr>
            </w:pPr>
          </w:p>
        </w:tc>
        <w:tc>
          <w:tcPr>
            <w:tcW w:w="851" w:type="dxa"/>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w="850" w:type="dxa"/>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w="851" w:type="dxa"/>
            <w:vMerge/>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p>
        </w:tc>
        <w:tc>
          <w:tcPr>
            <w:tcW w:w="2977" w:type="dxa"/>
            <w:vMerge/>
            <w:vAlign w:val="center"/>
          </w:tcPr>
          <w:p w:rsidR="004D28A3" w:rsidRPr="00FA472B" w:rsidRDefault="004D28A3" w:rsidP="003328D9">
            <w:pPr>
              <w:autoSpaceDE w:val="0"/>
              <w:autoSpaceDN w:val="0"/>
              <w:adjustRightInd w:val="0"/>
              <w:spacing w:before="29" w:line="288" w:lineRule="auto"/>
              <w:ind w:left="15"/>
              <w:jc w:val="center"/>
              <w:rPr>
                <w:color w:val="000000"/>
                <w:kern w:val="0"/>
                <w:sz w:val="24"/>
              </w:rPr>
            </w:pPr>
          </w:p>
        </w:tc>
      </w:tr>
      <w:tr w:rsidR="00AA2E16">
        <w:tc>
          <w:tcPr>
            <w:tcW w:w="567" w:type="dxa"/>
            <w:vAlign w:val="center"/>
          </w:tcPr>
          <w:p w:rsidR="00AA2E16" w:rsidRDefault="00EC3CD4">
            <w:pPr>
              <w:jc w:val="center"/>
            </w:pPr>
            <w:r>
              <w:rPr>
                <w:color w:val="000000"/>
                <w:sz w:val="24"/>
              </w:rPr>
              <w:t>张清华</w:t>
            </w:r>
          </w:p>
        </w:tc>
        <w:tc>
          <w:tcPr>
            <w:tcW w:w="2835" w:type="dxa"/>
            <w:vAlign w:val="center"/>
          </w:tcPr>
          <w:p w:rsidR="00AA2E16" w:rsidRDefault="00EC3CD4">
            <w:pPr>
              <w:jc w:val="left"/>
            </w:pPr>
            <w:r>
              <w:rPr>
                <w:color w:val="000000"/>
                <w:sz w:val="24"/>
              </w:rPr>
              <w:t>本基金的基金经理、易方达安心回报债券型证券投资基金的基金经理、易方达裕丰回报债券型证券投资基金的基金经理、易方达裕祥回报债券型证券投资基金的基金经理、易方达丰和债券型证券投资基金的基金经理、易方达安盈回报混合型证券投资基金的基金经理、易方达新收益灵活配</w:t>
            </w:r>
            <w:r>
              <w:rPr>
                <w:color w:val="000000"/>
                <w:sz w:val="24"/>
              </w:rPr>
              <w:lastRenderedPageBreak/>
              <w:t>置混合型证券投资基金的基金经理、易方达丰华债券型证券投资基金的基金经理、混合资产投资部总经理</w:t>
            </w:r>
          </w:p>
        </w:tc>
        <w:tc>
          <w:tcPr>
            <w:tcW w:w="851" w:type="dxa"/>
            <w:vAlign w:val="center"/>
          </w:tcPr>
          <w:p w:rsidR="00AA2E16" w:rsidRDefault="00EC3CD4">
            <w:pPr>
              <w:jc w:val="center"/>
            </w:pPr>
            <w:r>
              <w:rPr>
                <w:color w:val="000000"/>
                <w:sz w:val="24"/>
              </w:rPr>
              <w:lastRenderedPageBreak/>
              <w:t>2015-05-29</w:t>
            </w:r>
          </w:p>
        </w:tc>
        <w:tc>
          <w:tcPr>
            <w:tcW w:w="850" w:type="dxa"/>
            <w:vAlign w:val="center"/>
          </w:tcPr>
          <w:p w:rsidR="00AA2E16" w:rsidRDefault="00EC3CD4">
            <w:pPr>
              <w:jc w:val="center"/>
            </w:pPr>
            <w:r>
              <w:rPr>
                <w:color w:val="000000"/>
                <w:sz w:val="24"/>
              </w:rPr>
              <w:t>-</w:t>
            </w:r>
          </w:p>
        </w:tc>
        <w:tc>
          <w:tcPr>
            <w:tcW w:w="851" w:type="dxa"/>
            <w:vAlign w:val="center"/>
          </w:tcPr>
          <w:p w:rsidR="00AA2E16" w:rsidRDefault="00EC3CD4">
            <w:pPr>
              <w:jc w:val="center"/>
            </w:pPr>
            <w:r>
              <w:rPr>
                <w:color w:val="000000"/>
                <w:sz w:val="24"/>
              </w:rPr>
              <w:t>13</w:t>
            </w:r>
            <w:r>
              <w:rPr>
                <w:color w:val="000000"/>
                <w:sz w:val="24"/>
              </w:rPr>
              <w:t>年</w:t>
            </w:r>
          </w:p>
        </w:tc>
        <w:tc>
          <w:tcPr>
            <w:tcW w:w="2977" w:type="dxa"/>
            <w:vAlign w:val="center"/>
          </w:tcPr>
          <w:p w:rsidR="00AA2E16" w:rsidRDefault="00EC3CD4">
            <w:r>
              <w:rPr>
                <w:color w:val="000000"/>
                <w:sz w:val="24"/>
              </w:rPr>
              <w:t>硕士研究生，具有基金从业资格。曾任晨星资讯（深圳）有限公司数量分析师，中信证券股份有限公司研究员，易方达基金管理有限公司投资经理、固定收益基金投资部总经理、易方达裕如灵活配置混合型证券投资基金基金经理、易方达新收益灵活配置混合型证券投资基金基金经理、易方达瑞选灵活配置混合型证券投资</w:t>
            </w:r>
            <w:r>
              <w:rPr>
                <w:color w:val="000000"/>
                <w:sz w:val="24"/>
              </w:rPr>
              <w:lastRenderedPageBreak/>
              <w:t>基金基金经理、易方达新利灵活配置混合型证券投资基金基金经理、易方达新鑫灵活配置混合型证券投资基金基金经理、易方达新享灵活配置混合型证券投资基金基金经理、易方达瑞景灵活配置混合型证券投资基金基金经理、易方达瑞通灵活配置混合型证券投资基金基金经理、易方达瑞程灵活配置混合型证券投资基金基金经理、易方达瑞弘灵活配置混合型证券投资基金基金经理、易方达裕鑫债券型证券投资基金基金经理、易方达瑞信灵活配置混合型证券投资基金基金经理、易方达瑞和灵活配置混合型证券投资基金基金经理、易方达鑫转增利混合型证券投资基金基金经理、易方达鑫转添利混合型证券投资基金基金经理、易方达鑫转招利混合型证券投资基金基金经理。</w:t>
            </w:r>
          </w:p>
        </w:tc>
      </w:tr>
      <w:tr w:rsidR="00AA2E16">
        <w:tc>
          <w:tcPr>
            <w:tcW w:w="567" w:type="dxa"/>
            <w:vAlign w:val="center"/>
          </w:tcPr>
          <w:p w:rsidR="00AA2E16" w:rsidRDefault="00EC3CD4">
            <w:pPr>
              <w:jc w:val="center"/>
            </w:pPr>
            <w:r>
              <w:rPr>
                <w:color w:val="000000"/>
                <w:sz w:val="24"/>
              </w:rPr>
              <w:lastRenderedPageBreak/>
              <w:t>林森</w:t>
            </w:r>
          </w:p>
        </w:tc>
        <w:tc>
          <w:tcPr>
            <w:tcW w:w="2835" w:type="dxa"/>
            <w:vAlign w:val="center"/>
          </w:tcPr>
          <w:p w:rsidR="00AA2E16" w:rsidRDefault="00EC3CD4">
            <w:pPr>
              <w:jc w:val="left"/>
            </w:pPr>
            <w:r>
              <w:rPr>
                <w:color w:val="000000"/>
                <w:sz w:val="24"/>
              </w:rPr>
              <w:t>本基金的基金经理、易方达瑞程灵活配置混合型证券投资基金的基金经理、易方达瑞弘灵活配置混合型证券投资基金的基金经理、易方达瑞通灵活配置混合型证券投资基金的基金经理、易方达裕祥回报债券型证券投资基金的基金经理、易方达裕景添利</w:t>
            </w:r>
            <w:r>
              <w:rPr>
                <w:color w:val="000000"/>
                <w:sz w:val="24"/>
              </w:rPr>
              <w:t>6</w:t>
            </w:r>
            <w:r>
              <w:rPr>
                <w:color w:val="000000"/>
                <w:sz w:val="24"/>
              </w:rPr>
              <w:t>个月定期开放债券型证券投资基金的基金经理、易方达高等级信用债债券型证券投资基金的基金经理、固定收益投资部总经理助理、投资经理</w:t>
            </w:r>
          </w:p>
        </w:tc>
        <w:tc>
          <w:tcPr>
            <w:tcW w:w="851" w:type="dxa"/>
            <w:vAlign w:val="center"/>
          </w:tcPr>
          <w:p w:rsidR="00AA2E16" w:rsidRDefault="00EC3CD4">
            <w:pPr>
              <w:jc w:val="center"/>
            </w:pPr>
            <w:r>
              <w:rPr>
                <w:color w:val="000000"/>
                <w:sz w:val="24"/>
              </w:rPr>
              <w:t>2015-11-28</w:t>
            </w:r>
          </w:p>
        </w:tc>
        <w:tc>
          <w:tcPr>
            <w:tcW w:w="850" w:type="dxa"/>
            <w:vAlign w:val="center"/>
          </w:tcPr>
          <w:p w:rsidR="00AA2E16" w:rsidRDefault="00EC3CD4">
            <w:pPr>
              <w:jc w:val="center"/>
            </w:pPr>
            <w:r>
              <w:rPr>
                <w:color w:val="000000"/>
                <w:sz w:val="24"/>
              </w:rPr>
              <w:t>-</w:t>
            </w:r>
          </w:p>
        </w:tc>
        <w:tc>
          <w:tcPr>
            <w:tcW w:w="851" w:type="dxa"/>
            <w:vAlign w:val="center"/>
          </w:tcPr>
          <w:p w:rsidR="00AA2E16" w:rsidRDefault="00EC3CD4">
            <w:pPr>
              <w:jc w:val="center"/>
            </w:pPr>
            <w:r>
              <w:rPr>
                <w:color w:val="000000"/>
                <w:sz w:val="24"/>
              </w:rPr>
              <w:t>10</w:t>
            </w:r>
            <w:r>
              <w:rPr>
                <w:color w:val="000000"/>
                <w:sz w:val="24"/>
              </w:rPr>
              <w:t>年</w:t>
            </w:r>
          </w:p>
        </w:tc>
        <w:tc>
          <w:tcPr>
            <w:tcW w:w="2977" w:type="dxa"/>
            <w:vAlign w:val="center"/>
          </w:tcPr>
          <w:p w:rsidR="00AA2E16" w:rsidRDefault="00EC3CD4">
            <w:r>
              <w:rPr>
                <w:color w:val="000000"/>
                <w:sz w:val="24"/>
              </w:rPr>
              <w:t>硕士研究生，具有基金从业资格。曾任道富银行风险管理部风险管理经理、外汇利率交易部利率交易员，太平洋资产管理公司基金管理部基金经理，易方达新收益灵活配置混合型证券投资基金基金经理、易方达新益灵活配置混合型证券投资基金基金经理、易方达瑞选灵活配置混合型证券投资基金基金经理、易方达安心回馈混合型证券投资基金基金经理助理、易方达瑞通灵活配置混合型证券投资基金基金经理助理、易方达裕祥回报债券型证券投资基金基金经理助理、易方达</w:t>
            </w:r>
            <w:r>
              <w:rPr>
                <w:color w:val="000000"/>
                <w:sz w:val="24"/>
              </w:rPr>
              <w:lastRenderedPageBreak/>
              <w:t>新收益灵活配置混合型证券投资基金基金经理助理、易方达瑞选灵活配置混合型证券投资基金基金经理助理、易方达裕景添利</w:t>
            </w:r>
            <w:r>
              <w:rPr>
                <w:color w:val="000000"/>
                <w:sz w:val="24"/>
              </w:rPr>
              <w:t>6</w:t>
            </w:r>
            <w:r>
              <w:rPr>
                <w:color w:val="000000"/>
                <w:sz w:val="24"/>
              </w:rPr>
              <w:t>个月定期开放债券型证券投资基金基金经理助理、易方达高等级信用债债券型证券投资基金基金经理助理。</w:t>
            </w:r>
          </w:p>
        </w:tc>
      </w:tr>
    </w:tbl>
    <w:p w:rsidR="00EF115C" w:rsidRPr="004062AA" w:rsidRDefault="004062AA" w:rsidP="00EF115C">
      <w:pPr>
        <w:spacing w:line="360" w:lineRule="auto"/>
        <w:rPr>
          <w:color w:val="000000"/>
          <w:sz w:val="24"/>
          <w:szCs w:val="24"/>
        </w:rPr>
      </w:pPr>
      <w:r w:rsidRPr="004062AA">
        <w:rPr>
          <w:noProof/>
          <w:color w:val="000000"/>
          <w:sz w:val="24"/>
          <w:szCs w:val="24"/>
        </w:rPr>
        <w:lastRenderedPageBreak/>
        <w:drawing>
          <wp:inline distT="0" distB="0" distL="0" distR="0">
            <wp:extent cx="5278120" cy="3536178"/>
            <wp:effectExtent l="0" t="0" r="0" b="0"/>
            <wp:docPr id="2" name="图片 2" descr="d:\Users\wenxueqian\Desktop\20200716-截图更新\林森.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wenxueqian\Desktop\20200716-截图更新\林森.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8120" cy="3536178"/>
                    </a:xfrm>
                    <a:prstGeom prst="rect">
                      <a:avLst/>
                    </a:prstGeom>
                    <a:noFill/>
                    <a:ln>
                      <a:noFill/>
                    </a:ln>
                  </pic:spPr>
                </pic:pic>
              </a:graphicData>
            </a:graphic>
          </wp:inline>
        </w:drawing>
      </w:r>
      <w:bookmarkStart w:id="0" w:name="_GoBack"/>
      <w:bookmarkEnd w:id="0"/>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R="00750D48" w:rsidRPr="00264E55" w:rsidRDefault="00750D48" w:rsidP="009E7C6A">
      <w:pPr>
        <w:spacing w:line="360" w:lineRule="auto"/>
        <w:rPr>
          <w:rFonts w:ascii="宋体"/>
          <w:color w:val="00000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w:t>
      </w:r>
      <w:r w:rsidRPr="006C56AA">
        <w:rPr>
          <w:color w:val="000000"/>
          <w:sz w:val="24"/>
          <w:szCs w:val="24"/>
        </w:rPr>
        <w:lastRenderedPageBreak/>
        <w:t>制度等，并重视交易执行环节的公平交易措施，以</w:t>
      </w:r>
      <w:r w:rsidRPr="006C56AA">
        <w:rPr>
          <w:color w:val="000000"/>
          <w:sz w:val="24"/>
          <w:szCs w:val="24"/>
        </w:rPr>
        <w:t>“</w:t>
      </w:r>
      <w:r w:rsidRPr="006C56AA">
        <w:rPr>
          <w:color w:val="000000"/>
          <w:sz w:val="24"/>
          <w:szCs w:val="24"/>
        </w:rPr>
        <w:t>时间优先、价格优先</w:t>
      </w:r>
      <w:r w:rsidRPr="006C56AA">
        <w:rPr>
          <w:color w:val="000000"/>
          <w:sz w:val="24"/>
          <w:szCs w:val="24"/>
        </w:rPr>
        <w:t>”</w:t>
      </w:r>
      <w:r w:rsidRPr="006C56AA">
        <w:rPr>
          <w:color w:val="000000"/>
          <w:sz w:val="24"/>
          <w:szCs w:val="24"/>
        </w:rPr>
        <w:t>作为执行指令的基本原则，通过投资交易系统中的公平交易模块，以尽可能确保公平对待各投资组合。本报告期内，公平交易制度总体执行情况良好。</w:t>
      </w:r>
    </w:p>
    <w:p w:rsidR="00750D48" w:rsidRPr="00264E55" w:rsidRDefault="00750D48" w:rsidP="009E7C6A">
      <w:pPr>
        <w:spacing w:line="360" w:lineRule="auto"/>
        <w:rPr>
          <w:rFonts w:ascii="宋体"/>
          <w:color w:val="000000"/>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rsidR="00AA2E16" w:rsidRDefault="00EC3CD4">
      <w:pPr>
        <w:spacing w:line="360" w:lineRule="auto"/>
        <w:ind w:firstLineChars="200" w:firstLine="48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w:t>
      </w:r>
      <w:r>
        <w:rPr>
          <w:color w:val="000000"/>
          <w:sz w:val="24"/>
          <w:szCs w:val="24"/>
        </w:rPr>
        <w:t>5%</w:t>
      </w:r>
      <w:r>
        <w:rPr>
          <w:color w:val="000000"/>
          <w:sz w:val="24"/>
          <w:szCs w:val="24"/>
        </w:rPr>
        <w:t>的交易共</w:t>
      </w:r>
      <w:r>
        <w:rPr>
          <w:color w:val="000000"/>
          <w:sz w:val="24"/>
          <w:szCs w:val="24"/>
        </w:rPr>
        <w:t>42</w:t>
      </w:r>
      <w:r>
        <w:rPr>
          <w:color w:val="000000"/>
          <w:sz w:val="24"/>
          <w:szCs w:val="24"/>
        </w:rPr>
        <w:t>次，均为指数量化投资组合因投资策略需要和其他组合发生的反向交易。</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本报告期内，未发现本基金有可能导致不公平交易和利益输送的异常交易。</w:t>
      </w:r>
    </w:p>
    <w:p w:rsidR="00750D48" w:rsidRPr="00264E55" w:rsidRDefault="00750D48" w:rsidP="009E7C6A">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R="00750D48" w:rsidRPr="00264E55" w:rsidRDefault="00750D48" w:rsidP="009E7C6A">
      <w:pPr>
        <w:spacing w:line="360" w:lineRule="auto"/>
        <w:rPr>
          <w:rFonts w:asci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s="宋体"/>
            <w:sz w:val="24"/>
            <w:szCs w:val="24"/>
          </w:rPr>
          <w:t>4.4.1</w:t>
        </w:r>
      </w:smartTag>
      <w:r w:rsidRPr="00264E55">
        <w:rPr>
          <w:rFonts w:ascii="宋体" w:hAnsi="宋体" w:cs="宋体" w:hint="eastAsia"/>
          <w:sz w:val="24"/>
          <w:szCs w:val="24"/>
        </w:rPr>
        <w:t>报告期内基金投资策略和运作分析</w:t>
      </w:r>
    </w:p>
    <w:p w:rsidR="00AA2E16" w:rsidRDefault="00EC3CD4">
      <w:pPr>
        <w:spacing w:line="360" w:lineRule="auto"/>
        <w:ind w:firstLineChars="200" w:firstLine="480"/>
        <w:rPr>
          <w:color w:val="000000"/>
          <w:sz w:val="24"/>
          <w:szCs w:val="24"/>
        </w:rPr>
      </w:pPr>
      <w:r>
        <w:rPr>
          <w:color w:val="000000"/>
          <w:sz w:val="24"/>
          <w:szCs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w:t>
      </w:r>
      <w:r>
        <w:rPr>
          <w:color w:val="000000"/>
          <w:sz w:val="24"/>
          <w:szCs w:val="24"/>
        </w:rPr>
        <w:t>5</w:t>
      </w:r>
      <w:r>
        <w:rPr>
          <w:color w:val="000000"/>
          <w:sz w:val="24"/>
          <w:szCs w:val="24"/>
        </w:rPr>
        <w:t>月上旬，货币政策进一步宽松不及预期叠加五一消费复苏经济修复延续，长端收益率开始上行。随后，社融放量强化经济修复预期，收益率进一步大幅上行，且短端上行幅度更大，曲线呈现出熊平趋势。进入</w:t>
      </w:r>
      <w:r>
        <w:rPr>
          <w:color w:val="000000"/>
          <w:sz w:val="24"/>
          <w:szCs w:val="24"/>
        </w:rPr>
        <w:t>6</w:t>
      </w:r>
      <w:r>
        <w:rPr>
          <w:color w:val="000000"/>
          <w:sz w:val="24"/>
          <w:szCs w:val="24"/>
        </w:rPr>
        <w:t>月，货币环境仍未好转，叠加首批</w:t>
      </w:r>
      <w:r>
        <w:rPr>
          <w:color w:val="000000"/>
          <w:sz w:val="24"/>
          <w:szCs w:val="24"/>
        </w:rPr>
        <w:t>1000</w:t>
      </w:r>
      <w:r>
        <w:rPr>
          <w:color w:val="000000"/>
          <w:sz w:val="24"/>
          <w:szCs w:val="24"/>
        </w:rPr>
        <w:t>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长端信用利差整体走阔。</w:t>
      </w:r>
    </w:p>
    <w:p w:rsidR="00AA2E16" w:rsidRDefault="00EC3CD4">
      <w:pPr>
        <w:spacing w:line="360" w:lineRule="auto"/>
        <w:ind w:firstLineChars="200" w:firstLine="480"/>
        <w:rPr>
          <w:color w:val="000000"/>
          <w:sz w:val="24"/>
          <w:szCs w:val="24"/>
        </w:rPr>
      </w:pPr>
      <w:r>
        <w:rPr>
          <w:color w:val="000000"/>
          <w:sz w:val="24"/>
          <w:szCs w:val="24"/>
        </w:rPr>
        <w:t>权益市场方面，二季度整体收涨，各类风格及指数品种均呈现较好的弹性。从一季度末开始，在海外金融风险期过后，国内及海外资本市场均有较强的表现，体现出风险偏好的快速提升。从国内市场来看，</w:t>
      </w:r>
      <w:r>
        <w:rPr>
          <w:color w:val="000000"/>
          <w:sz w:val="24"/>
          <w:szCs w:val="24"/>
        </w:rPr>
        <w:t>A</w:t>
      </w:r>
      <w:r>
        <w:rPr>
          <w:color w:val="000000"/>
          <w:sz w:val="24"/>
          <w:szCs w:val="24"/>
        </w:rPr>
        <w:t>股主要沿着业绩</w:t>
      </w:r>
      <w:r>
        <w:rPr>
          <w:color w:val="000000"/>
          <w:sz w:val="24"/>
          <w:szCs w:val="24"/>
        </w:rPr>
        <w:t>“</w:t>
      </w:r>
      <w:r>
        <w:rPr>
          <w:color w:val="000000"/>
          <w:sz w:val="24"/>
          <w:szCs w:val="24"/>
        </w:rPr>
        <w:t>确定性</w:t>
      </w:r>
      <w:r>
        <w:rPr>
          <w:color w:val="000000"/>
          <w:sz w:val="24"/>
          <w:szCs w:val="24"/>
        </w:rPr>
        <w:t>”</w:t>
      </w:r>
      <w:r>
        <w:rPr>
          <w:color w:val="000000"/>
          <w:sz w:val="24"/>
          <w:szCs w:val="24"/>
        </w:rPr>
        <w:t>的方向延伸，其中一季报超预期品种的超额收益尤为确定及显著，医药行业表现持续强势，机构配置持续维持高位。二季度初，伴随海外疫情逐渐消散，国内工业及服务业复工复产快速恢复，与稳增长相关的板块及部分恢复速度较快的可选消费板块表现强劲，其中食品饮料、水泥、半导体等表现突出。市场投资者情绪也呈现快速修复，主动管理基金申购再度回暖。进入</w:t>
      </w:r>
      <w:r>
        <w:rPr>
          <w:color w:val="000000"/>
          <w:sz w:val="24"/>
          <w:szCs w:val="24"/>
        </w:rPr>
        <w:t>5</w:t>
      </w:r>
      <w:r>
        <w:rPr>
          <w:color w:val="000000"/>
          <w:sz w:val="24"/>
          <w:szCs w:val="24"/>
        </w:rPr>
        <w:t>月，中美贸易摩擦再度有所升温，美国疫情进入二次爆发，致使</w:t>
      </w:r>
      <w:r>
        <w:rPr>
          <w:color w:val="000000"/>
          <w:sz w:val="24"/>
          <w:szCs w:val="24"/>
        </w:rPr>
        <w:t>TMT</w:t>
      </w:r>
      <w:r>
        <w:rPr>
          <w:color w:val="000000"/>
          <w:sz w:val="24"/>
          <w:szCs w:val="24"/>
        </w:rPr>
        <w:t>板块的风险偏好有小幅降温，但在海外</w:t>
      </w:r>
      <w:r>
        <w:rPr>
          <w:color w:val="000000"/>
          <w:sz w:val="24"/>
          <w:szCs w:val="24"/>
        </w:rPr>
        <w:lastRenderedPageBreak/>
        <w:t>市场持续强劲的背景下，北上资金不改前期持续流入的趋势，市场并未出现明显调整，保持着结构性行情的震荡格局。</w:t>
      </w:r>
      <w:r>
        <w:rPr>
          <w:color w:val="000000"/>
          <w:sz w:val="24"/>
          <w:szCs w:val="24"/>
        </w:rPr>
        <w:t>6</w:t>
      </w:r>
      <w:r>
        <w:rPr>
          <w:color w:val="000000"/>
          <w:sz w:val="24"/>
          <w:szCs w:val="24"/>
        </w:rPr>
        <w:t>月份以来，资本市场改革政策逐步推出，创业板注册制的快速推进、三板精选层基金的发布等，显著提升了权益市场的风险偏好，也催生二季度后期科技板块的强劲反弹。</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操作上，组合权益坚持自下而上选择个股的长期配置价值，维持了较为稳定的股票仓位。债券方面，组合继续维持较高的杠杆和中性的久期水平，整体仍按照票息策略的偏绝对收益操作思路为主。此外，组合仍积极参与科创版打新。</w:t>
      </w:r>
    </w:p>
    <w:p w:rsidR="00750D48" w:rsidRPr="00264E55" w:rsidRDefault="00750D48" w:rsidP="009E7C6A">
      <w:pPr>
        <w:spacing w:line="360" w:lineRule="auto"/>
        <w:rPr>
          <w:rFonts w:asci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264E55">
          <w:rPr>
            <w:rFonts w:ascii="宋体" w:hAnsi="宋体" w:cs="宋体"/>
            <w:sz w:val="24"/>
            <w:szCs w:val="24"/>
          </w:rPr>
          <w:t>4.4.2</w:t>
        </w:r>
      </w:smartTag>
      <w:r w:rsidRPr="00264E55">
        <w:rPr>
          <w:rFonts w:ascii="宋体" w:hAnsi="宋体" w:cs="宋体" w:hint="eastAsia"/>
          <w:sz w:val="24"/>
          <w:szCs w:val="24"/>
        </w:rPr>
        <w:t>报告期内基金的业绩表现</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截至报告期末，本基金份额净值为</w:t>
      </w:r>
      <w:r w:rsidRPr="006C56AA">
        <w:rPr>
          <w:color w:val="000000"/>
          <w:sz w:val="24"/>
          <w:szCs w:val="24"/>
        </w:rPr>
        <w:t>1.935</w:t>
      </w:r>
      <w:r w:rsidRPr="006C56AA">
        <w:rPr>
          <w:color w:val="000000"/>
          <w:sz w:val="24"/>
          <w:szCs w:val="24"/>
        </w:rPr>
        <w:t>元，本报告期份额净值增长率为</w:t>
      </w:r>
      <w:r w:rsidRPr="006C56AA">
        <w:rPr>
          <w:color w:val="000000"/>
          <w:sz w:val="24"/>
          <w:szCs w:val="24"/>
        </w:rPr>
        <w:t>8.52%</w:t>
      </w:r>
      <w:r w:rsidRPr="006C56AA">
        <w:rPr>
          <w:color w:val="000000"/>
          <w:sz w:val="24"/>
          <w:szCs w:val="24"/>
        </w:rPr>
        <w:t>，同期业绩比较基准收益率为</w:t>
      </w:r>
      <w:r w:rsidRPr="006C56AA">
        <w:rPr>
          <w:color w:val="000000"/>
          <w:sz w:val="24"/>
          <w:szCs w:val="24"/>
        </w:rPr>
        <w:t>2.98%</w:t>
      </w:r>
      <w:r w:rsidRPr="006C56AA">
        <w:rPr>
          <w:color w:val="000000"/>
          <w:sz w:val="24"/>
          <w:szCs w:val="24"/>
        </w:rPr>
        <w:t>。</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3357"/>
        <w:gridCol w:w="2977"/>
        <w:gridCol w:w="1843"/>
      </w:tblGrid>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序号</w:t>
            </w:r>
          </w:p>
        </w:tc>
        <w:tc>
          <w:tcPr>
            <w:tcW w:w="3357"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项目</w:t>
            </w:r>
          </w:p>
        </w:tc>
        <w:tc>
          <w:tcPr>
            <w:tcW w:w="2977"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w="1843"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1</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权益投资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550,970,058.85</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28.69</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其中：股票</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550,970,058.85</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28.69</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2</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固定收益投资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1,285,478,961.36</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66.94</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其中：债券</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1,279,468,161.36</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66.63</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6,010,800.00</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0.31</w:t>
            </w:r>
          </w:p>
        </w:tc>
      </w:tr>
      <w:tr w:rsidR="00750D48" w:rsidRPr="00264E55" w:rsidTr="00B05049">
        <w:trPr>
          <w:jc w:val="center"/>
        </w:trPr>
        <w:tc>
          <w:tcPr>
            <w:tcW w:w="720" w:type="dxa"/>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3</w:t>
            </w:r>
          </w:p>
        </w:tc>
        <w:tc>
          <w:tcPr>
            <w:tcW w:w="3357" w:type="dxa"/>
          </w:tcPr>
          <w:p w:rsidR="00750D48" w:rsidRPr="00232B03" w:rsidRDefault="00750D48" w:rsidP="00EB572F">
            <w:pPr>
              <w:spacing w:before="29" w:line="360" w:lineRule="auto"/>
              <w:ind w:leftChars="50" w:left="105"/>
              <w:rPr>
                <w:color w:val="000000"/>
                <w:kern w:val="0"/>
                <w:sz w:val="24"/>
                <w:szCs w:val="24"/>
              </w:rPr>
            </w:pPr>
            <w:r w:rsidRPr="00232B03">
              <w:rPr>
                <w:color w:val="000000"/>
                <w:kern w:val="0"/>
                <w:sz w:val="24"/>
                <w:szCs w:val="24"/>
              </w:rPr>
              <w:t>贵金属投资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4</w:t>
            </w:r>
          </w:p>
        </w:tc>
        <w:tc>
          <w:tcPr>
            <w:tcW w:w="3357" w:type="dxa"/>
            <w:vAlign w:val="center"/>
          </w:tcPr>
          <w:p w:rsidR="00750D48" w:rsidRPr="00232B03" w:rsidRDefault="00750D48" w:rsidP="00B05049">
            <w:pPr>
              <w:spacing w:before="29" w:line="360" w:lineRule="auto"/>
              <w:ind w:left="17"/>
              <w:jc w:val="left"/>
              <w:rPr>
                <w:color w:val="000000"/>
                <w:kern w:val="0"/>
                <w:sz w:val="24"/>
                <w:szCs w:val="24"/>
              </w:rPr>
            </w:pPr>
            <w:r w:rsidRPr="00232B03">
              <w:rPr>
                <w:color w:val="000000"/>
                <w:kern w:val="0"/>
                <w:sz w:val="24"/>
                <w:szCs w:val="24"/>
              </w:rPr>
              <w:t>金融衍生品投资</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5</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买入返售金融资产</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6</w:t>
            </w:r>
          </w:p>
        </w:tc>
        <w:tc>
          <w:tcPr>
            <w:tcW w:w="3357" w:type="dxa"/>
            <w:vAlign w:val="center"/>
          </w:tcPr>
          <w:p w:rsidR="00750D48" w:rsidRPr="00232B03" w:rsidRDefault="00750D48" w:rsidP="00B05049">
            <w:pPr>
              <w:spacing w:before="29" w:line="360" w:lineRule="auto"/>
              <w:ind w:left="17"/>
              <w:jc w:val="left"/>
              <w:rPr>
                <w:kern w:val="0"/>
                <w:sz w:val="24"/>
                <w:szCs w:val="24"/>
              </w:rPr>
            </w:pPr>
            <w:r w:rsidRPr="00232B03">
              <w:rPr>
                <w:color w:val="000000"/>
                <w:kern w:val="0"/>
                <w:sz w:val="24"/>
                <w:szCs w:val="24"/>
              </w:rPr>
              <w:t>银行存款和结算备付金合计</w:t>
            </w:r>
          </w:p>
        </w:tc>
        <w:tc>
          <w:tcPr>
            <w:tcW w:w="2977"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56,818,538.63</w:t>
            </w:r>
          </w:p>
        </w:tc>
        <w:tc>
          <w:tcPr>
            <w:tcW w:w="1843" w:type="dxa"/>
            <w:vAlign w:val="center"/>
          </w:tcPr>
          <w:p w:rsidR="00750D48" w:rsidRPr="00232B03" w:rsidRDefault="00750D48" w:rsidP="00B05049">
            <w:pPr>
              <w:spacing w:before="29" w:line="360" w:lineRule="auto"/>
              <w:ind w:left="17"/>
              <w:jc w:val="right"/>
              <w:rPr>
                <w:color w:val="000000"/>
                <w:kern w:val="0"/>
                <w:sz w:val="24"/>
                <w:szCs w:val="24"/>
              </w:rPr>
            </w:pPr>
            <w:r w:rsidRPr="00232B03">
              <w:rPr>
                <w:color w:val="000000"/>
                <w:kern w:val="0"/>
                <w:sz w:val="24"/>
                <w:szCs w:val="24"/>
              </w:rPr>
              <w:t>2.96</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7</w:t>
            </w:r>
          </w:p>
        </w:tc>
        <w:tc>
          <w:tcPr>
            <w:tcW w:w="3357" w:type="dxa"/>
            <w:vAlign w:val="center"/>
          </w:tcPr>
          <w:p w:rsidR="00750D48" w:rsidRPr="00232B03" w:rsidRDefault="00750D48" w:rsidP="00B05049">
            <w:pPr>
              <w:jc w:val="left"/>
              <w:rPr>
                <w:kern w:val="0"/>
                <w:sz w:val="24"/>
                <w:szCs w:val="24"/>
              </w:rPr>
            </w:pPr>
            <w:r w:rsidRPr="00232B03">
              <w:rPr>
                <w:color w:val="000000"/>
                <w:kern w:val="0"/>
                <w:sz w:val="24"/>
                <w:szCs w:val="24"/>
              </w:rPr>
              <w:t>其他资产</w:t>
            </w:r>
          </w:p>
        </w:tc>
        <w:tc>
          <w:tcPr>
            <w:tcW w:w="2977"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27,128,752.87</w:t>
            </w:r>
          </w:p>
        </w:tc>
        <w:tc>
          <w:tcPr>
            <w:tcW w:w="1843"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1.41</w:t>
            </w:r>
          </w:p>
        </w:tc>
      </w:tr>
      <w:tr w:rsidR="00750D48" w:rsidRPr="00264E55" w:rsidTr="00B05049">
        <w:trPr>
          <w:jc w:val="center"/>
        </w:trPr>
        <w:tc>
          <w:tcPr>
            <w:tcW w:w="720"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8</w:t>
            </w:r>
          </w:p>
        </w:tc>
        <w:tc>
          <w:tcPr>
            <w:tcW w:w="3357" w:type="dxa"/>
            <w:vAlign w:val="center"/>
          </w:tcPr>
          <w:p w:rsidR="00750D48" w:rsidRPr="00232B03" w:rsidRDefault="00750D48" w:rsidP="00B05049">
            <w:pPr>
              <w:jc w:val="left"/>
              <w:rPr>
                <w:kern w:val="0"/>
                <w:sz w:val="24"/>
                <w:szCs w:val="24"/>
              </w:rPr>
            </w:pPr>
            <w:r w:rsidRPr="00232B03">
              <w:rPr>
                <w:color w:val="000000"/>
                <w:kern w:val="0"/>
                <w:sz w:val="24"/>
                <w:szCs w:val="24"/>
              </w:rPr>
              <w:t>合计</w:t>
            </w:r>
          </w:p>
        </w:tc>
        <w:tc>
          <w:tcPr>
            <w:tcW w:w="2977"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1,920,396,311.71</w:t>
            </w:r>
          </w:p>
        </w:tc>
        <w:tc>
          <w:tcPr>
            <w:tcW w:w="1843" w:type="dxa"/>
            <w:vAlign w:val="center"/>
          </w:tcPr>
          <w:p w:rsidR="00750D48" w:rsidRPr="00232B03" w:rsidRDefault="00750D48" w:rsidP="00B05049">
            <w:pPr>
              <w:jc w:val="right"/>
              <w:rPr>
                <w:color w:val="000000"/>
                <w:kern w:val="0"/>
                <w:sz w:val="24"/>
                <w:szCs w:val="24"/>
              </w:rPr>
            </w:pPr>
            <w:r w:rsidRPr="00232B03">
              <w:rPr>
                <w:color w:val="000000"/>
                <w:kern w:val="0"/>
                <w:sz w:val="24"/>
                <w:szCs w:val="24"/>
              </w:rPr>
              <w:t>100.00</w:t>
            </w:r>
          </w:p>
        </w:tc>
      </w:tr>
    </w:tbl>
    <w:p w:rsidR="008C2A4F" w:rsidRPr="00220C32" w:rsidRDefault="008C2A4F" w:rsidP="008C2A4F">
      <w:pPr>
        <w:autoSpaceDE w:val="0"/>
        <w:autoSpaceDN w:val="0"/>
        <w:adjustRightInd w:val="0"/>
        <w:spacing w:line="360" w:lineRule="auto"/>
        <w:jc w:val="left"/>
        <w:rPr>
          <w:rFonts w:asciiTheme="minorEastAsia" w:eastAsiaTheme="minorEastAsia" w:hAnsiTheme="minorEastAsia"/>
          <w:b/>
          <w:bCs/>
          <w:color w:val="000000" w:themeColor="text1"/>
          <w:kern w:val="0"/>
          <w:sz w:val="24"/>
          <w:szCs w:val="24"/>
        </w:rPr>
      </w:pPr>
      <w:r w:rsidRPr="00220C32">
        <w:rPr>
          <w:rFonts w:asciiTheme="minorEastAsia" w:eastAsiaTheme="minorEastAsia" w:hAnsiTheme="minorEastAsia"/>
          <w:b/>
          <w:bCs/>
          <w:color w:val="000000" w:themeColor="text1"/>
          <w:kern w:val="0"/>
          <w:sz w:val="24"/>
          <w:szCs w:val="24"/>
        </w:rPr>
        <w:lastRenderedPageBreak/>
        <w:t xml:space="preserve">5.2 </w:t>
      </w:r>
      <w:r w:rsidRPr="00220C32">
        <w:rPr>
          <w:rFonts w:asciiTheme="minorEastAsia" w:eastAsiaTheme="minorEastAsia" w:hAnsiTheme="minorEastAsia" w:hint="eastAsia"/>
          <w:b/>
          <w:bCs/>
          <w:color w:val="000000" w:themeColor="text1"/>
          <w:kern w:val="0"/>
          <w:sz w:val="24"/>
          <w:szCs w:val="24"/>
        </w:rPr>
        <w:t>报告期末按行业分类的股票投资组合</w:t>
      </w:r>
    </w:p>
    <w:p w:rsidR="008C2A4F" w:rsidRPr="000D7474" w:rsidRDefault="008C2A4F" w:rsidP="008C2A4F">
      <w:pPr>
        <w:rPr>
          <w:rFonts w:asciiTheme="minorEastAsia" w:eastAsiaTheme="minorEastAsia" w:hAnsiTheme="minorEastAsia"/>
          <w:b/>
          <w:bCs/>
          <w:color w:val="000000" w:themeColor="text1"/>
          <w:kern w:val="0"/>
          <w:sz w:val="24"/>
          <w:szCs w:val="24"/>
        </w:rPr>
      </w:pPr>
      <w:r w:rsidRPr="000D7474">
        <w:rPr>
          <w:rFonts w:asciiTheme="minorEastAsia" w:eastAsiaTheme="minorEastAsia" w:hAnsiTheme="minorEastAsia" w:hint="eastAsia"/>
          <w:b/>
          <w:bCs/>
          <w:color w:val="000000" w:themeColor="text1"/>
          <w:kern w:val="0"/>
          <w:sz w:val="24"/>
          <w:szCs w:val="24"/>
        </w:rPr>
        <w:t>5.2.1报告期末按行业分类的境内股票投资组合</w:t>
      </w:r>
    </w:p>
    <w:tbl>
      <w:tblPr>
        <w:tblW w:w="878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709"/>
        <w:gridCol w:w="3544"/>
        <w:gridCol w:w="2977"/>
        <w:gridCol w:w="1559"/>
      </w:tblGrid>
      <w:tr w:rsidR="008C2A4F" w:rsidRPr="008C2A4F" w:rsidTr="003B5535">
        <w:trPr>
          <w:trHeight w:val="390"/>
        </w:trPr>
        <w:tc>
          <w:tcPr>
            <w:tcW w:w="709" w:type="dxa"/>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代码</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行业类别</w:t>
            </w:r>
          </w:p>
        </w:tc>
        <w:tc>
          <w:tcPr>
            <w:tcW w:w="2977" w:type="dxa"/>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公允价值（元）</w:t>
            </w:r>
          </w:p>
        </w:tc>
        <w:tc>
          <w:tcPr>
            <w:tcW w:w="155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占基金资产净值比例（％）</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A</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农、林、牧、渔业</w:t>
            </w:r>
          </w:p>
        </w:tc>
        <w:tc>
          <w:tcPr>
            <w:tcW w:w="2977" w:type="dxa"/>
            <w:vAlign w:val="center"/>
          </w:tcPr>
          <w:p w:rsidR="008C2A4F" w:rsidRPr="008C2A4F" w:rsidRDefault="008C2A4F" w:rsidP="003328D9">
            <w:pPr>
              <w:autoSpaceDE w:val="0"/>
              <w:autoSpaceDN w:val="0"/>
              <w:adjustRightInd w:val="0"/>
              <w:spacing w:before="29" w:line="360" w:lineRule="auto"/>
              <w:ind w:left="15"/>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autoSpaceDE w:val="0"/>
              <w:autoSpaceDN w:val="0"/>
              <w:adjustRightInd w:val="0"/>
              <w:spacing w:before="29" w:line="360" w:lineRule="auto"/>
              <w:ind w:left="15"/>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B</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采矿业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p w:rsidR="008C2A4F" w:rsidRPr="008C2A4F" w:rsidRDefault="008C2A4F" w:rsidP="003328D9">
            <w:pPr>
              <w:jc w:val="right"/>
              <w:rPr>
                <w:rFonts w:eastAsiaTheme="minorEastAsia"/>
                <w:color w:val="000000" w:themeColor="text1"/>
                <w:kern w:val="0"/>
                <w:sz w:val="24"/>
                <w:szCs w:val="24"/>
              </w:rPr>
            </w:pP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p w:rsidR="008C2A4F" w:rsidRPr="008C2A4F" w:rsidRDefault="008C2A4F" w:rsidP="003328D9">
            <w:pPr>
              <w:jc w:val="right"/>
              <w:rPr>
                <w:rFonts w:eastAsiaTheme="minorEastAsia"/>
                <w:color w:val="000000" w:themeColor="text1"/>
                <w:kern w:val="0"/>
                <w:sz w:val="24"/>
                <w:szCs w:val="24"/>
              </w:rPr>
            </w:pP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C</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制造业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471,909,188.85</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34.23</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D</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电力、热力、燃气及水生产和供应业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12,766.32</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0.00</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E</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建筑业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5,483,115.00</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0.40</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F</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批发和零售业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G</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交通运输、仓储和邮政业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5,593,420.57</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0.41</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H</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住宿和餐饮业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I</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信息传输、软件和信息技术服务业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190,731.77</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0.01</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J</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金融业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K</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房地产业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67,780,836.34</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4.92</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L</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租赁和商务服务业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M</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科学研究和技术服务业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N</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水利、环境和公共设施管理业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O</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居民服务、修理和其他服务业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P</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教育</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Q</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卫生和社会工作</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R</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文化、体育和娱乐业</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r w:rsidRPr="008C2A4F">
              <w:rPr>
                <w:rFonts w:eastAsiaTheme="minorEastAsia"/>
                <w:color w:val="000000" w:themeColor="text1"/>
                <w:kern w:val="0"/>
                <w:sz w:val="24"/>
                <w:szCs w:val="24"/>
              </w:rPr>
              <w:t>S</w:t>
            </w: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综合</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w:t>
            </w:r>
          </w:p>
        </w:tc>
      </w:tr>
      <w:tr w:rsidR="008C2A4F" w:rsidRPr="008C2A4F" w:rsidTr="003B5535">
        <w:trPr>
          <w:trHeight w:val="285"/>
        </w:trPr>
        <w:tc>
          <w:tcPr>
            <w:tcW w:w="709"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jc w:val="center"/>
              <w:rPr>
                <w:rFonts w:eastAsiaTheme="minorEastAsia"/>
                <w:color w:val="000000" w:themeColor="text1"/>
                <w:kern w:val="0"/>
                <w:sz w:val="24"/>
                <w:szCs w:val="24"/>
              </w:rPr>
            </w:pPr>
          </w:p>
        </w:tc>
        <w:tc>
          <w:tcPr>
            <w:tcW w:w="3544" w:type="dxa"/>
            <w:tcMar>
              <w:top w:w="15" w:type="dxa"/>
              <w:left w:w="15" w:type="dxa"/>
              <w:bottom w:w="0" w:type="dxa"/>
              <w:right w:w="15" w:type="dxa"/>
            </w:tcMar>
            <w:vAlign w:val="center"/>
          </w:tcPr>
          <w:p w:rsidR="008C2A4F" w:rsidRPr="008C2A4F" w:rsidRDefault="008C2A4F" w:rsidP="003328D9">
            <w:pPr>
              <w:adjustRightInd w:val="0"/>
              <w:snapToGrid w:val="0"/>
              <w:spacing w:line="400" w:lineRule="exact"/>
              <w:rPr>
                <w:rFonts w:eastAsiaTheme="minorEastAsia"/>
                <w:color w:val="000000" w:themeColor="text1"/>
                <w:kern w:val="0"/>
                <w:sz w:val="24"/>
                <w:szCs w:val="24"/>
              </w:rPr>
            </w:pPr>
            <w:r w:rsidRPr="008C2A4F">
              <w:rPr>
                <w:rFonts w:eastAsiaTheme="minorEastAsia"/>
                <w:color w:val="000000" w:themeColor="text1"/>
                <w:kern w:val="0"/>
                <w:sz w:val="24"/>
                <w:szCs w:val="24"/>
              </w:rPr>
              <w:t>合计</w:t>
            </w:r>
          </w:p>
        </w:tc>
        <w:tc>
          <w:tcPr>
            <w:tcW w:w="2977" w:type="dxa"/>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550,970,058.85</w:t>
            </w:r>
          </w:p>
        </w:tc>
        <w:tc>
          <w:tcPr>
            <w:tcW w:w="1559" w:type="dxa"/>
            <w:tcMar>
              <w:top w:w="15" w:type="dxa"/>
              <w:left w:w="15" w:type="dxa"/>
              <w:bottom w:w="0" w:type="dxa"/>
              <w:right w:w="15" w:type="dxa"/>
            </w:tcMar>
            <w:vAlign w:val="center"/>
          </w:tcPr>
          <w:p w:rsidR="008C2A4F" w:rsidRPr="008C2A4F" w:rsidRDefault="008C2A4F" w:rsidP="003328D9">
            <w:pPr>
              <w:jc w:val="right"/>
              <w:rPr>
                <w:rFonts w:eastAsiaTheme="minorEastAsia"/>
                <w:color w:val="000000" w:themeColor="text1"/>
                <w:kern w:val="0"/>
                <w:sz w:val="24"/>
                <w:szCs w:val="24"/>
              </w:rPr>
            </w:pPr>
            <w:r w:rsidRPr="008C2A4F">
              <w:rPr>
                <w:rFonts w:eastAsiaTheme="minorEastAsia"/>
                <w:color w:val="000000" w:themeColor="text1"/>
                <w:kern w:val="0"/>
                <w:sz w:val="24"/>
                <w:szCs w:val="24"/>
              </w:rPr>
              <w:t>39.97</w:t>
            </w:r>
          </w:p>
        </w:tc>
      </w:tr>
    </w:tbl>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w="87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276"/>
        <w:gridCol w:w="1418"/>
        <w:gridCol w:w="1701"/>
        <w:gridCol w:w="1984"/>
        <w:gridCol w:w="1559"/>
      </w:tblGrid>
      <w:tr w:rsidR="00750D48" w:rsidRPr="00264E55" w:rsidTr="00191BDE">
        <w:tc>
          <w:tcPr>
            <w:tcW w:w="851"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序号</w:t>
            </w:r>
          </w:p>
        </w:tc>
        <w:tc>
          <w:tcPr>
            <w:tcW w:w="1276"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股票代码</w:t>
            </w:r>
          </w:p>
        </w:tc>
        <w:tc>
          <w:tcPr>
            <w:tcW w:w="1418"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股票名称</w:t>
            </w:r>
          </w:p>
        </w:tc>
        <w:tc>
          <w:tcPr>
            <w:tcW w:w="1701"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w="1984" w:type="dxa"/>
            <w:vAlign w:val="center"/>
          </w:tcPr>
          <w:p w:rsidR="00750D48" w:rsidRPr="00232B03" w:rsidRDefault="00750D48" w:rsidP="005F7917">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w="1559"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rsidR="00AA2E16">
        <w:tc>
          <w:tcPr>
            <w:tcW w:w="851" w:type="dxa"/>
            <w:vAlign w:val="center"/>
          </w:tcPr>
          <w:p w:rsidR="00AA2E16" w:rsidRDefault="00EC3CD4">
            <w:pPr>
              <w:jc w:val="center"/>
            </w:pPr>
            <w:r>
              <w:rPr>
                <w:color w:val="000000"/>
                <w:kern w:val="0"/>
                <w:sz w:val="24"/>
                <w:szCs w:val="24"/>
              </w:rPr>
              <w:t>1</w:t>
            </w:r>
          </w:p>
        </w:tc>
        <w:tc>
          <w:tcPr>
            <w:tcW w:w="1276" w:type="dxa"/>
            <w:vAlign w:val="center"/>
          </w:tcPr>
          <w:p w:rsidR="00AA2E16" w:rsidRDefault="00EC3CD4">
            <w:pPr>
              <w:jc w:val="center"/>
            </w:pPr>
            <w:r>
              <w:rPr>
                <w:color w:val="000000"/>
                <w:kern w:val="0"/>
                <w:sz w:val="24"/>
                <w:szCs w:val="24"/>
              </w:rPr>
              <w:t>601012</w:t>
            </w:r>
          </w:p>
        </w:tc>
        <w:tc>
          <w:tcPr>
            <w:tcW w:w="1418" w:type="dxa"/>
            <w:vAlign w:val="center"/>
          </w:tcPr>
          <w:p w:rsidR="00AA2E16" w:rsidRDefault="00EC3CD4">
            <w:pPr>
              <w:jc w:val="center"/>
            </w:pPr>
            <w:r>
              <w:rPr>
                <w:color w:val="000000"/>
                <w:kern w:val="0"/>
                <w:sz w:val="24"/>
                <w:szCs w:val="24"/>
              </w:rPr>
              <w:t>隆基股份</w:t>
            </w:r>
          </w:p>
        </w:tc>
        <w:tc>
          <w:tcPr>
            <w:tcW w:w="1701" w:type="dxa"/>
            <w:vAlign w:val="center"/>
          </w:tcPr>
          <w:p w:rsidR="00AA2E16" w:rsidRDefault="00EC3CD4">
            <w:pPr>
              <w:jc w:val="right"/>
            </w:pPr>
            <w:r>
              <w:rPr>
                <w:color w:val="000000"/>
                <w:kern w:val="0"/>
                <w:sz w:val="24"/>
                <w:szCs w:val="24"/>
              </w:rPr>
              <w:t>1,439,242</w:t>
            </w:r>
          </w:p>
        </w:tc>
        <w:tc>
          <w:tcPr>
            <w:tcW w:w="1984" w:type="dxa"/>
            <w:vAlign w:val="center"/>
          </w:tcPr>
          <w:p w:rsidR="00AA2E16" w:rsidRDefault="00EC3CD4">
            <w:pPr>
              <w:jc w:val="right"/>
            </w:pPr>
            <w:r>
              <w:rPr>
                <w:color w:val="000000"/>
                <w:kern w:val="0"/>
                <w:sz w:val="24"/>
                <w:szCs w:val="24"/>
              </w:rPr>
              <w:t>58,620,326.66</w:t>
            </w:r>
          </w:p>
        </w:tc>
        <w:tc>
          <w:tcPr>
            <w:tcW w:w="1559" w:type="dxa"/>
            <w:vAlign w:val="center"/>
          </w:tcPr>
          <w:p w:rsidR="00AA2E16" w:rsidRDefault="00EC3CD4">
            <w:pPr>
              <w:jc w:val="right"/>
            </w:pPr>
            <w:r>
              <w:rPr>
                <w:color w:val="000000"/>
                <w:kern w:val="0"/>
                <w:sz w:val="24"/>
                <w:szCs w:val="24"/>
              </w:rPr>
              <w:t>4.25</w:t>
            </w:r>
          </w:p>
        </w:tc>
      </w:tr>
      <w:tr w:rsidR="00AA2E16">
        <w:tc>
          <w:tcPr>
            <w:tcW w:w="851" w:type="dxa"/>
            <w:vAlign w:val="center"/>
          </w:tcPr>
          <w:p w:rsidR="00AA2E16" w:rsidRDefault="00EC3CD4">
            <w:pPr>
              <w:jc w:val="center"/>
            </w:pPr>
            <w:r>
              <w:rPr>
                <w:color w:val="000000"/>
                <w:kern w:val="0"/>
                <w:sz w:val="24"/>
                <w:szCs w:val="24"/>
              </w:rPr>
              <w:t>2</w:t>
            </w:r>
          </w:p>
        </w:tc>
        <w:tc>
          <w:tcPr>
            <w:tcW w:w="1276" w:type="dxa"/>
            <w:vAlign w:val="center"/>
          </w:tcPr>
          <w:p w:rsidR="00AA2E16" w:rsidRDefault="00EC3CD4">
            <w:pPr>
              <w:jc w:val="center"/>
            </w:pPr>
            <w:r>
              <w:rPr>
                <w:color w:val="000000"/>
                <w:kern w:val="0"/>
                <w:sz w:val="24"/>
                <w:szCs w:val="24"/>
              </w:rPr>
              <w:t>600066</w:t>
            </w:r>
          </w:p>
        </w:tc>
        <w:tc>
          <w:tcPr>
            <w:tcW w:w="1418" w:type="dxa"/>
            <w:vAlign w:val="center"/>
          </w:tcPr>
          <w:p w:rsidR="00AA2E16" w:rsidRDefault="00EC3CD4">
            <w:pPr>
              <w:jc w:val="center"/>
            </w:pPr>
            <w:r>
              <w:rPr>
                <w:color w:val="000000"/>
                <w:kern w:val="0"/>
                <w:sz w:val="24"/>
                <w:szCs w:val="24"/>
              </w:rPr>
              <w:t>宇通客车</w:t>
            </w:r>
          </w:p>
        </w:tc>
        <w:tc>
          <w:tcPr>
            <w:tcW w:w="1701" w:type="dxa"/>
            <w:vAlign w:val="center"/>
          </w:tcPr>
          <w:p w:rsidR="00AA2E16" w:rsidRDefault="00EC3CD4">
            <w:pPr>
              <w:jc w:val="right"/>
            </w:pPr>
            <w:r>
              <w:rPr>
                <w:color w:val="000000"/>
                <w:kern w:val="0"/>
                <w:sz w:val="24"/>
                <w:szCs w:val="24"/>
              </w:rPr>
              <w:t>4,218,631</w:t>
            </w:r>
          </w:p>
        </w:tc>
        <w:tc>
          <w:tcPr>
            <w:tcW w:w="1984" w:type="dxa"/>
            <w:vAlign w:val="center"/>
          </w:tcPr>
          <w:p w:rsidR="00AA2E16" w:rsidRDefault="00EC3CD4">
            <w:pPr>
              <w:jc w:val="right"/>
            </w:pPr>
            <w:r>
              <w:rPr>
                <w:color w:val="000000"/>
                <w:kern w:val="0"/>
                <w:sz w:val="24"/>
                <w:szCs w:val="24"/>
              </w:rPr>
              <w:t>51,467,298.20</w:t>
            </w:r>
          </w:p>
        </w:tc>
        <w:tc>
          <w:tcPr>
            <w:tcW w:w="1559" w:type="dxa"/>
            <w:vAlign w:val="center"/>
          </w:tcPr>
          <w:p w:rsidR="00AA2E16" w:rsidRDefault="00EC3CD4">
            <w:pPr>
              <w:jc w:val="right"/>
            </w:pPr>
            <w:r>
              <w:rPr>
                <w:color w:val="000000"/>
                <w:kern w:val="0"/>
                <w:sz w:val="24"/>
                <w:szCs w:val="24"/>
              </w:rPr>
              <w:t>3.73</w:t>
            </w:r>
          </w:p>
        </w:tc>
      </w:tr>
      <w:tr w:rsidR="00AA2E16">
        <w:tc>
          <w:tcPr>
            <w:tcW w:w="851" w:type="dxa"/>
            <w:vAlign w:val="center"/>
          </w:tcPr>
          <w:p w:rsidR="00AA2E16" w:rsidRDefault="00EC3CD4">
            <w:pPr>
              <w:jc w:val="center"/>
            </w:pPr>
            <w:r>
              <w:rPr>
                <w:color w:val="000000"/>
                <w:kern w:val="0"/>
                <w:sz w:val="24"/>
                <w:szCs w:val="24"/>
              </w:rPr>
              <w:t>3</w:t>
            </w:r>
          </w:p>
        </w:tc>
        <w:tc>
          <w:tcPr>
            <w:tcW w:w="1276" w:type="dxa"/>
            <w:vAlign w:val="center"/>
          </w:tcPr>
          <w:p w:rsidR="00AA2E16" w:rsidRDefault="00EC3CD4">
            <w:pPr>
              <w:jc w:val="center"/>
            </w:pPr>
            <w:r>
              <w:rPr>
                <w:color w:val="000000"/>
                <w:kern w:val="0"/>
                <w:sz w:val="24"/>
                <w:szCs w:val="24"/>
              </w:rPr>
              <w:t>000002</w:t>
            </w:r>
          </w:p>
        </w:tc>
        <w:tc>
          <w:tcPr>
            <w:tcW w:w="1418" w:type="dxa"/>
            <w:vAlign w:val="center"/>
          </w:tcPr>
          <w:p w:rsidR="00AA2E16" w:rsidRDefault="00EC3CD4">
            <w:pPr>
              <w:jc w:val="center"/>
            </w:pPr>
            <w:r>
              <w:rPr>
                <w:color w:val="000000"/>
                <w:kern w:val="0"/>
                <w:sz w:val="24"/>
                <w:szCs w:val="24"/>
              </w:rPr>
              <w:t>万科</w:t>
            </w:r>
            <w:r>
              <w:rPr>
                <w:color w:val="000000"/>
                <w:kern w:val="0"/>
                <w:sz w:val="24"/>
                <w:szCs w:val="24"/>
              </w:rPr>
              <w:t>A</w:t>
            </w:r>
          </w:p>
        </w:tc>
        <w:tc>
          <w:tcPr>
            <w:tcW w:w="1701" w:type="dxa"/>
            <w:vAlign w:val="center"/>
          </w:tcPr>
          <w:p w:rsidR="00AA2E16" w:rsidRDefault="00EC3CD4">
            <w:pPr>
              <w:jc w:val="right"/>
            </w:pPr>
            <w:r>
              <w:rPr>
                <w:color w:val="000000"/>
                <w:kern w:val="0"/>
                <w:sz w:val="24"/>
                <w:szCs w:val="24"/>
              </w:rPr>
              <w:t>1,756,400</w:t>
            </w:r>
          </w:p>
        </w:tc>
        <w:tc>
          <w:tcPr>
            <w:tcW w:w="1984" w:type="dxa"/>
            <w:vAlign w:val="center"/>
          </w:tcPr>
          <w:p w:rsidR="00AA2E16" w:rsidRDefault="00EC3CD4">
            <w:pPr>
              <w:jc w:val="right"/>
            </w:pPr>
            <w:r>
              <w:rPr>
                <w:color w:val="000000"/>
                <w:kern w:val="0"/>
                <w:sz w:val="24"/>
                <w:szCs w:val="24"/>
              </w:rPr>
              <w:t>45,912,296.00</w:t>
            </w:r>
          </w:p>
        </w:tc>
        <w:tc>
          <w:tcPr>
            <w:tcW w:w="1559" w:type="dxa"/>
            <w:vAlign w:val="center"/>
          </w:tcPr>
          <w:p w:rsidR="00AA2E16" w:rsidRDefault="00EC3CD4">
            <w:pPr>
              <w:jc w:val="right"/>
            </w:pPr>
            <w:r>
              <w:rPr>
                <w:color w:val="000000"/>
                <w:kern w:val="0"/>
                <w:sz w:val="24"/>
                <w:szCs w:val="24"/>
              </w:rPr>
              <w:t>3.33</w:t>
            </w:r>
          </w:p>
        </w:tc>
      </w:tr>
      <w:tr w:rsidR="00AA2E16">
        <w:tc>
          <w:tcPr>
            <w:tcW w:w="851" w:type="dxa"/>
            <w:vAlign w:val="center"/>
          </w:tcPr>
          <w:p w:rsidR="00AA2E16" w:rsidRDefault="00EC3CD4">
            <w:pPr>
              <w:jc w:val="center"/>
            </w:pPr>
            <w:r>
              <w:rPr>
                <w:color w:val="000000"/>
                <w:kern w:val="0"/>
                <w:sz w:val="24"/>
                <w:szCs w:val="24"/>
              </w:rPr>
              <w:lastRenderedPageBreak/>
              <w:t>4</w:t>
            </w:r>
          </w:p>
        </w:tc>
        <w:tc>
          <w:tcPr>
            <w:tcW w:w="1276" w:type="dxa"/>
            <w:vAlign w:val="center"/>
          </w:tcPr>
          <w:p w:rsidR="00AA2E16" w:rsidRDefault="00EC3CD4">
            <w:pPr>
              <w:jc w:val="center"/>
            </w:pPr>
            <w:r>
              <w:rPr>
                <w:color w:val="000000"/>
                <w:kern w:val="0"/>
                <w:sz w:val="24"/>
                <w:szCs w:val="24"/>
              </w:rPr>
              <w:t>000651</w:t>
            </w:r>
          </w:p>
        </w:tc>
        <w:tc>
          <w:tcPr>
            <w:tcW w:w="1418" w:type="dxa"/>
            <w:vAlign w:val="center"/>
          </w:tcPr>
          <w:p w:rsidR="00AA2E16" w:rsidRDefault="00EC3CD4">
            <w:pPr>
              <w:jc w:val="center"/>
            </w:pPr>
            <w:r>
              <w:rPr>
                <w:color w:val="000000"/>
                <w:kern w:val="0"/>
                <w:sz w:val="24"/>
                <w:szCs w:val="24"/>
              </w:rPr>
              <w:t>格力电器</w:t>
            </w:r>
          </w:p>
        </w:tc>
        <w:tc>
          <w:tcPr>
            <w:tcW w:w="1701" w:type="dxa"/>
            <w:vAlign w:val="center"/>
          </w:tcPr>
          <w:p w:rsidR="00AA2E16" w:rsidRDefault="00EC3CD4">
            <w:pPr>
              <w:jc w:val="right"/>
            </w:pPr>
            <w:r>
              <w:rPr>
                <w:color w:val="000000"/>
                <w:kern w:val="0"/>
                <w:sz w:val="24"/>
                <w:szCs w:val="24"/>
              </w:rPr>
              <w:t>796,098</w:t>
            </w:r>
          </w:p>
        </w:tc>
        <w:tc>
          <w:tcPr>
            <w:tcW w:w="1984" w:type="dxa"/>
            <w:vAlign w:val="center"/>
          </w:tcPr>
          <w:p w:rsidR="00AA2E16" w:rsidRDefault="00EC3CD4">
            <w:pPr>
              <w:jc w:val="right"/>
            </w:pPr>
            <w:r>
              <w:rPr>
                <w:color w:val="000000"/>
                <w:kern w:val="0"/>
                <w:sz w:val="24"/>
                <w:szCs w:val="24"/>
              </w:rPr>
              <w:t>45,035,263.86</w:t>
            </w:r>
          </w:p>
        </w:tc>
        <w:tc>
          <w:tcPr>
            <w:tcW w:w="1559" w:type="dxa"/>
            <w:vAlign w:val="center"/>
          </w:tcPr>
          <w:p w:rsidR="00AA2E16" w:rsidRDefault="00EC3CD4">
            <w:pPr>
              <w:jc w:val="right"/>
            </w:pPr>
            <w:r>
              <w:rPr>
                <w:color w:val="000000"/>
                <w:kern w:val="0"/>
                <w:sz w:val="24"/>
                <w:szCs w:val="24"/>
              </w:rPr>
              <w:t>3.27</w:t>
            </w:r>
          </w:p>
        </w:tc>
      </w:tr>
      <w:tr w:rsidR="00AA2E16">
        <w:tc>
          <w:tcPr>
            <w:tcW w:w="851" w:type="dxa"/>
            <w:vAlign w:val="center"/>
          </w:tcPr>
          <w:p w:rsidR="00AA2E16" w:rsidRDefault="00EC3CD4">
            <w:pPr>
              <w:jc w:val="center"/>
            </w:pPr>
            <w:r>
              <w:rPr>
                <w:color w:val="000000"/>
                <w:kern w:val="0"/>
                <w:sz w:val="24"/>
                <w:szCs w:val="24"/>
              </w:rPr>
              <w:t>5</w:t>
            </w:r>
          </w:p>
        </w:tc>
        <w:tc>
          <w:tcPr>
            <w:tcW w:w="1276" w:type="dxa"/>
            <w:vAlign w:val="center"/>
          </w:tcPr>
          <w:p w:rsidR="00AA2E16" w:rsidRDefault="00EC3CD4">
            <w:pPr>
              <w:jc w:val="center"/>
            </w:pPr>
            <w:r>
              <w:rPr>
                <w:color w:val="000000"/>
                <w:kern w:val="0"/>
                <w:sz w:val="24"/>
                <w:szCs w:val="24"/>
              </w:rPr>
              <w:t>601799</w:t>
            </w:r>
          </w:p>
        </w:tc>
        <w:tc>
          <w:tcPr>
            <w:tcW w:w="1418" w:type="dxa"/>
            <w:vAlign w:val="center"/>
          </w:tcPr>
          <w:p w:rsidR="00AA2E16" w:rsidRDefault="00EC3CD4">
            <w:pPr>
              <w:jc w:val="center"/>
            </w:pPr>
            <w:r>
              <w:rPr>
                <w:color w:val="000000"/>
                <w:kern w:val="0"/>
                <w:sz w:val="24"/>
                <w:szCs w:val="24"/>
              </w:rPr>
              <w:t>星宇股份</w:t>
            </w:r>
          </w:p>
        </w:tc>
        <w:tc>
          <w:tcPr>
            <w:tcW w:w="1701" w:type="dxa"/>
            <w:vAlign w:val="center"/>
          </w:tcPr>
          <w:p w:rsidR="00AA2E16" w:rsidRDefault="00EC3CD4">
            <w:pPr>
              <w:jc w:val="right"/>
            </w:pPr>
            <w:r>
              <w:rPr>
                <w:color w:val="000000"/>
                <w:kern w:val="0"/>
                <w:sz w:val="24"/>
                <w:szCs w:val="24"/>
              </w:rPr>
              <w:t>325,290</w:t>
            </w:r>
          </w:p>
        </w:tc>
        <w:tc>
          <w:tcPr>
            <w:tcW w:w="1984" w:type="dxa"/>
            <w:vAlign w:val="center"/>
          </w:tcPr>
          <w:p w:rsidR="00AA2E16" w:rsidRDefault="00EC3CD4">
            <w:pPr>
              <w:jc w:val="right"/>
            </w:pPr>
            <w:r>
              <w:rPr>
                <w:color w:val="000000"/>
                <w:kern w:val="0"/>
                <w:sz w:val="24"/>
                <w:szCs w:val="24"/>
              </w:rPr>
              <w:t>41,311,830.00</w:t>
            </w:r>
          </w:p>
        </w:tc>
        <w:tc>
          <w:tcPr>
            <w:tcW w:w="1559" w:type="dxa"/>
            <w:vAlign w:val="center"/>
          </w:tcPr>
          <w:p w:rsidR="00AA2E16" w:rsidRDefault="00EC3CD4">
            <w:pPr>
              <w:jc w:val="right"/>
            </w:pPr>
            <w:r>
              <w:rPr>
                <w:color w:val="000000"/>
                <w:kern w:val="0"/>
                <w:sz w:val="24"/>
                <w:szCs w:val="24"/>
              </w:rPr>
              <w:t>3.00</w:t>
            </w:r>
          </w:p>
        </w:tc>
      </w:tr>
      <w:tr w:rsidR="00AA2E16">
        <w:tc>
          <w:tcPr>
            <w:tcW w:w="851" w:type="dxa"/>
            <w:vAlign w:val="center"/>
          </w:tcPr>
          <w:p w:rsidR="00AA2E16" w:rsidRDefault="00EC3CD4">
            <w:pPr>
              <w:jc w:val="center"/>
            </w:pPr>
            <w:r>
              <w:rPr>
                <w:color w:val="000000"/>
                <w:kern w:val="0"/>
                <w:sz w:val="24"/>
                <w:szCs w:val="24"/>
              </w:rPr>
              <w:t>6</w:t>
            </w:r>
          </w:p>
        </w:tc>
        <w:tc>
          <w:tcPr>
            <w:tcW w:w="1276" w:type="dxa"/>
            <w:vAlign w:val="center"/>
          </w:tcPr>
          <w:p w:rsidR="00AA2E16" w:rsidRDefault="00EC3CD4">
            <w:pPr>
              <w:jc w:val="center"/>
            </w:pPr>
            <w:r>
              <w:rPr>
                <w:color w:val="000000"/>
                <w:kern w:val="0"/>
                <w:sz w:val="24"/>
                <w:szCs w:val="24"/>
              </w:rPr>
              <w:t>300433</w:t>
            </w:r>
          </w:p>
        </w:tc>
        <w:tc>
          <w:tcPr>
            <w:tcW w:w="1418" w:type="dxa"/>
            <w:vAlign w:val="center"/>
          </w:tcPr>
          <w:p w:rsidR="00AA2E16" w:rsidRDefault="00EC3CD4">
            <w:pPr>
              <w:jc w:val="center"/>
            </w:pPr>
            <w:r>
              <w:rPr>
                <w:color w:val="000000"/>
                <w:kern w:val="0"/>
                <w:sz w:val="24"/>
                <w:szCs w:val="24"/>
              </w:rPr>
              <w:t>蓝思科技</w:t>
            </w:r>
          </w:p>
        </w:tc>
        <w:tc>
          <w:tcPr>
            <w:tcW w:w="1701" w:type="dxa"/>
            <w:vAlign w:val="center"/>
          </w:tcPr>
          <w:p w:rsidR="00AA2E16" w:rsidRDefault="00EC3CD4">
            <w:pPr>
              <w:jc w:val="right"/>
            </w:pPr>
            <w:r>
              <w:rPr>
                <w:color w:val="000000"/>
                <w:kern w:val="0"/>
                <w:sz w:val="24"/>
                <w:szCs w:val="24"/>
              </w:rPr>
              <w:t>1,273,246</w:t>
            </w:r>
          </w:p>
        </w:tc>
        <w:tc>
          <w:tcPr>
            <w:tcW w:w="1984" w:type="dxa"/>
            <w:vAlign w:val="center"/>
          </w:tcPr>
          <w:p w:rsidR="00AA2E16" w:rsidRDefault="00EC3CD4">
            <w:pPr>
              <w:jc w:val="right"/>
            </w:pPr>
            <w:r>
              <w:rPr>
                <w:color w:val="000000"/>
                <w:kern w:val="0"/>
                <w:sz w:val="24"/>
                <w:szCs w:val="24"/>
              </w:rPr>
              <w:t>35,701,817.84</w:t>
            </w:r>
          </w:p>
        </w:tc>
        <w:tc>
          <w:tcPr>
            <w:tcW w:w="1559" w:type="dxa"/>
            <w:vAlign w:val="center"/>
          </w:tcPr>
          <w:p w:rsidR="00AA2E16" w:rsidRDefault="00EC3CD4">
            <w:pPr>
              <w:jc w:val="right"/>
            </w:pPr>
            <w:r>
              <w:rPr>
                <w:color w:val="000000"/>
                <w:kern w:val="0"/>
                <w:sz w:val="24"/>
                <w:szCs w:val="24"/>
              </w:rPr>
              <w:t>2.59</w:t>
            </w:r>
          </w:p>
        </w:tc>
      </w:tr>
      <w:tr w:rsidR="00AA2E16">
        <w:tc>
          <w:tcPr>
            <w:tcW w:w="851" w:type="dxa"/>
            <w:vAlign w:val="center"/>
          </w:tcPr>
          <w:p w:rsidR="00AA2E16" w:rsidRDefault="00EC3CD4">
            <w:pPr>
              <w:jc w:val="center"/>
            </w:pPr>
            <w:r>
              <w:rPr>
                <w:color w:val="000000"/>
                <w:kern w:val="0"/>
                <w:sz w:val="24"/>
                <w:szCs w:val="24"/>
              </w:rPr>
              <w:t>7</w:t>
            </w:r>
          </w:p>
        </w:tc>
        <w:tc>
          <w:tcPr>
            <w:tcW w:w="1276" w:type="dxa"/>
            <w:vAlign w:val="center"/>
          </w:tcPr>
          <w:p w:rsidR="00AA2E16" w:rsidRDefault="00EC3CD4">
            <w:pPr>
              <w:jc w:val="center"/>
            </w:pPr>
            <w:r>
              <w:rPr>
                <w:color w:val="000000"/>
                <w:kern w:val="0"/>
                <w:sz w:val="24"/>
                <w:szCs w:val="24"/>
              </w:rPr>
              <w:t>002236</w:t>
            </w:r>
          </w:p>
        </w:tc>
        <w:tc>
          <w:tcPr>
            <w:tcW w:w="1418" w:type="dxa"/>
            <w:vAlign w:val="center"/>
          </w:tcPr>
          <w:p w:rsidR="00AA2E16" w:rsidRDefault="00EC3CD4">
            <w:pPr>
              <w:jc w:val="center"/>
            </w:pPr>
            <w:r>
              <w:rPr>
                <w:color w:val="000000"/>
                <w:kern w:val="0"/>
                <w:sz w:val="24"/>
                <w:szCs w:val="24"/>
              </w:rPr>
              <w:t>大华股份</w:t>
            </w:r>
          </w:p>
        </w:tc>
        <w:tc>
          <w:tcPr>
            <w:tcW w:w="1701" w:type="dxa"/>
            <w:vAlign w:val="center"/>
          </w:tcPr>
          <w:p w:rsidR="00AA2E16" w:rsidRDefault="00EC3CD4">
            <w:pPr>
              <w:jc w:val="right"/>
            </w:pPr>
            <w:r>
              <w:rPr>
                <w:color w:val="000000"/>
                <w:kern w:val="0"/>
                <w:sz w:val="24"/>
                <w:szCs w:val="24"/>
              </w:rPr>
              <w:t>1,523,100</w:t>
            </w:r>
          </w:p>
        </w:tc>
        <w:tc>
          <w:tcPr>
            <w:tcW w:w="1984" w:type="dxa"/>
            <w:vAlign w:val="center"/>
          </w:tcPr>
          <w:p w:rsidR="00AA2E16" w:rsidRDefault="00EC3CD4">
            <w:pPr>
              <w:jc w:val="right"/>
            </w:pPr>
            <w:r>
              <w:rPr>
                <w:color w:val="000000"/>
                <w:kern w:val="0"/>
                <w:sz w:val="24"/>
                <w:szCs w:val="24"/>
              </w:rPr>
              <w:t>29,258,751.00</w:t>
            </w:r>
          </w:p>
        </w:tc>
        <w:tc>
          <w:tcPr>
            <w:tcW w:w="1559" w:type="dxa"/>
            <w:vAlign w:val="center"/>
          </w:tcPr>
          <w:p w:rsidR="00AA2E16" w:rsidRDefault="00EC3CD4">
            <w:pPr>
              <w:jc w:val="right"/>
            </w:pPr>
            <w:r>
              <w:rPr>
                <w:color w:val="000000"/>
                <w:kern w:val="0"/>
                <w:sz w:val="24"/>
                <w:szCs w:val="24"/>
              </w:rPr>
              <w:t>2.12</w:t>
            </w:r>
          </w:p>
        </w:tc>
      </w:tr>
      <w:tr w:rsidR="00AA2E16">
        <w:tc>
          <w:tcPr>
            <w:tcW w:w="851" w:type="dxa"/>
            <w:vAlign w:val="center"/>
          </w:tcPr>
          <w:p w:rsidR="00AA2E16" w:rsidRDefault="00EC3CD4">
            <w:pPr>
              <w:jc w:val="center"/>
            </w:pPr>
            <w:r>
              <w:rPr>
                <w:color w:val="000000"/>
                <w:kern w:val="0"/>
                <w:sz w:val="24"/>
                <w:szCs w:val="24"/>
              </w:rPr>
              <w:t>8</w:t>
            </w:r>
          </w:p>
        </w:tc>
        <w:tc>
          <w:tcPr>
            <w:tcW w:w="1276" w:type="dxa"/>
            <w:vAlign w:val="center"/>
          </w:tcPr>
          <w:p w:rsidR="00AA2E16" w:rsidRDefault="00EC3CD4">
            <w:pPr>
              <w:jc w:val="center"/>
            </w:pPr>
            <w:r>
              <w:rPr>
                <w:color w:val="000000"/>
                <w:kern w:val="0"/>
                <w:sz w:val="24"/>
                <w:szCs w:val="24"/>
              </w:rPr>
              <w:t>002938</w:t>
            </w:r>
          </w:p>
        </w:tc>
        <w:tc>
          <w:tcPr>
            <w:tcW w:w="1418" w:type="dxa"/>
            <w:vAlign w:val="center"/>
          </w:tcPr>
          <w:p w:rsidR="00AA2E16" w:rsidRDefault="00EC3CD4">
            <w:pPr>
              <w:jc w:val="center"/>
            </w:pPr>
            <w:r>
              <w:rPr>
                <w:color w:val="000000"/>
                <w:kern w:val="0"/>
                <w:sz w:val="24"/>
                <w:szCs w:val="24"/>
              </w:rPr>
              <w:t>鹏鼎控股</w:t>
            </w:r>
          </w:p>
        </w:tc>
        <w:tc>
          <w:tcPr>
            <w:tcW w:w="1701" w:type="dxa"/>
            <w:vAlign w:val="center"/>
          </w:tcPr>
          <w:p w:rsidR="00AA2E16" w:rsidRDefault="00EC3CD4">
            <w:pPr>
              <w:jc w:val="right"/>
            </w:pPr>
            <w:r>
              <w:rPr>
                <w:color w:val="000000"/>
                <w:kern w:val="0"/>
                <w:sz w:val="24"/>
                <w:szCs w:val="24"/>
              </w:rPr>
              <w:t>516,800</w:t>
            </w:r>
          </w:p>
        </w:tc>
        <w:tc>
          <w:tcPr>
            <w:tcW w:w="1984" w:type="dxa"/>
            <w:vAlign w:val="center"/>
          </w:tcPr>
          <w:p w:rsidR="00AA2E16" w:rsidRDefault="00EC3CD4">
            <w:pPr>
              <w:jc w:val="right"/>
            </w:pPr>
            <w:r>
              <w:rPr>
                <w:color w:val="000000"/>
                <w:kern w:val="0"/>
                <w:sz w:val="24"/>
                <w:szCs w:val="24"/>
              </w:rPr>
              <w:t>25,871,008.00</w:t>
            </w:r>
          </w:p>
        </w:tc>
        <w:tc>
          <w:tcPr>
            <w:tcW w:w="1559" w:type="dxa"/>
            <w:vAlign w:val="center"/>
          </w:tcPr>
          <w:p w:rsidR="00AA2E16" w:rsidRDefault="00EC3CD4">
            <w:pPr>
              <w:jc w:val="right"/>
            </w:pPr>
            <w:r>
              <w:rPr>
                <w:color w:val="000000"/>
                <w:kern w:val="0"/>
                <w:sz w:val="24"/>
                <w:szCs w:val="24"/>
              </w:rPr>
              <w:t>1.88</w:t>
            </w:r>
          </w:p>
        </w:tc>
      </w:tr>
      <w:tr w:rsidR="00AA2E16">
        <w:tc>
          <w:tcPr>
            <w:tcW w:w="851" w:type="dxa"/>
            <w:vAlign w:val="center"/>
          </w:tcPr>
          <w:p w:rsidR="00AA2E16" w:rsidRDefault="00EC3CD4">
            <w:pPr>
              <w:jc w:val="center"/>
            </w:pPr>
            <w:r>
              <w:rPr>
                <w:color w:val="000000"/>
                <w:kern w:val="0"/>
                <w:sz w:val="24"/>
                <w:szCs w:val="24"/>
              </w:rPr>
              <w:t>9</w:t>
            </w:r>
          </w:p>
        </w:tc>
        <w:tc>
          <w:tcPr>
            <w:tcW w:w="1276" w:type="dxa"/>
            <w:vAlign w:val="center"/>
          </w:tcPr>
          <w:p w:rsidR="00AA2E16" w:rsidRDefault="00EC3CD4">
            <w:pPr>
              <w:jc w:val="center"/>
            </w:pPr>
            <w:r>
              <w:rPr>
                <w:color w:val="000000"/>
                <w:kern w:val="0"/>
                <w:sz w:val="24"/>
                <w:szCs w:val="24"/>
              </w:rPr>
              <w:t>601877</w:t>
            </w:r>
          </w:p>
        </w:tc>
        <w:tc>
          <w:tcPr>
            <w:tcW w:w="1418" w:type="dxa"/>
            <w:vAlign w:val="center"/>
          </w:tcPr>
          <w:p w:rsidR="00AA2E16" w:rsidRDefault="00EC3CD4">
            <w:pPr>
              <w:jc w:val="center"/>
            </w:pPr>
            <w:r>
              <w:rPr>
                <w:color w:val="000000"/>
                <w:kern w:val="0"/>
                <w:sz w:val="24"/>
                <w:szCs w:val="24"/>
              </w:rPr>
              <w:t>正泰电器</w:t>
            </w:r>
          </w:p>
        </w:tc>
        <w:tc>
          <w:tcPr>
            <w:tcW w:w="1701" w:type="dxa"/>
            <w:vAlign w:val="center"/>
          </w:tcPr>
          <w:p w:rsidR="00AA2E16" w:rsidRDefault="00EC3CD4">
            <w:pPr>
              <w:jc w:val="right"/>
            </w:pPr>
            <w:r>
              <w:rPr>
                <w:color w:val="000000"/>
                <w:kern w:val="0"/>
                <w:sz w:val="24"/>
                <w:szCs w:val="24"/>
              </w:rPr>
              <w:t>975,800</w:t>
            </w:r>
          </w:p>
        </w:tc>
        <w:tc>
          <w:tcPr>
            <w:tcW w:w="1984" w:type="dxa"/>
            <w:vAlign w:val="center"/>
          </w:tcPr>
          <w:p w:rsidR="00AA2E16" w:rsidRDefault="00EC3CD4">
            <w:pPr>
              <w:jc w:val="right"/>
            </w:pPr>
            <w:r>
              <w:rPr>
                <w:color w:val="000000"/>
                <w:kern w:val="0"/>
                <w:sz w:val="24"/>
                <w:szCs w:val="24"/>
              </w:rPr>
              <w:t>25,712,330.00</w:t>
            </w:r>
          </w:p>
        </w:tc>
        <w:tc>
          <w:tcPr>
            <w:tcW w:w="1559" w:type="dxa"/>
            <w:vAlign w:val="center"/>
          </w:tcPr>
          <w:p w:rsidR="00AA2E16" w:rsidRDefault="00EC3CD4">
            <w:pPr>
              <w:jc w:val="right"/>
            </w:pPr>
            <w:r>
              <w:rPr>
                <w:color w:val="000000"/>
                <w:kern w:val="0"/>
                <w:sz w:val="24"/>
                <w:szCs w:val="24"/>
              </w:rPr>
              <w:t>1.87</w:t>
            </w:r>
          </w:p>
        </w:tc>
      </w:tr>
      <w:tr w:rsidR="00AA2E16">
        <w:tc>
          <w:tcPr>
            <w:tcW w:w="851" w:type="dxa"/>
            <w:vAlign w:val="center"/>
          </w:tcPr>
          <w:p w:rsidR="00AA2E16" w:rsidRDefault="00EC3CD4">
            <w:pPr>
              <w:jc w:val="center"/>
            </w:pPr>
            <w:r>
              <w:rPr>
                <w:color w:val="000000"/>
                <w:kern w:val="0"/>
                <w:sz w:val="24"/>
                <w:szCs w:val="24"/>
              </w:rPr>
              <w:t>10</w:t>
            </w:r>
          </w:p>
        </w:tc>
        <w:tc>
          <w:tcPr>
            <w:tcW w:w="1276" w:type="dxa"/>
            <w:vAlign w:val="center"/>
          </w:tcPr>
          <w:p w:rsidR="00AA2E16" w:rsidRDefault="00EC3CD4">
            <w:pPr>
              <w:jc w:val="center"/>
            </w:pPr>
            <w:r>
              <w:rPr>
                <w:color w:val="000000"/>
                <w:kern w:val="0"/>
                <w:sz w:val="24"/>
                <w:szCs w:val="24"/>
              </w:rPr>
              <w:t>600933</w:t>
            </w:r>
          </w:p>
        </w:tc>
        <w:tc>
          <w:tcPr>
            <w:tcW w:w="1418" w:type="dxa"/>
            <w:vAlign w:val="center"/>
          </w:tcPr>
          <w:p w:rsidR="00AA2E16" w:rsidRDefault="00EC3CD4">
            <w:pPr>
              <w:jc w:val="center"/>
            </w:pPr>
            <w:r>
              <w:rPr>
                <w:color w:val="000000"/>
                <w:kern w:val="0"/>
                <w:sz w:val="24"/>
                <w:szCs w:val="24"/>
              </w:rPr>
              <w:t>爱柯迪</w:t>
            </w:r>
          </w:p>
        </w:tc>
        <w:tc>
          <w:tcPr>
            <w:tcW w:w="1701" w:type="dxa"/>
            <w:vAlign w:val="center"/>
          </w:tcPr>
          <w:p w:rsidR="00AA2E16" w:rsidRDefault="00EC3CD4">
            <w:pPr>
              <w:jc w:val="right"/>
            </w:pPr>
            <w:r>
              <w:rPr>
                <w:color w:val="000000"/>
                <w:kern w:val="0"/>
                <w:sz w:val="24"/>
                <w:szCs w:val="24"/>
              </w:rPr>
              <w:t>1,711,800</w:t>
            </w:r>
          </w:p>
        </w:tc>
        <w:tc>
          <w:tcPr>
            <w:tcW w:w="1984" w:type="dxa"/>
            <w:vAlign w:val="center"/>
          </w:tcPr>
          <w:p w:rsidR="00AA2E16" w:rsidRDefault="00EC3CD4">
            <w:pPr>
              <w:jc w:val="right"/>
            </w:pPr>
            <w:r>
              <w:rPr>
                <w:color w:val="000000"/>
                <w:kern w:val="0"/>
                <w:sz w:val="24"/>
                <w:szCs w:val="24"/>
              </w:rPr>
              <w:t>23,828,256.00</w:t>
            </w:r>
          </w:p>
        </w:tc>
        <w:tc>
          <w:tcPr>
            <w:tcW w:w="1559" w:type="dxa"/>
            <w:vAlign w:val="center"/>
          </w:tcPr>
          <w:p w:rsidR="00AA2E16" w:rsidRDefault="00EC3CD4">
            <w:pPr>
              <w:jc w:val="right"/>
            </w:pPr>
            <w:r>
              <w:rPr>
                <w:color w:val="000000"/>
                <w:kern w:val="0"/>
                <w:sz w:val="24"/>
                <w:szCs w:val="24"/>
              </w:rPr>
              <w:t>1.73</w:t>
            </w:r>
          </w:p>
        </w:tc>
      </w:tr>
    </w:tbl>
    <w:p w:rsidR="00CA4677" w:rsidRPr="00283CAD" w:rsidRDefault="00750D48" w:rsidP="00CA4677">
      <w:pPr>
        <w:autoSpaceDE w:val="0"/>
        <w:autoSpaceDN w:val="0"/>
        <w:adjustRightInd w:val="0"/>
        <w:spacing w:line="360" w:lineRule="auto"/>
        <w:jc w:val="left"/>
        <w:rPr>
          <w:rFonts w:eastAsiaTheme="minorEastAsia"/>
          <w:b/>
          <w:bCs/>
          <w:color w:val="000000" w:themeColor="text1"/>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w="8755" w:type="dxa"/>
        <w:jc w:val="center"/>
        <w:tblLayout w:type="fixed"/>
        <w:tblLook w:val="04A0" w:firstRow="1" w:lastRow="0" w:firstColumn="1" w:lastColumn="0" w:noHBand="0" w:noVBand="1"/>
      </w:tblPr>
      <w:tblGrid>
        <w:gridCol w:w="817"/>
        <w:gridCol w:w="3260"/>
        <w:gridCol w:w="2949"/>
        <w:gridCol w:w="1729"/>
      </w:tblGrid>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序号</w:t>
            </w:r>
          </w:p>
        </w:tc>
        <w:tc>
          <w:tcPr>
            <w:tcW w:w="3260"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债券品种</w:t>
            </w:r>
          </w:p>
        </w:tc>
        <w:tc>
          <w:tcPr>
            <w:tcW w:w="2949"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公允价值</w:t>
            </w:r>
            <w:r w:rsidRPr="00283CAD">
              <w:rPr>
                <w:rFonts w:eastAsiaTheme="minorEastAsia"/>
                <w:color w:val="000000" w:themeColor="text1"/>
                <w:sz w:val="24"/>
                <w:szCs w:val="24"/>
              </w:rPr>
              <w:t>(</w:t>
            </w:r>
            <w:r w:rsidRPr="00283CAD">
              <w:rPr>
                <w:rFonts w:eastAsiaTheme="minorEastAsia"/>
                <w:color w:val="000000" w:themeColor="text1"/>
                <w:sz w:val="24"/>
                <w:szCs w:val="24"/>
              </w:rPr>
              <w:t>元</w:t>
            </w: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占基金资产净值比例</w:t>
            </w:r>
            <w:r w:rsidRPr="00283CAD">
              <w:rPr>
                <w:rFonts w:eastAsiaTheme="minorEastAsia"/>
                <w:color w:val="000000" w:themeColor="text1"/>
                <w:sz w:val="24"/>
                <w:szCs w:val="24"/>
              </w:rPr>
              <w:t>(</w:t>
            </w:r>
            <w:r w:rsidRPr="00283CAD">
              <w:rPr>
                <w:rFonts w:eastAsiaTheme="minorEastAsia"/>
                <w:color w:val="000000" w:themeColor="text1"/>
                <w:sz w:val="24"/>
                <w:szCs w:val="24"/>
              </w:rPr>
              <w:t>％</w:t>
            </w: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1</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国家债券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29,094,000.00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2.11</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2</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央行票据</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3</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金融债券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70,595,000.00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5.12</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其中：政策性金融债</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70,595,000.00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5.12</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4</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企业债券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668,765,397.00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48.51</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5</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企业短期融资券</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6</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中期票据</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414,630,800.00</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30.08</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7</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可转债</w:t>
            </w:r>
            <w:r w:rsidR="004B5343" w:rsidRPr="004B5343">
              <w:rPr>
                <w:rFonts w:eastAsiaTheme="minorEastAsia" w:hint="eastAsia"/>
                <w:color w:val="000000" w:themeColor="text1"/>
                <w:sz w:val="24"/>
                <w:szCs w:val="24"/>
              </w:rPr>
              <w:t>（可交换债）</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96,382,964.36</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6.99</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8</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同业存单</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9</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其他</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w:t>
            </w:r>
          </w:p>
        </w:tc>
      </w:tr>
      <w:tr w:rsidR="00CA4677" w:rsidRPr="00283CAD" w:rsidTr="003328D9">
        <w:trPr>
          <w:jc w:val="center"/>
        </w:trPr>
        <w:tc>
          <w:tcPr>
            <w:tcW w:w="817" w:type="dxa"/>
            <w:vAlign w:val="center"/>
          </w:tcPr>
          <w:p w:rsidR="00CA4677" w:rsidRPr="00283CAD" w:rsidRDefault="00CA4677" w:rsidP="003328D9">
            <w:pPr>
              <w:spacing w:before="29" w:line="360" w:lineRule="auto"/>
              <w:ind w:left="17"/>
              <w:jc w:val="center"/>
              <w:rPr>
                <w:rFonts w:eastAsiaTheme="minorEastAsia"/>
                <w:color w:val="000000" w:themeColor="text1"/>
                <w:sz w:val="24"/>
                <w:szCs w:val="24"/>
              </w:rPr>
            </w:pPr>
            <w:r w:rsidRPr="00283CAD">
              <w:rPr>
                <w:rFonts w:eastAsiaTheme="minorEastAsia"/>
                <w:color w:val="000000" w:themeColor="text1"/>
                <w:sz w:val="24"/>
                <w:szCs w:val="24"/>
              </w:rPr>
              <w:t>10</w:t>
            </w:r>
          </w:p>
        </w:tc>
        <w:tc>
          <w:tcPr>
            <w:tcW w:w="3260" w:type="dxa"/>
            <w:vAlign w:val="center"/>
          </w:tcPr>
          <w:p w:rsidR="00CA4677" w:rsidRPr="00283CAD" w:rsidRDefault="00CA4677" w:rsidP="003328D9">
            <w:pPr>
              <w:spacing w:before="29" w:line="360" w:lineRule="auto"/>
              <w:ind w:left="17"/>
              <w:jc w:val="left"/>
              <w:rPr>
                <w:rFonts w:eastAsiaTheme="minorEastAsia"/>
                <w:color w:val="000000" w:themeColor="text1"/>
                <w:sz w:val="24"/>
                <w:szCs w:val="24"/>
              </w:rPr>
            </w:pPr>
            <w:r w:rsidRPr="00283CAD">
              <w:rPr>
                <w:rFonts w:eastAsiaTheme="minorEastAsia"/>
                <w:color w:val="000000" w:themeColor="text1"/>
                <w:sz w:val="24"/>
                <w:szCs w:val="24"/>
              </w:rPr>
              <w:t>合计</w:t>
            </w:r>
          </w:p>
        </w:tc>
        <w:tc>
          <w:tcPr>
            <w:tcW w:w="294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1,279,468,161.36</w:t>
            </w:r>
          </w:p>
        </w:tc>
        <w:tc>
          <w:tcPr>
            <w:tcW w:w="1729" w:type="dxa"/>
            <w:vAlign w:val="center"/>
          </w:tcPr>
          <w:p w:rsidR="00CA4677" w:rsidRPr="00283CAD" w:rsidRDefault="00CA4677" w:rsidP="003328D9">
            <w:pPr>
              <w:spacing w:before="29" w:line="360" w:lineRule="auto"/>
              <w:ind w:left="17"/>
              <w:jc w:val="right"/>
              <w:rPr>
                <w:rFonts w:eastAsiaTheme="minorEastAsia"/>
                <w:color w:val="000000" w:themeColor="text1"/>
                <w:sz w:val="24"/>
                <w:szCs w:val="24"/>
              </w:rPr>
            </w:pPr>
            <w:r w:rsidRPr="00283CAD">
              <w:rPr>
                <w:rFonts w:eastAsiaTheme="minorEastAsia"/>
                <w:color w:val="000000" w:themeColor="text1"/>
                <w:sz w:val="24"/>
                <w:szCs w:val="24"/>
              </w:rPr>
              <w:t>92.82</w:t>
            </w:r>
          </w:p>
        </w:tc>
      </w:tr>
    </w:tbl>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1276"/>
        <w:gridCol w:w="1275"/>
        <w:gridCol w:w="1560"/>
        <w:gridCol w:w="1984"/>
        <w:gridCol w:w="1474"/>
      </w:tblGrid>
      <w:tr w:rsidR="00750D48" w:rsidRPr="00264E55" w:rsidTr="005602F3">
        <w:tc>
          <w:tcPr>
            <w:tcW w:w="959"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序号</w:t>
            </w:r>
          </w:p>
        </w:tc>
        <w:tc>
          <w:tcPr>
            <w:tcW w:w="1276"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债券代码</w:t>
            </w:r>
          </w:p>
        </w:tc>
        <w:tc>
          <w:tcPr>
            <w:tcW w:w="1275"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债券名称</w:t>
            </w:r>
          </w:p>
        </w:tc>
        <w:tc>
          <w:tcPr>
            <w:tcW w:w="1560"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w="1984"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w="1474"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rsidR="00AA2E16">
        <w:tc>
          <w:tcPr>
            <w:tcW w:w="959" w:type="dxa"/>
            <w:vAlign w:val="center"/>
          </w:tcPr>
          <w:p w:rsidR="00AA2E16" w:rsidRDefault="00EC3CD4">
            <w:pPr>
              <w:jc w:val="center"/>
            </w:pPr>
            <w:r>
              <w:rPr>
                <w:color w:val="000000"/>
                <w:kern w:val="0"/>
                <w:sz w:val="24"/>
                <w:szCs w:val="24"/>
              </w:rPr>
              <w:t>1</w:t>
            </w:r>
          </w:p>
        </w:tc>
        <w:tc>
          <w:tcPr>
            <w:tcW w:w="1276" w:type="dxa"/>
            <w:vAlign w:val="center"/>
          </w:tcPr>
          <w:p w:rsidR="00AA2E16" w:rsidRDefault="00EC3CD4">
            <w:pPr>
              <w:jc w:val="center"/>
            </w:pPr>
            <w:r>
              <w:rPr>
                <w:color w:val="000000"/>
                <w:kern w:val="0"/>
                <w:sz w:val="24"/>
                <w:szCs w:val="24"/>
              </w:rPr>
              <w:t>155869</w:t>
            </w:r>
          </w:p>
        </w:tc>
        <w:tc>
          <w:tcPr>
            <w:tcW w:w="1275" w:type="dxa"/>
            <w:vAlign w:val="center"/>
          </w:tcPr>
          <w:p w:rsidR="00AA2E16" w:rsidRDefault="00EC3CD4">
            <w:pPr>
              <w:jc w:val="center"/>
            </w:pPr>
            <w:r>
              <w:rPr>
                <w:color w:val="000000"/>
                <w:kern w:val="0"/>
                <w:sz w:val="24"/>
                <w:szCs w:val="24"/>
              </w:rPr>
              <w:t>19</w:t>
            </w:r>
            <w:r>
              <w:rPr>
                <w:color w:val="000000"/>
                <w:kern w:val="0"/>
                <w:sz w:val="24"/>
                <w:szCs w:val="24"/>
              </w:rPr>
              <w:t>铁建</w:t>
            </w:r>
            <w:r>
              <w:rPr>
                <w:color w:val="000000"/>
                <w:kern w:val="0"/>
                <w:sz w:val="24"/>
                <w:szCs w:val="24"/>
              </w:rPr>
              <w:t>Y2</w:t>
            </w:r>
          </w:p>
        </w:tc>
        <w:tc>
          <w:tcPr>
            <w:tcW w:w="1560" w:type="dxa"/>
            <w:vAlign w:val="center"/>
          </w:tcPr>
          <w:p w:rsidR="00AA2E16" w:rsidRDefault="00EC3CD4">
            <w:pPr>
              <w:jc w:val="right"/>
            </w:pPr>
            <w:r>
              <w:rPr>
                <w:color w:val="000000"/>
                <w:kern w:val="0"/>
                <w:sz w:val="24"/>
                <w:szCs w:val="24"/>
              </w:rPr>
              <w:t>500,000</w:t>
            </w:r>
          </w:p>
        </w:tc>
        <w:tc>
          <w:tcPr>
            <w:tcW w:w="1984" w:type="dxa"/>
            <w:vAlign w:val="center"/>
          </w:tcPr>
          <w:p w:rsidR="00AA2E16" w:rsidRDefault="00EC3CD4">
            <w:pPr>
              <w:jc w:val="right"/>
            </w:pPr>
            <w:r>
              <w:rPr>
                <w:color w:val="000000"/>
                <w:kern w:val="0"/>
                <w:sz w:val="24"/>
                <w:szCs w:val="24"/>
              </w:rPr>
              <w:t>50,410,000.00</w:t>
            </w:r>
          </w:p>
        </w:tc>
        <w:tc>
          <w:tcPr>
            <w:tcW w:w="1474" w:type="dxa"/>
            <w:vAlign w:val="center"/>
          </w:tcPr>
          <w:p w:rsidR="00AA2E16" w:rsidRDefault="00EC3CD4">
            <w:pPr>
              <w:jc w:val="right"/>
            </w:pPr>
            <w:r>
              <w:rPr>
                <w:color w:val="000000"/>
                <w:kern w:val="0"/>
                <w:sz w:val="24"/>
                <w:szCs w:val="24"/>
              </w:rPr>
              <w:t>3.66</w:t>
            </w:r>
          </w:p>
        </w:tc>
      </w:tr>
      <w:tr w:rsidR="00AA2E16">
        <w:tc>
          <w:tcPr>
            <w:tcW w:w="959" w:type="dxa"/>
            <w:vAlign w:val="center"/>
          </w:tcPr>
          <w:p w:rsidR="00AA2E16" w:rsidRDefault="00EC3CD4">
            <w:pPr>
              <w:jc w:val="center"/>
            </w:pPr>
            <w:r>
              <w:rPr>
                <w:color w:val="000000"/>
                <w:kern w:val="0"/>
                <w:sz w:val="24"/>
                <w:szCs w:val="24"/>
              </w:rPr>
              <w:t>2</w:t>
            </w:r>
          </w:p>
        </w:tc>
        <w:tc>
          <w:tcPr>
            <w:tcW w:w="1276" w:type="dxa"/>
            <w:vAlign w:val="center"/>
          </w:tcPr>
          <w:p w:rsidR="00AA2E16" w:rsidRDefault="00EC3CD4">
            <w:pPr>
              <w:jc w:val="center"/>
            </w:pPr>
            <w:r>
              <w:rPr>
                <w:color w:val="000000"/>
                <w:kern w:val="0"/>
                <w:sz w:val="24"/>
                <w:szCs w:val="24"/>
              </w:rPr>
              <w:t>101900888</w:t>
            </w:r>
          </w:p>
        </w:tc>
        <w:tc>
          <w:tcPr>
            <w:tcW w:w="1275" w:type="dxa"/>
            <w:vAlign w:val="center"/>
          </w:tcPr>
          <w:p w:rsidR="00AA2E16" w:rsidRDefault="00EC3CD4">
            <w:pPr>
              <w:jc w:val="center"/>
            </w:pPr>
            <w:r>
              <w:rPr>
                <w:color w:val="000000"/>
                <w:kern w:val="0"/>
                <w:sz w:val="24"/>
                <w:szCs w:val="24"/>
              </w:rPr>
              <w:t>19</w:t>
            </w:r>
            <w:r>
              <w:rPr>
                <w:color w:val="000000"/>
                <w:kern w:val="0"/>
                <w:sz w:val="24"/>
                <w:szCs w:val="24"/>
              </w:rPr>
              <w:t>鄂交投</w:t>
            </w:r>
            <w:r>
              <w:rPr>
                <w:color w:val="000000"/>
                <w:kern w:val="0"/>
                <w:sz w:val="24"/>
                <w:szCs w:val="24"/>
              </w:rPr>
              <w:t>MTN002</w:t>
            </w:r>
          </w:p>
        </w:tc>
        <w:tc>
          <w:tcPr>
            <w:tcW w:w="1560" w:type="dxa"/>
            <w:vAlign w:val="center"/>
          </w:tcPr>
          <w:p w:rsidR="00AA2E16" w:rsidRDefault="00EC3CD4">
            <w:pPr>
              <w:jc w:val="right"/>
            </w:pPr>
            <w:r>
              <w:rPr>
                <w:color w:val="000000"/>
                <w:kern w:val="0"/>
                <w:sz w:val="24"/>
                <w:szCs w:val="24"/>
              </w:rPr>
              <w:t>400,000</w:t>
            </w:r>
          </w:p>
        </w:tc>
        <w:tc>
          <w:tcPr>
            <w:tcW w:w="1984" w:type="dxa"/>
            <w:vAlign w:val="center"/>
          </w:tcPr>
          <w:p w:rsidR="00AA2E16" w:rsidRDefault="00EC3CD4">
            <w:pPr>
              <w:jc w:val="right"/>
            </w:pPr>
            <w:r>
              <w:rPr>
                <w:color w:val="000000"/>
                <w:kern w:val="0"/>
                <w:sz w:val="24"/>
                <w:szCs w:val="24"/>
              </w:rPr>
              <w:t>41,020,000.00</w:t>
            </w:r>
          </w:p>
        </w:tc>
        <w:tc>
          <w:tcPr>
            <w:tcW w:w="1474" w:type="dxa"/>
            <w:vAlign w:val="center"/>
          </w:tcPr>
          <w:p w:rsidR="00AA2E16" w:rsidRDefault="00EC3CD4">
            <w:pPr>
              <w:jc w:val="right"/>
            </w:pPr>
            <w:r>
              <w:rPr>
                <w:color w:val="000000"/>
                <w:kern w:val="0"/>
                <w:sz w:val="24"/>
                <w:szCs w:val="24"/>
              </w:rPr>
              <w:t>2.98</w:t>
            </w:r>
          </w:p>
        </w:tc>
      </w:tr>
      <w:tr w:rsidR="00AA2E16">
        <w:tc>
          <w:tcPr>
            <w:tcW w:w="959" w:type="dxa"/>
            <w:vAlign w:val="center"/>
          </w:tcPr>
          <w:p w:rsidR="00AA2E16" w:rsidRDefault="00EC3CD4">
            <w:pPr>
              <w:jc w:val="center"/>
            </w:pPr>
            <w:r>
              <w:rPr>
                <w:color w:val="000000"/>
                <w:kern w:val="0"/>
                <w:sz w:val="24"/>
                <w:szCs w:val="24"/>
              </w:rPr>
              <w:t>3</w:t>
            </w:r>
          </w:p>
        </w:tc>
        <w:tc>
          <w:tcPr>
            <w:tcW w:w="1276" w:type="dxa"/>
            <w:vAlign w:val="center"/>
          </w:tcPr>
          <w:p w:rsidR="00AA2E16" w:rsidRDefault="00EC3CD4">
            <w:pPr>
              <w:jc w:val="center"/>
            </w:pPr>
            <w:r>
              <w:rPr>
                <w:color w:val="000000"/>
                <w:kern w:val="0"/>
                <w:sz w:val="24"/>
                <w:szCs w:val="24"/>
              </w:rPr>
              <w:t>102000212</w:t>
            </w:r>
          </w:p>
        </w:tc>
        <w:tc>
          <w:tcPr>
            <w:tcW w:w="1275" w:type="dxa"/>
            <w:vAlign w:val="center"/>
          </w:tcPr>
          <w:p w:rsidR="00AA2E16" w:rsidRDefault="00EC3CD4">
            <w:pPr>
              <w:jc w:val="center"/>
            </w:pPr>
            <w:r>
              <w:rPr>
                <w:color w:val="000000"/>
                <w:kern w:val="0"/>
                <w:sz w:val="24"/>
                <w:szCs w:val="24"/>
              </w:rPr>
              <w:t>20</w:t>
            </w:r>
            <w:r>
              <w:rPr>
                <w:color w:val="000000"/>
                <w:kern w:val="0"/>
                <w:sz w:val="24"/>
                <w:szCs w:val="24"/>
              </w:rPr>
              <w:t>渝富</w:t>
            </w:r>
            <w:r>
              <w:rPr>
                <w:color w:val="000000"/>
                <w:kern w:val="0"/>
                <w:sz w:val="24"/>
                <w:szCs w:val="24"/>
              </w:rPr>
              <w:t>MTN001</w:t>
            </w:r>
          </w:p>
        </w:tc>
        <w:tc>
          <w:tcPr>
            <w:tcW w:w="1560" w:type="dxa"/>
            <w:vAlign w:val="center"/>
          </w:tcPr>
          <w:p w:rsidR="00AA2E16" w:rsidRDefault="00EC3CD4">
            <w:pPr>
              <w:jc w:val="right"/>
            </w:pPr>
            <w:r>
              <w:rPr>
                <w:color w:val="000000"/>
                <w:kern w:val="0"/>
                <w:sz w:val="24"/>
                <w:szCs w:val="24"/>
              </w:rPr>
              <w:t>400,000</w:t>
            </w:r>
          </w:p>
        </w:tc>
        <w:tc>
          <w:tcPr>
            <w:tcW w:w="1984" w:type="dxa"/>
            <w:vAlign w:val="center"/>
          </w:tcPr>
          <w:p w:rsidR="00AA2E16" w:rsidRDefault="00EC3CD4">
            <w:pPr>
              <w:jc w:val="right"/>
            </w:pPr>
            <w:r>
              <w:rPr>
                <w:color w:val="000000"/>
                <w:kern w:val="0"/>
                <w:sz w:val="24"/>
                <w:szCs w:val="24"/>
              </w:rPr>
              <w:t>39,612,000.00</w:t>
            </w:r>
          </w:p>
        </w:tc>
        <w:tc>
          <w:tcPr>
            <w:tcW w:w="1474" w:type="dxa"/>
            <w:vAlign w:val="center"/>
          </w:tcPr>
          <w:p w:rsidR="00AA2E16" w:rsidRDefault="00EC3CD4">
            <w:pPr>
              <w:jc w:val="right"/>
            </w:pPr>
            <w:r>
              <w:rPr>
                <w:color w:val="000000"/>
                <w:kern w:val="0"/>
                <w:sz w:val="24"/>
                <w:szCs w:val="24"/>
              </w:rPr>
              <w:t>2.87</w:t>
            </w:r>
          </w:p>
        </w:tc>
      </w:tr>
      <w:tr w:rsidR="00AA2E16">
        <w:tc>
          <w:tcPr>
            <w:tcW w:w="959" w:type="dxa"/>
            <w:vAlign w:val="center"/>
          </w:tcPr>
          <w:p w:rsidR="00AA2E16" w:rsidRDefault="00EC3CD4">
            <w:pPr>
              <w:jc w:val="center"/>
            </w:pPr>
            <w:r>
              <w:rPr>
                <w:color w:val="000000"/>
                <w:kern w:val="0"/>
                <w:sz w:val="24"/>
                <w:szCs w:val="24"/>
              </w:rPr>
              <w:t>4</w:t>
            </w:r>
          </w:p>
        </w:tc>
        <w:tc>
          <w:tcPr>
            <w:tcW w:w="1276" w:type="dxa"/>
            <w:vAlign w:val="center"/>
          </w:tcPr>
          <w:p w:rsidR="00AA2E16" w:rsidRDefault="00EC3CD4">
            <w:pPr>
              <w:jc w:val="center"/>
            </w:pPr>
            <w:r>
              <w:rPr>
                <w:color w:val="000000"/>
                <w:kern w:val="0"/>
                <w:sz w:val="24"/>
                <w:szCs w:val="24"/>
              </w:rPr>
              <w:t>102000225</w:t>
            </w:r>
          </w:p>
        </w:tc>
        <w:tc>
          <w:tcPr>
            <w:tcW w:w="1275" w:type="dxa"/>
            <w:vAlign w:val="center"/>
          </w:tcPr>
          <w:p w:rsidR="00AA2E16" w:rsidRDefault="00EC3CD4">
            <w:pPr>
              <w:jc w:val="center"/>
            </w:pPr>
            <w:r>
              <w:rPr>
                <w:color w:val="000000"/>
                <w:kern w:val="0"/>
                <w:sz w:val="24"/>
                <w:szCs w:val="24"/>
              </w:rPr>
              <w:t>20</w:t>
            </w:r>
            <w:r>
              <w:rPr>
                <w:color w:val="000000"/>
                <w:kern w:val="0"/>
                <w:sz w:val="24"/>
                <w:szCs w:val="24"/>
              </w:rPr>
              <w:t>北控水务</w:t>
            </w:r>
            <w:r>
              <w:rPr>
                <w:color w:val="000000"/>
                <w:kern w:val="0"/>
                <w:sz w:val="24"/>
                <w:szCs w:val="24"/>
              </w:rPr>
              <w:lastRenderedPageBreak/>
              <w:t>MTN001A</w:t>
            </w:r>
          </w:p>
        </w:tc>
        <w:tc>
          <w:tcPr>
            <w:tcW w:w="1560" w:type="dxa"/>
            <w:vAlign w:val="center"/>
          </w:tcPr>
          <w:p w:rsidR="00AA2E16" w:rsidRDefault="00EC3CD4">
            <w:pPr>
              <w:jc w:val="right"/>
            </w:pPr>
            <w:r>
              <w:rPr>
                <w:color w:val="000000"/>
                <w:kern w:val="0"/>
                <w:sz w:val="24"/>
                <w:szCs w:val="24"/>
              </w:rPr>
              <w:lastRenderedPageBreak/>
              <w:t>400,000</w:t>
            </w:r>
          </w:p>
        </w:tc>
        <w:tc>
          <w:tcPr>
            <w:tcW w:w="1984" w:type="dxa"/>
            <w:vAlign w:val="center"/>
          </w:tcPr>
          <w:p w:rsidR="00AA2E16" w:rsidRDefault="00EC3CD4">
            <w:pPr>
              <w:jc w:val="right"/>
            </w:pPr>
            <w:r>
              <w:rPr>
                <w:color w:val="000000"/>
                <w:kern w:val="0"/>
                <w:sz w:val="24"/>
                <w:szCs w:val="24"/>
              </w:rPr>
              <w:t>39,320,000.00</w:t>
            </w:r>
          </w:p>
        </w:tc>
        <w:tc>
          <w:tcPr>
            <w:tcW w:w="1474" w:type="dxa"/>
            <w:vAlign w:val="center"/>
          </w:tcPr>
          <w:p w:rsidR="00AA2E16" w:rsidRDefault="00EC3CD4">
            <w:pPr>
              <w:jc w:val="right"/>
            </w:pPr>
            <w:r>
              <w:rPr>
                <w:color w:val="000000"/>
                <w:kern w:val="0"/>
                <w:sz w:val="24"/>
                <w:szCs w:val="24"/>
              </w:rPr>
              <w:t>2.85</w:t>
            </w:r>
          </w:p>
        </w:tc>
      </w:tr>
      <w:tr w:rsidR="00AA2E16">
        <w:tc>
          <w:tcPr>
            <w:tcW w:w="959" w:type="dxa"/>
            <w:vAlign w:val="center"/>
          </w:tcPr>
          <w:p w:rsidR="00AA2E16" w:rsidRDefault="00EC3CD4">
            <w:pPr>
              <w:jc w:val="center"/>
            </w:pPr>
            <w:r>
              <w:rPr>
                <w:color w:val="000000"/>
                <w:kern w:val="0"/>
                <w:sz w:val="24"/>
                <w:szCs w:val="24"/>
              </w:rPr>
              <w:t>5</w:t>
            </w:r>
          </w:p>
        </w:tc>
        <w:tc>
          <w:tcPr>
            <w:tcW w:w="1276" w:type="dxa"/>
            <w:vAlign w:val="center"/>
          </w:tcPr>
          <w:p w:rsidR="00AA2E16" w:rsidRDefault="00EC3CD4">
            <w:pPr>
              <w:jc w:val="center"/>
            </w:pPr>
            <w:r>
              <w:rPr>
                <w:color w:val="000000"/>
                <w:kern w:val="0"/>
                <w:sz w:val="24"/>
                <w:szCs w:val="24"/>
              </w:rPr>
              <w:t>149124</w:t>
            </w:r>
          </w:p>
        </w:tc>
        <w:tc>
          <w:tcPr>
            <w:tcW w:w="1275" w:type="dxa"/>
            <w:vAlign w:val="center"/>
          </w:tcPr>
          <w:p w:rsidR="00AA2E16" w:rsidRDefault="00EC3CD4">
            <w:pPr>
              <w:jc w:val="center"/>
            </w:pPr>
            <w:r>
              <w:rPr>
                <w:color w:val="000000"/>
                <w:kern w:val="0"/>
                <w:sz w:val="24"/>
                <w:szCs w:val="24"/>
              </w:rPr>
              <w:t>20</w:t>
            </w:r>
            <w:r>
              <w:rPr>
                <w:color w:val="000000"/>
                <w:kern w:val="0"/>
                <w:sz w:val="24"/>
                <w:szCs w:val="24"/>
              </w:rPr>
              <w:t>万科</w:t>
            </w:r>
            <w:r>
              <w:rPr>
                <w:color w:val="000000"/>
                <w:kern w:val="0"/>
                <w:sz w:val="24"/>
                <w:szCs w:val="24"/>
              </w:rPr>
              <w:t>04</w:t>
            </w:r>
          </w:p>
        </w:tc>
        <w:tc>
          <w:tcPr>
            <w:tcW w:w="1560" w:type="dxa"/>
            <w:vAlign w:val="center"/>
          </w:tcPr>
          <w:p w:rsidR="00AA2E16" w:rsidRDefault="00EC3CD4">
            <w:pPr>
              <w:jc w:val="right"/>
            </w:pPr>
            <w:r>
              <w:rPr>
                <w:color w:val="000000"/>
                <w:kern w:val="0"/>
                <w:sz w:val="24"/>
                <w:szCs w:val="24"/>
              </w:rPr>
              <w:t>400,000</w:t>
            </w:r>
          </w:p>
        </w:tc>
        <w:tc>
          <w:tcPr>
            <w:tcW w:w="1984" w:type="dxa"/>
            <w:vAlign w:val="center"/>
          </w:tcPr>
          <w:p w:rsidR="00AA2E16" w:rsidRDefault="00EC3CD4">
            <w:pPr>
              <w:jc w:val="right"/>
            </w:pPr>
            <w:r>
              <w:rPr>
                <w:color w:val="000000"/>
                <w:kern w:val="0"/>
                <w:sz w:val="24"/>
                <w:szCs w:val="24"/>
              </w:rPr>
              <w:t>39,240,000.00</w:t>
            </w:r>
          </w:p>
        </w:tc>
        <w:tc>
          <w:tcPr>
            <w:tcW w:w="1474" w:type="dxa"/>
            <w:vAlign w:val="center"/>
          </w:tcPr>
          <w:p w:rsidR="00AA2E16" w:rsidRDefault="00EC3CD4">
            <w:pPr>
              <w:jc w:val="right"/>
            </w:pPr>
            <w:r>
              <w:rPr>
                <w:color w:val="000000"/>
                <w:kern w:val="0"/>
                <w:sz w:val="24"/>
                <w:szCs w:val="24"/>
              </w:rPr>
              <w:t>2.85</w:t>
            </w:r>
          </w:p>
        </w:tc>
      </w:tr>
    </w:tbl>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1276"/>
        <w:gridCol w:w="1275"/>
        <w:gridCol w:w="1802"/>
        <w:gridCol w:w="1742"/>
        <w:gridCol w:w="1474"/>
      </w:tblGrid>
      <w:tr w:rsidR="00750D48" w:rsidRPr="00264E55" w:rsidTr="005602F3">
        <w:tc>
          <w:tcPr>
            <w:tcW w:w="959"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序号</w:t>
            </w:r>
          </w:p>
        </w:tc>
        <w:tc>
          <w:tcPr>
            <w:tcW w:w="1276"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证券代码</w:t>
            </w:r>
          </w:p>
        </w:tc>
        <w:tc>
          <w:tcPr>
            <w:tcW w:w="1275" w:type="dxa"/>
            <w:vAlign w:val="center"/>
          </w:tcPr>
          <w:p w:rsidR="00750D48" w:rsidRPr="00232B03" w:rsidRDefault="00750D48" w:rsidP="00B05049">
            <w:pPr>
              <w:spacing w:before="29" w:line="360" w:lineRule="auto"/>
              <w:ind w:left="17"/>
              <w:jc w:val="center"/>
              <w:rPr>
                <w:color w:val="000000"/>
                <w:kern w:val="0"/>
                <w:sz w:val="24"/>
                <w:szCs w:val="24"/>
              </w:rPr>
            </w:pPr>
            <w:r w:rsidRPr="00232B03">
              <w:rPr>
                <w:color w:val="000000"/>
                <w:kern w:val="0"/>
                <w:sz w:val="24"/>
                <w:szCs w:val="24"/>
              </w:rPr>
              <w:t>证券名称</w:t>
            </w:r>
          </w:p>
        </w:tc>
        <w:tc>
          <w:tcPr>
            <w:tcW w:w="1802"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（份）</w:t>
            </w:r>
          </w:p>
        </w:tc>
        <w:tc>
          <w:tcPr>
            <w:tcW w:w="1742"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w="1474" w:type="dxa"/>
            <w:vAlign w:val="center"/>
          </w:tcPr>
          <w:p w:rsidR="00750D48" w:rsidRPr="00232B03" w:rsidRDefault="00750D48" w:rsidP="005F7917">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rsidR="00AA2E16">
        <w:tc>
          <w:tcPr>
            <w:tcW w:w="959" w:type="dxa"/>
            <w:vAlign w:val="center"/>
          </w:tcPr>
          <w:p w:rsidR="00AA2E16" w:rsidRDefault="00EC3CD4">
            <w:pPr>
              <w:jc w:val="center"/>
            </w:pPr>
            <w:r>
              <w:rPr>
                <w:color w:val="000000"/>
                <w:kern w:val="0"/>
                <w:sz w:val="24"/>
                <w:szCs w:val="24"/>
              </w:rPr>
              <w:t>1</w:t>
            </w:r>
          </w:p>
        </w:tc>
        <w:tc>
          <w:tcPr>
            <w:tcW w:w="1276" w:type="dxa"/>
            <w:vAlign w:val="center"/>
          </w:tcPr>
          <w:p w:rsidR="00AA2E16" w:rsidRDefault="00EC3CD4">
            <w:pPr>
              <w:jc w:val="center"/>
            </w:pPr>
            <w:r>
              <w:rPr>
                <w:color w:val="000000"/>
                <w:kern w:val="0"/>
                <w:sz w:val="24"/>
                <w:szCs w:val="24"/>
              </w:rPr>
              <w:t>138473</w:t>
            </w:r>
          </w:p>
        </w:tc>
        <w:tc>
          <w:tcPr>
            <w:tcW w:w="1275" w:type="dxa"/>
            <w:vAlign w:val="center"/>
          </w:tcPr>
          <w:p w:rsidR="00AA2E16" w:rsidRDefault="00EC3CD4">
            <w:pPr>
              <w:jc w:val="center"/>
            </w:pPr>
            <w:r>
              <w:rPr>
                <w:color w:val="000000"/>
                <w:kern w:val="0"/>
                <w:sz w:val="24"/>
                <w:szCs w:val="24"/>
              </w:rPr>
              <w:t>南链优</w:t>
            </w:r>
            <w:r>
              <w:rPr>
                <w:color w:val="000000"/>
                <w:kern w:val="0"/>
                <w:sz w:val="24"/>
                <w:szCs w:val="24"/>
              </w:rPr>
              <w:t>05</w:t>
            </w:r>
          </w:p>
        </w:tc>
        <w:tc>
          <w:tcPr>
            <w:tcW w:w="1802" w:type="dxa"/>
            <w:vAlign w:val="center"/>
          </w:tcPr>
          <w:p w:rsidR="00AA2E16" w:rsidRDefault="00EC3CD4">
            <w:pPr>
              <w:jc w:val="right"/>
            </w:pPr>
            <w:r>
              <w:rPr>
                <w:color w:val="000000"/>
                <w:kern w:val="0"/>
                <w:sz w:val="24"/>
                <w:szCs w:val="24"/>
              </w:rPr>
              <w:t>60,000</w:t>
            </w:r>
          </w:p>
        </w:tc>
        <w:tc>
          <w:tcPr>
            <w:tcW w:w="1742" w:type="dxa"/>
            <w:vAlign w:val="center"/>
          </w:tcPr>
          <w:p w:rsidR="00AA2E16" w:rsidRDefault="00EC3CD4">
            <w:pPr>
              <w:jc w:val="right"/>
            </w:pPr>
            <w:r>
              <w:rPr>
                <w:color w:val="000000"/>
                <w:kern w:val="0"/>
                <w:sz w:val="24"/>
                <w:szCs w:val="24"/>
              </w:rPr>
              <w:t>6,010,800.00</w:t>
            </w:r>
          </w:p>
        </w:tc>
        <w:tc>
          <w:tcPr>
            <w:tcW w:w="1474" w:type="dxa"/>
            <w:vAlign w:val="center"/>
          </w:tcPr>
          <w:p w:rsidR="00AA2E16" w:rsidRDefault="00EC3CD4">
            <w:pPr>
              <w:jc w:val="right"/>
            </w:pPr>
            <w:r>
              <w:rPr>
                <w:color w:val="000000"/>
                <w:kern w:val="0"/>
                <w:sz w:val="24"/>
                <w:szCs w:val="24"/>
              </w:rPr>
              <w:t>0.44</w:t>
            </w:r>
          </w:p>
        </w:tc>
      </w:tr>
    </w:tbl>
    <w:p w:rsidR="00750D48" w:rsidRPr="001D63BB" w:rsidRDefault="00750D48" w:rsidP="001D63BB">
      <w:pPr>
        <w:autoSpaceDE w:val="0"/>
        <w:autoSpaceDN w:val="0"/>
        <w:adjustRightInd w:val="0"/>
        <w:spacing w:line="360" w:lineRule="auto"/>
        <w:jc w:val="left"/>
        <w:rPr>
          <w:rFonts w:ascii="宋体"/>
          <w:b/>
          <w:bCs/>
          <w:color w:val="000000"/>
          <w:kern w:val="0"/>
          <w:sz w:val="24"/>
          <w:szCs w:val="24"/>
        </w:rPr>
      </w:pPr>
      <w:r w:rsidRPr="001B0A62">
        <w:rPr>
          <w:rFonts w:ascii="宋体" w:hAnsi="宋体"/>
          <w:b/>
          <w:bCs/>
          <w:color w:val="000000"/>
          <w:kern w:val="0"/>
          <w:sz w:val="24"/>
          <w:szCs w:val="24"/>
        </w:rPr>
        <w:t>5.</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本基金本报告期末未持有贵金属。</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5.8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本基金本报告期末未持有权证。</w:t>
      </w:r>
    </w:p>
    <w:p w:rsidR="00750D48" w:rsidRPr="001B0A62" w:rsidRDefault="00750D48" w:rsidP="001B0A62">
      <w:pPr>
        <w:autoSpaceDE w:val="0"/>
        <w:autoSpaceDN w:val="0"/>
        <w:adjustRightInd w:val="0"/>
        <w:spacing w:line="360" w:lineRule="auto"/>
        <w:jc w:val="left"/>
        <w:rPr>
          <w:rFonts w:ascii="宋体"/>
          <w:b/>
          <w:bCs/>
          <w:color w:val="000000"/>
          <w:kern w:val="0"/>
          <w:sz w:val="24"/>
          <w:szCs w:val="24"/>
        </w:rPr>
      </w:pPr>
      <w:r w:rsidRPr="001B0A62">
        <w:rPr>
          <w:rFonts w:ascii="宋体" w:hAnsi="宋体"/>
          <w:b/>
          <w:bCs/>
          <w:color w:val="000000"/>
          <w:kern w:val="0"/>
          <w:sz w:val="24"/>
          <w:szCs w:val="24"/>
        </w:rPr>
        <w:t>5</w:t>
      </w:r>
      <w:r>
        <w:rPr>
          <w:rFonts w:ascii="宋体"/>
          <w:b/>
          <w:bCs/>
          <w:color w:val="000000"/>
          <w:kern w:val="0"/>
          <w:sz w:val="24"/>
          <w:szCs w:val="24"/>
        </w:rPr>
        <w:t>.</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R="00277FAE" w:rsidRDefault="00277FAE" w:rsidP="00277FAE">
      <w:pPr>
        <w:spacing w:line="360" w:lineRule="auto"/>
        <w:ind w:firstLineChars="200" w:firstLine="480"/>
        <w:rPr>
          <w:rFonts w:eastAsiaTheme="minorEastAsia"/>
          <w:color w:val="000000" w:themeColor="text1"/>
          <w:sz w:val="24"/>
        </w:rPr>
      </w:pPr>
      <w:r>
        <w:rPr>
          <w:rFonts w:eastAsiaTheme="minorEastAsia"/>
          <w:color w:val="000000" w:themeColor="text1"/>
          <w:sz w:val="24"/>
        </w:rPr>
        <w:t>本基金本报告期末未投资股指期货。</w:t>
      </w:r>
    </w:p>
    <w:p w:rsidR="00750D48" w:rsidRPr="001B0A62" w:rsidRDefault="00750D48" w:rsidP="001B0A62">
      <w:pPr>
        <w:autoSpaceDE w:val="0"/>
        <w:autoSpaceDN w:val="0"/>
        <w:adjustRightInd w:val="0"/>
        <w:spacing w:line="360" w:lineRule="auto"/>
        <w:jc w:val="left"/>
        <w:rPr>
          <w:rFonts w:ascii="宋体"/>
          <w:b/>
          <w:bCs/>
          <w:color w:val="000000"/>
          <w:kern w:val="0"/>
          <w:sz w:val="24"/>
          <w:szCs w:val="24"/>
        </w:rPr>
      </w:pPr>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R="00277FAE" w:rsidRDefault="00277FAE" w:rsidP="00277FAE">
      <w:pPr>
        <w:spacing w:line="360" w:lineRule="auto"/>
        <w:ind w:firstLineChars="200" w:firstLine="480"/>
      </w:pPr>
      <w:r>
        <w:rPr>
          <w:color w:val="000000"/>
          <w:sz w:val="24"/>
        </w:rPr>
        <w:t>本基金本报告期末未投资国债期货。</w:t>
      </w:r>
    </w:p>
    <w:p w:rsidR="00750D48" w:rsidRPr="00264E55" w:rsidRDefault="00750D48" w:rsidP="001B0A62">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R="00750D48" w:rsidRPr="00264E55" w:rsidRDefault="00750D48" w:rsidP="001B0A62">
      <w:pPr>
        <w:spacing w:line="360" w:lineRule="auto"/>
        <w:rPr>
          <w:rFonts w:ascii="宋体" w:hAnsi="宋体"/>
          <w:color w:val="000000"/>
          <w:sz w:val="24"/>
          <w:szCs w:val="24"/>
        </w:rPr>
      </w:pPr>
      <w:r w:rsidRPr="00264E55">
        <w:rPr>
          <w:rFonts w:ascii="宋体" w:hAnsi="宋体"/>
          <w:color w:val="000000"/>
          <w:sz w:val="24"/>
          <w:szCs w:val="24"/>
        </w:rPr>
        <w:t>5.11.1</w:t>
      </w:r>
      <w:r w:rsidR="00065E3C">
        <w:rPr>
          <w:rFonts w:ascii="宋体" w:hAnsi="宋体" w:hint="eastAsia"/>
          <w:color w:val="000000"/>
          <w:sz w:val="24"/>
          <w:szCs w:val="24"/>
        </w:rPr>
        <w:t xml:space="preserve"> </w:t>
      </w:r>
      <w:r w:rsidRPr="00264E55">
        <w:rPr>
          <w:rFonts w:ascii="宋体" w:hAnsi="宋体"/>
          <w:color w:val="000000"/>
          <w:sz w:val="24"/>
          <w:szCs w:val="24"/>
        </w:rPr>
        <w:t>2019年11月18日，珠海市交通运输局对珠海格力电器股份有限公司违反《超限运输车辆行驶公路管理规定》第四十三条的行为作出“罚款4000元”的行政处罚决定。2019年12月4日，珠海市交通运输局对珠海格力电器股份有限公司违反《超限运输车辆行驶公路管理规定》第四十三条的行为作出“罚款4000元”的行政处罚决定。</w:t>
      </w:r>
    </w:p>
    <w:p w:rsidR="00AA2E16" w:rsidRDefault="00EC3CD4">
      <w:pPr>
        <w:spacing w:line="360" w:lineRule="auto"/>
        <w:rPr>
          <w:rFonts w:ascii="宋体" w:hAnsi="宋体"/>
          <w:color w:val="000000"/>
          <w:sz w:val="24"/>
          <w:szCs w:val="24"/>
        </w:rPr>
      </w:pPr>
      <w:r>
        <w:rPr>
          <w:rFonts w:ascii="宋体" w:hAnsi="宋体"/>
          <w:color w:val="000000"/>
          <w:sz w:val="24"/>
          <w:szCs w:val="24"/>
        </w:rPr>
        <w:t>本基金投资格力电器的投资决策程序符合公司投资制度的规定。</w:t>
      </w:r>
    </w:p>
    <w:p w:rsidR="00AA2E16" w:rsidRDefault="00EC3CD4">
      <w:pPr>
        <w:spacing w:line="360" w:lineRule="auto"/>
        <w:rPr>
          <w:rFonts w:ascii="宋体" w:hAnsi="宋体"/>
          <w:color w:val="000000"/>
          <w:sz w:val="24"/>
          <w:szCs w:val="24"/>
        </w:rPr>
      </w:pPr>
      <w:r>
        <w:rPr>
          <w:rFonts w:ascii="宋体" w:hAnsi="宋体"/>
          <w:color w:val="000000"/>
          <w:sz w:val="24"/>
          <w:szCs w:val="24"/>
        </w:rPr>
        <w:t>除格力电器外，本基金投资的前十名证券的发行主体本期没有出现被监管部门立案调查，或在报告编制日前一年内受到公开谴责、处罚的情形。</w:t>
      </w:r>
    </w:p>
    <w:p w:rsidR="00750D48" w:rsidRPr="00264E55" w:rsidRDefault="00750D48" w:rsidP="001B0A62">
      <w:pPr>
        <w:spacing w:line="360" w:lineRule="auto"/>
        <w:rPr>
          <w:rFonts w:ascii="宋体" w:hAnsi="宋体"/>
          <w:color w:val="000000"/>
          <w:sz w:val="24"/>
          <w:szCs w:val="24"/>
        </w:rPr>
      </w:pPr>
      <w:r w:rsidRPr="00264E55">
        <w:rPr>
          <w:rFonts w:ascii="宋体" w:hAnsi="宋体"/>
          <w:color w:val="000000"/>
          <w:sz w:val="24"/>
          <w:szCs w:val="24"/>
        </w:rPr>
        <w:t>5.11.2</w:t>
      </w:r>
      <w:r w:rsidR="00065E3C">
        <w:rPr>
          <w:rFonts w:ascii="宋体" w:hAnsi="宋体" w:hint="eastAsia"/>
          <w:color w:val="000000"/>
          <w:sz w:val="24"/>
          <w:szCs w:val="24"/>
        </w:rPr>
        <w:t xml:space="preserve"> </w:t>
      </w:r>
      <w:r w:rsidRPr="00264E55">
        <w:rPr>
          <w:rFonts w:ascii="宋体" w:hAnsi="宋体"/>
          <w:color w:val="000000"/>
          <w:sz w:val="24"/>
          <w:szCs w:val="24"/>
        </w:rPr>
        <w:t>本基金投资的前十名股票没有超出基金合同规定的备选股票库。</w:t>
      </w:r>
    </w:p>
    <w:p w:rsidR="00750D48" w:rsidRPr="001C7E00" w:rsidRDefault="00750D48" w:rsidP="001B0A62">
      <w:pPr>
        <w:autoSpaceDE w:val="0"/>
        <w:autoSpaceDN w:val="0"/>
        <w:adjustRightInd w:val="0"/>
        <w:spacing w:line="360" w:lineRule="auto"/>
        <w:jc w:val="left"/>
        <w:rPr>
          <w:rFonts w:ascii="宋体"/>
          <w:bCs/>
          <w:color w:val="000000"/>
          <w:kern w:val="0"/>
          <w:sz w:val="24"/>
          <w:szCs w:val="24"/>
        </w:rPr>
      </w:pP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r w:rsidRPr="001C7E00">
        <w:rPr>
          <w:rFonts w:ascii="宋体" w:hAnsi="宋体" w:hint="eastAsia"/>
          <w:bCs/>
          <w:color w:val="000000"/>
          <w:kern w:val="0"/>
          <w:sz w:val="24"/>
          <w:szCs w:val="24"/>
        </w:rPr>
        <w:t>资产构成</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35"/>
        <w:gridCol w:w="2470"/>
        <w:gridCol w:w="4808"/>
      </w:tblGrid>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w="2470" w:type="dxa"/>
            <w:vAlign w:val="center"/>
          </w:tcPr>
          <w:p w:rsidR="00750D48" w:rsidRPr="00B227EA" w:rsidRDefault="00750D48" w:rsidP="00B05049">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w="4808" w:type="dxa"/>
            <w:vAlign w:val="center"/>
          </w:tcPr>
          <w:p w:rsidR="00750D48" w:rsidRPr="00B227EA" w:rsidRDefault="00750D48" w:rsidP="005F7917">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129,826.99</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4,318,653.09</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17,655,177.97</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5,025,094.82</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w:t>
            </w:r>
          </w:p>
        </w:tc>
      </w:tr>
      <w:tr w:rsidR="00750D48" w:rsidRPr="00264E55" w:rsidTr="00B05049">
        <w:tc>
          <w:tcPr>
            <w:tcW w:w="1235" w:type="dxa"/>
            <w:vAlign w:val="center"/>
          </w:tcPr>
          <w:p w:rsidR="00750D48" w:rsidRPr="00B227EA" w:rsidRDefault="00750D48" w:rsidP="00B05049">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w="2470" w:type="dxa"/>
            <w:vAlign w:val="center"/>
          </w:tcPr>
          <w:p w:rsidR="00750D48" w:rsidRPr="00B227EA" w:rsidRDefault="00750D48" w:rsidP="00B05049">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w="4808" w:type="dxa"/>
            <w:vAlign w:val="center"/>
          </w:tcPr>
          <w:p w:rsidR="00750D48" w:rsidRPr="00B227EA" w:rsidRDefault="00750D48" w:rsidP="00B05049">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27,128,752.87</w:t>
            </w:r>
          </w:p>
        </w:tc>
      </w:tr>
    </w:tbl>
    <w:p w:rsidR="00750D48" w:rsidRPr="001C7E00" w:rsidRDefault="00750D48" w:rsidP="001B0A62">
      <w:pPr>
        <w:autoSpaceDE w:val="0"/>
        <w:autoSpaceDN w:val="0"/>
        <w:adjustRightInd w:val="0"/>
        <w:spacing w:line="360" w:lineRule="auto"/>
        <w:jc w:val="left"/>
        <w:rPr>
          <w:rFonts w:ascii="宋体"/>
          <w:bCs/>
          <w:color w:val="000000"/>
          <w:kern w:val="0"/>
          <w:sz w:val="24"/>
          <w:szCs w:val="24"/>
        </w:rPr>
      </w:pP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1697"/>
        <w:gridCol w:w="1621"/>
      </w:tblGrid>
      <w:tr w:rsidR="00750D48" w:rsidRPr="00264E55" w:rsidTr="00B05049">
        <w:tc>
          <w:tcPr>
            <w:tcW w:w="1808" w:type="dxa"/>
            <w:vAlign w:val="center"/>
          </w:tcPr>
          <w:p w:rsidR="00750D48" w:rsidRPr="00B227EA" w:rsidRDefault="00750D48" w:rsidP="00B05049">
            <w:pPr>
              <w:spacing w:before="29" w:line="360" w:lineRule="auto"/>
              <w:ind w:left="17"/>
              <w:jc w:val="center"/>
              <w:rPr>
                <w:color w:val="000000"/>
                <w:kern w:val="0"/>
                <w:sz w:val="24"/>
                <w:szCs w:val="24"/>
              </w:rPr>
            </w:pPr>
            <w:r w:rsidRPr="00B227EA">
              <w:rPr>
                <w:color w:val="000000"/>
                <w:kern w:val="0"/>
                <w:sz w:val="24"/>
                <w:szCs w:val="24"/>
              </w:rPr>
              <w:t>序号</w:t>
            </w:r>
          </w:p>
        </w:tc>
        <w:tc>
          <w:tcPr>
            <w:tcW w:w="1729" w:type="dxa"/>
            <w:vAlign w:val="center"/>
          </w:tcPr>
          <w:p w:rsidR="00750D48" w:rsidRPr="00B227EA" w:rsidRDefault="00750D48" w:rsidP="00B05049">
            <w:pPr>
              <w:spacing w:before="29" w:line="360" w:lineRule="auto"/>
              <w:ind w:left="17"/>
              <w:jc w:val="center"/>
              <w:rPr>
                <w:color w:val="000000"/>
                <w:kern w:val="0"/>
                <w:sz w:val="24"/>
                <w:szCs w:val="24"/>
              </w:rPr>
            </w:pPr>
            <w:r w:rsidRPr="00B227EA">
              <w:rPr>
                <w:color w:val="000000"/>
                <w:kern w:val="0"/>
                <w:sz w:val="24"/>
                <w:szCs w:val="24"/>
              </w:rPr>
              <w:t>债券代码</w:t>
            </w:r>
          </w:p>
        </w:tc>
        <w:tc>
          <w:tcPr>
            <w:tcW w:w="1658" w:type="dxa"/>
            <w:vAlign w:val="center"/>
          </w:tcPr>
          <w:p w:rsidR="00750D48" w:rsidRPr="00B227EA" w:rsidRDefault="00750D48" w:rsidP="00B05049">
            <w:pPr>
              <w:spacing w:before="29" w:line="360" w:lineRule="auto"/>
              <w:ind w:left="17"/>
              <w:jc w:val="center"/>
              <w:rPr>
                <w:color w:val="000000"/>
                <w:kern w:val="0"/>
                <w:sz w:val="24"/>
                <w:szCs w:val="24"/>
              </w:rPr>
            </w:pPr>
            <w:r w:rsidRPr="00B227EA">
              <w:rPr>
                <w:color w:val="000000"/>
                <w:kern w:val="0"/>
                <w:sz w:val="24"/>
                <w:szCs w:val="24"/>
              </w:rPr>
              <w:t>债券名称</w:t>
            </w:r>
          </w:p>
        </w:tc>
        <w:tc>
          <w:tcPr>
            <w:tcW w:w="1697" w:type="dxa"/>
            <w:vAlign w:val="center"/>
          </w:tcPr>
          <w:p w:rsidR="00750D48" w:rsidRPr="00B227EA" w:rsidRDefault="00750D48" w:rsidP="005F7917">
            <w:pPr>
              <w:spacing w:before="29" w:line="360" w:lineRule="auto"/>
              <w:ind w:left="17"/>
              <w:jc w:val="center"/>
              <w:rPr>
                <w:color w:val="000000"/>
                <w:kern w:val="0"/>
                <w:sz w:val="24"/>
                <w:szCs w:val="24"/>
              </w:rPr>
            </w:pPr>
            <w:r w:rsidRPr="00B227EA">
              <w:rPr>
                <w:color w:val="000000"/>
                <w:kern w:val="0"/>
                <w:sz w:val="24"/>
                <w:szCs w:val="24"/>
              </w:rPr>
              <w:t>公允价值</w:t>
            </w:r>
            <w:r w:rsidR="005F7917" w:rsidRPr="00B227EA">
              <w:rPr>
                <w:color w:val="000000"/>
                <w:kern w:val="0"/>
                <w:sz w:val="24"/>
                <w:szCs w:val="24"/>
              </w:rPr>
              <w:t>（元）</w:t>
            </w:r>
          </w:p>
        </w:tc>
        <w:tc>
          <w:tcPr>
            <w:tcW w:w="1621" w:type="dxa"/>
            <w:vAlign w:val="center"/>
          </w:tcPr>
          <w:p w:rsidR="00750D48" w:rsidRPr="00B227EA" w:rsidRDefault="00750D48" w:rsidP="005F7917">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r>
      <w:tr w:rsidR="00AA2E16">
        <w:tc>
          <w:tcPr>
            <w:tcW w:w="1808" w:type="dxa"/>
            <w:vAlign w:val="center"/>
          </w:tcPr>
          <w:p w:rsidR="00AA2E16" w:rsidRDefault="00EC3CD4">
            <w:pPr>
              <w:jc w:val="center"/>
            </w:pPr>
            <w:r>
              <w:rPr>
                <w:color w:val="000000"/>
                <w:kern w:val="0"/>
                <w:sz w:val="24"/>
                <w:szCs w:val="24"/>
              </w:rPr>
              <w:t>1</w:t>
            </w:r>
          </w:p>
        </w:tc>
        <w:tc>
          <w:tcPr>
            <w:tcW w:w="1729" w:type="dxa"/>
            <w:vAlign w:val="center"/>
          </w:tcPr>
          <w:p w:rsidR="00AA2E16" w:rsidRDefault="00EC3CD4">
            <w:pPr>
              <w:jc w:val="center"/>
            </w:pPr>
            <w:r>
              <w:rPr>
                <w:color w:val="000000"/>
                <w:kern w:val="0"/>
                <w:sz w:val="24"/>
                <w:szCs w:val="24"/>
              </w:rPr>
              <w:t>113011</w:t>
            </w:r>
          </w:p>
        </w:tc>
        <w:tc>
          <w:tcPr>
            <w:tcW w:w="1658" w:type="dxa"/>
            <w:vAlign w:val="center"/>
          </w:tcPr>
          <w:p w:rsidR="00AA2E16" w:rsidRDefault="00EC3CD4">
            <w:pPr>
              <w:jc w:val="center"/>
            </w:pPr>
            <w:r>
              <w:rPr>
                <w:color w:val="000000"/>
                <w:kern w:val="0"/>
                <w:sz w:val="24"/>
                <w:szCs w:val="24"/>
              </w:rPr>
              <w:t>光大转债</w:t>
            </w:r>
          </w:p>
        </w:tc>
        <w:tc>
          <w:tcPr>
            <w:tcW w:w="1697" w:type="dxa"/>
            <w:vAlign w:val="center"/>
          </w:tcPr>
          <w:p w:rsidR="00AA2E16" w:rsidRDefault="00EC3CD4">
            <w:pPr>
              <w:jc w:val="right"/>
            </w:pPr>
            <w:r>
              <w:rPr>
                <w:color w:val="000000"/>
                <w:kern w:val="0"/>
                <w:sz w:val="24"/>
                <w:szCs w:val="24"/>
              </w:rPr>
              <w:t>11,976,300.00</w:t>
            </w:r>
          </w:p>
        </w:tc>
        <w:tc>
          <w:tcPr>
            <w:tcW w:w="1621" w:type="dxa"/>
            <w:vAlign w:val="center"/>
          </w:tcPr>
          <w:p w:rsidR="00AA2E16" w:rsidRDefault="00EC3CD4">
            <w:pPr>
              <w:jc w:val="right"/>
            </w:pPr>
            <w:r>
              <w:rPr>
                <w:color w:val="000000"/>
                <w:kern w:val="0"/>
                <w:sz w:val="24"/>
                <w:szCs w:val="24"/>
              </w:rPr>
              <w:t>0.87</w:t>
            </w:r>
          </w:p>
        </w:tc>
      </w:tr>
      <w:tr w:rsidR="00AA2E16">
        <w:tc>
          <w:tcPr>
            <w:tcW w:w="1808" w:type="dxa"/>
            <w:vAlign w:val="center"/>
          </w:tcPr>
          <w:p w:rsidR="00AA2E16" w:rsidRDefault="00EC3CD4">
            <w:pPr>
              <w:jc w:val="center"/>
            </w:pPr>
            <w:r>
              <w:rPr>
                <w:color w:val="000000"/>
                <w:kern w:val="0"/>
                <w:sz w:val="24"/>
                <w:szCs w:val="24"/>
              </w:rPr>
              <w:t>2</w:t>
            </w:r>
          </w:p>
        </w:tc>
        <w:tc>
          <w:tcPr>
            <w:tcW w:w="1729" w:type="dxa"/>
            <w:vAlign w:val="center"/>
          </w:tcPr>
          <w:p w:rsidR="00AA2E16" w:rsidRDefault="00EC3CD4">
            <w:pPr>
              <w:jc w:val="center"/>
            </w:pPr>
            <w:r>
              <w:rPr>
                <w:color w:val="000000"/>
                <w:kern w:val="0"/>
                <w:sz w:val="24"/>
                <w:szCs w:val="24"/>
              </w:rPr>
              <w:t>113519</w:t>
            </w:r>
          </w:p>
        </w:tc>
        <w:tc>
          <w:tcPr>
            <w:tcW w:w="1658" w:type="dxa"/>
            <w:vAlign w:val="center"/>
          </w:tcPr>
          <w:p w:rsidR="00AA2E16" w:rsidRDefault="00EC3CD4">
            <w:pPr>
              <w:jc w:val="center"/>
            </w:pPr>
            <w:r>
              <w:rPr>
                <w:color w:val="000000"/>
                <w:kern w:val="0"/>
                <w:sz w:val="24"/>
                <w:szCs w:val="24"/>
              </w:rPr>
              <w:t>长久转债</w:t>
            </w:r>
          </w:p>
        </w:tc>
        <w:tc>
          <w:tcPr>
            <w:tcW w:w="1697" w:type="dxa"/>
            <w:vAlign w:val="center"/>
          </w:tcPr>
          <w:p w:rsidR="00AA2E16" w:rsidRDefault="00EC3CD4">
            <w:pPr>
              <w:jc w:val="right"/>
            </w:pPr>
            <w:r>
              <w:rPr>
                <w:color w:val="000000"/>
                <w:kern w:val="0"/>
                <w:sz w:val="24"/>
                <w:szCs w:val="24"/>
              </w:rPr>
              <w:t>11,028,772.80</w:t>
            </w:r>
          </w:p>
        </w:tc>
        <w:tc>
          <w:tcPr>
            <w:tcW w:w="1621" w:type="dxa"/>
            <w:vAlign w:val="center"/>
          </w:tcPr>
          <w:p w:rsidR="00AA2E16" w:rsidRDefault="00EC3CD4">
            <w:pPr>
              <w:jc w:val="right"/>
            </w:pPr>
            <w:r>
              <w:rPr>
                <w:color w:val="000000"/>
                <w:kern w:val="0"/>
                <w:sz w:val="24"/>
                <w:szCs w:val="24"/>
              </w:rPr>
              <w:t>0.80</w:t>
            </w:r>
          </w:p>
        </w:tc>
      </w:tr>
      <w:tr w:rsidR="00AA2E16">
        <w:tc>
          <w:tcPr>
            <w:tcW w:w="1808" w:type="dxa"/>
            <w:vAlign w:val="center"/>
          </w:tcPr>
          <w:p w:rsidR="00AA2E16" w:rsidRDefault="00EC3CD4">
            <w:pPr>
              <w:jc w:val="center"/>
            </w:pPr>
            <w:r>
              <w:rPr>
                <w:color w:val="000000"/>
                <w:kern w:val="0"/>
                <w:sz w:val="24"/>
                <w:szCs w:val="24"/>
              </w:rPr>
              <w:t>3</w:t>
            </w:r>
          </w:p>
        </w:tc>
        <w:tc>
          <w:tcPr>
            <w:tcW w:w="1729" w:type="dxa"/>
            <w:vAlign w:val="center"/>
          </w:tcPr>
          <w:p w:rsidR="00AA2E16" w:rsidRDefault="00EC3CD4">
            <w:pPr>
              <w:jc w:val="center"/>
            </w:pPr>
            <w:r>
              <w:rPr>
                <w:color w:val="000000"/>
                <w:kern w:val="0"/>
                <w:sz w:val="24"/>
                <w:szCs w:val="24"/>
              </w:rPr>
              <w:t>113014</w:t>
            </w:r>
          </w:p>
        </w:tc>
        <w:tc>
          <w:tcPr>
            <w:tcW w:w="1658" w:type="dxa"/>
            <w:vAlign w:val="center"/>
          </w:tcPr>
          <w:p w:rsidR="00AA2E16" w:rsidRDefault="00EC3CD4">
            <w:pPr>
              <w:jc w:val="center"/>
            </w:pPr>
            <w:r>
              <w:rPr>
                <w:color w:val="000000"/>
                <w:kern w:val="0"/>
                <w:sz w:val="24"/>
                <w:szCs w:val="24"/>
              </w:rPr>
              <w:t>林洋转债</w:t>
            </w:r>
          </w:p>
        </w:tc>
        <w:tc>
          <w:tcPr>
            <w:tcW w:w="1697" w:type="dxa"/>
            <w:vAlign w:val="center"/>
          </w:tcPr>
          <w:p w:rsidR="00AA2E16" w:rsidRDefault="00EC3CD4">
            <w:pPr>
              <w:jc w:val="right"/>
            </w:pPr>
            <w:r>
              <w:rPr>
                <w:color w:val="000000"/>
                <w:kern w:val="0"/>
                <w:sz w:val="24"/>
                <w:szCs w:val="24"/>
              </w:rPr>
              <w:t>8,973,805.50</w:t>
            </w:r>
          </w:p>
        </w:tc>
        <w:tc>
          <w:tcPr>
            <w:tcW w:w="1621" w:type="dxa"/>
            <w:vAlign w:val="center"/>
          </w:tcPr>
          <w:p w:rsidR="00AA2E16" w:rsidRDefault="00EC3CD4">
            <w:pPr>
              <w:jc w:val="right"/>
            </w:pPr>
            <w:r>
              <w:rPr>
                <w:color w:val="000000"/>
                <w:kern w:val="0"/>
                <w:sz w:val="24"/>
                <w:szCs w:val="24"/>
              </w:rPr>
              <w:t>0.65</w:t>
            </w:r>
          </w:p>
        </w:tc>
      </w:tr>
      <w:tr w:rsidR="00AA2E16">
        <w:tc>
          <w:tcPr>
            <w:tcW w:w="1808" w:type="dxa"/>
            <w:vAlign w:val="center"/>
          </w:tcPr>
          <w:p w:rsidR="00AA2E16" w:rsidRDefault="00EC3CD4">
            <w:pPr>
              <w:jc w:val="center"/>
            </w:pPr>
            <w:r>
              <w:rPr>
                <w:color w:val="000000"/>
                <w:kern w:val="0"/>
                <w:sz w:val="24"/>
                <w:szCs w:val="24"/>
              </w:rPr>
              <w:t>4</w:t>
            </w:r>
          </w:p>
        </w:tc>
        <w:tc>
          <w:tcPr>
            <w:tcW w:w="1729" w:type="dxa"/>
            <w:vAlign w:val="center"/>
          </w:tcPr>
          <w:p w:rsidR="00AA2E16" w:rsidRDefault="00EC3CD4">
            <w:pPr>
              <w:jc w:val="center"/>
            </w:pPr>
            <w:r>
              <w:rPr>
                <w:color w:val="000000"/>
                <w:kern w:val="0"/>
                <w:sz w:val="24"/>
                <w:szCs w:val="24"/>
              </w:rPr>
              <w:t>128050</w:t>
            </w:r>
          </w:p>
        </w:tc>
        <w:tc>
          <w:tcPr>
            <w:tcW w:w="1658" w:type="dxa"/>
            <w:vAlign w:val="center"/>
          </w:tcPr>
          <w:p w:rsidR="00AA2E16" w:rsidRDefault="00EC3CD4">
            <w:pPr>
              <w:jc w:val="center"/>
            </w:pPr>
            <w:r>
              <w:rPr>
                <w:color w:val="000000"/>
                <w:kern w:val="0"/>
                <w:sz w:val="24"/>
                <w:szCs w:val="24"/>
              </w:rPr>
              <w:t>钧达转债</w:t>
            </w:r>
          </w:p>
        </w:tc>
        <w:tc>
          <w:tcPr>
            <w:tcW w:w="1697" w:type="dxa"/>
            <w:vAlign w:val="center"/>
          </w:tcPr>
          <w:p w:rsidR="00AA2E16" w:rsidRDefault="00EC3CD4">
            <w:pPr>
              <w:jc w:val="right"/>
            </w:pPr>
            <w:r>
              <w:rPr>
                <w:color w:val="000000"/>
                <w:kern w:val="0"/>
                <w:sz w:val="24"/>
                <w:szCs w:val="24"/>
              </w:rPr>
              <w:t>6,588,676.00</w:t>
            </w:r>
          </w:p>
        </w:tc>
        <w:tc>
          <w:tcPr>
            <w:tcW w:w="1621" w:type="dxa"/>
            <w:vAlign w:val="center"/>
          </w:tcPr>
          <w:p w:rsidR="00AA2E16" w:rsidRDefault="00EC3CD4">
            <w:pPr>
              <w:jc w:val="right"/>
            </w:pPr>
            <w:r>
              <w:rPr>
                <w:color w:val="000000"/>
                <w:kern w:val="0"/>
                <w:sz w:val="24"/>
                <w:szCs w:val="24"/>
              </w:rPr>
              <w:t>0.48</w:t>
            </w:r>
          </w:p>
        </w:tc>
      </w:tr>
      <w:tr w:rsidR="00AA2E16">
        <w:tc>
          <w:tcPr>
            <w:tcW w:w="1808" w:type="dxa"/>
            <w:vAlign w:val="center"/>
          </w:tcPr>
          <w:p w:rsidR="00AA2E16" w:rsidRDefault="00EC3CD4">
            <w:pPr>
              <w:jc w:val="center"/>
            </w:pPr>
            <w:r>
              <w:rPr>
                <w:color w:val="000000"/>
                <w:kern w:val="0"/>
                <w:sz w:val="24"/>
                <w:szCs w:val="24"/>
              </w:rPr>
              <w:t>5</w:t>
            </w:r>
          </w:p>
        </w:tc>
        <w:tc>
          <w:tcPr>
            <w:tcW w:w="1729" w:type="dxa"/>
            <w:vAlign w:val="center"/>
          </w:tcPr>
          <w:p w:rsidR="00AA2E16" w:rsidRDefault="00EC3CD4">
            <w:pPr>
              <w:jc w:val="center"/>
            </w:pPr>
            <w:r>
              <w:rPr>
                <w:color w:val="000000"/>
                <w:kern w:val="0"/>
                <w:sz w:val="24"/>
                <w:szCs w:val="24"/>
              </w:rPr>
              <w:t>132015</w:t>
            </w:r>
          </w:p>
        </w:tc>
        <w:tc>
          <w:tcPr>
            <w:tcW w:w="1658" w:type="dxa"/>
            <w:vAlign w:val="center"/>
          </w:tcPr>
          <w:p w:rsidR="00AA2E16" w:rsidRDefault="00EC3CD4">
            <w:pPr>
              <w:jc w:val="center"/>
            </w:pPr>
            <w:r>
              <w:rPr>
                <w:color w:val="000000"/>
                <w:kern w:val="0"/>
                <w:sz w:val="24"/>
                <w:szCs w:val="24"/>
              </w:rPr>
              <w:t>18</w:t>
            </w:r>
            <w:r>
              <w:rPr>
                <w:color w:val="000000"/>
                <w:kern w:val="0"/>
                <w:sz w:val="24"/>
                <w:szCs w:val="24"/>
              </w:rPr>
              <w:t>中油</w:t>
            </w:r>
            <w:r>
              <w:rPr>
                <w:color w:val="000000"/>
                <w:kern w:val="0"/>
                <w:sz w:val="24"/>
                <w:szCs w:val="24"/>
              </w:rPr>
              <w:t>EB</w:t>
            </w:r>
          </w:p>
        </w:tc>
        <w:tc>
          <w:tcPr>
            <w:tcW w:w="1697" w:type="dxa"/>
            <w:vAlign w:val="center"/>
          </w:tcPr>
          <w:p w:rsidR="00AA2E16" w:rsidRDefault="00EC3CD4">
            <w:pPr>
              <w:jc w:val="right"/>
            </w:pPr>
            <w:r>
              <w:rPr>
                <w:color w:val="000000"/>
                <w:kern w:val="0"/>
                <w:sz w:val="24"/>
                <w:szCs w:val="24"/>
              </w:rPr>
              <w:t>5,358,000.00</w:t>
            </w:r>
          </w:p>
        </w:tc>
        <w:tc>
          <w:tcPr>
            <w:tcW w:w="1621" w:type="dxa"/>
            <w:vAlign w:val="center"/>
          </w:tcPr>
          <w:p w:rsidR="00AA2E16" w:rsidRDefault="00EC3CD4">
            <w:pPr>
              <w:jc w:val="right"/>
            </w:pPr>
            <w:r>
              <w:rPr>
                <w:color w:val="000000"/>
                <w:kern w:val="0"/>
                <w:sz w:val="24"/>
                <w:szCs w:val="24"/>
              </w:rPr>
              <w:t>0.39</w:t>
            </w:r>
          </w:p>
        </w:tc>
      </w:tr>
      <w:tr w:rsidR="00AA2E16">
        <w:tc>
          <w:tcPr>
            <w:tcW w:w="1808" w:type="dxa"/>
            <w:vAlign w:val="center"/>
          </w:tcPr>
          <w:p w:rsidR="00AA2E16" w:rsidRDefault="00EC3CD4">
            <w:pPr>
              <w:jc w:val="center"/>
            </w:pPr>
            <w:r>
              <w:rPr>
                <w:color w:val="000000"/>
                <w:kern w:val="0"/>
                <w:sz w:val="24"/>
                <w:szCs w:val="24"/>
              </w:rPr>
              <w:t>6</w:t>
            </w:r>
          </w:p>
        </w:tc>
        <w:tc>
          <w:tcPr>
            <w:tcW w:w="1729" w:type="dxa"/>
            <w:vAlign w:val="center"/>
          </w:tcPr>
          <w:p w:rsidR="00AA2E16" w:rsidRDefault="00EC3CD4">
            <w:pPr>
              <w:jc w:val="center"/>
            </w:pPr>
            <w:r>
              <w:rPr>
                <w:color w:val="000000"/>
                <w:kern w:val="0"/>
                <w:sz w:val="24"/>
                <w:szCs w:val="24"/>
              </w:rPr>
              <w:t>128032</w:t>
            </w:r>
          </w:p>
        </w:tc>
        <w:tc>
          <w:tcPr>
            <w:tcW w:w="1658" w:type="dxa"/>
            <w:vAlign w:val="center"/>
          </w:tcPr>
          <w:p w:rsidR="00AA2E16" w:rsidRDefault="00EC3CD4">
            <w:pPr>
              <w:jc w:val="center"/>
            </w:pPr>
            <w:r>
              <w:rPr>
                <w:color w:val="000000"/>
                <w:kern w:val="0"/>
                <w:sz w:val="24"/>
                <w:szCs w:val="24"/>
              </w:rPr>
              <w:t>双环转债</w:t>
            </w:r>
          </w:p>
        </w:tc>
        <w:tc>
          <w:tcPr>
            <w:tcW w:w="1697" w:type="dxa"/>
            <w:vAlign w:val="center"/>
          </w:tcPr>
          <w:p w:rsidR="00AA2E16" w:rsidRDefault="00EC3CD4">
            <w:pPr>
              <w:jc w:val="right"/>
            </w:pPr>
            <w:r>
              <w:rPr>
                <w:color w:val="000000"/>
                <w:kern w:val="0"/>
                <w:sz w:val="24"/>
                <w:szCs w:val="24"/>
              </w:rPr>
              <w:t>3,695,663.49</w:t>
            </w:r>
          </w:p>
        </w:tc>
        <w:tc>
          <w:tcPr>
            <w:tcW w:w="1621" w:type="dxa"/>
            <w:vAlign w:val="center"/>
          </w:tcPr>
          <w:p w:rsidR="00AA2E16" w:rsidRDefault="00EC3CD4">
            <w:pPr>
              <w:jc w:val="right"/>
            </w:pPr>
            <w:r>
              <w:rPr>
                <w:color w:val="000000"/>
                <w:kern w:val="0"/>
                <w:sz w:val="24"/>
                <w:szCs w:val="24"/>
              </w:rPr>
              <w:t>0.27</w:t>
            </w:r>
          </w:p>
        </w:tc>
      </w:tr>
      <w:tr w:rsidR="00AA2E16">
        <w:tc>
          <w:tcPr>
            <w:tcW w:w="1808" w:type="dxa"/>
            <w:vAlign w:val="center"/>
          </w:tcPr>
          <w:p w:rsidR="00AA2E16" w:rsidRDefault="00EC3CD4">
            <w:pPr>
              <w:jc w:val="center"/>
            </w:pPr>
            <w:r>
              <w:rPr>
                <w:color w:val="000000"/>
                <w:kern w:val="0"/>
                <w:sz w:val="24"/>
                <w:szCs w:val="24"/>
              </w:rPr>
              <w:t>7</w:t>
            </w:r>
          </w:p>
        </w:tc>
        <w:tc>
          <w:tcPr>
            <w:tcW w:w="1729" w:type="dxa"/>
            <w:vAlign w:val="center"/>
          </w:tcPr>
          <w:p w:rsidR="00AA2E16" w:rsidRDefault="00EC3CD4">
            <w:pPr>
              <w:jc w:val="center"/>
            </w:pPr>
            <w:r>
              <w:rPr>
                <w:color w:val="000000"/>
                <w:kern w:val="0"/>
                <w:sz w:val="24"/>
                <w:szCs w:val="24"/>
              </w:rPr>
              <w:t>113008</w:t>
            </w:r>
          </w:p>
        </w:tc>
        <w:tc>
          <w:tcPr>
            <w:tcW w:w="1658" w:type="dxa"/>
            <w:vAlign w:val="center"/>
          </w:tcPr>
          <w:p w:rsidR="00AA2E16" w:rsidRDefault="00EC3CD4">
            <w:pPr>
              <w:jc w:val="center"/>
            </w:pPr>
            <w:r>
              <w:rPr>
                <w:color w:val="000000"/>
                <w:kern w:val="0"/>
                <w:sz w:val="24"/>
                <w:szCs w:val="24"/>
              </w:rPr>
              <w:t>电气转债</w:t>
            </w:r>
          </w:p>
        </w:tc>
        <w:tc>
          <w:tcPr>
            <w:tcW w:w="1697" w:type="dxa"/>
            <w:vAlign w:val="center"/>
          </w:tcPr>
          <w:p w:rsidR="00AA2E16" w:rsidRDefault="00EC3CD4">
            <w:pPr>
              <w:jc w:val="right"/>
            </w:pPr>
            <w:r>
              <w:rPr>
                <w:color w:val="000000"/>
                <w:kern w:val="0"/>
                <w:sz w:val="24"/>
                <w:szCs w:val="24"/>
              </w:rPr>
              <w:t>3,504,847.20</w:t>
            </w:r>
          </w:p>
        </w:tc>
        <w:tc>
          <w:tcPr>
            <w:tcW w:w="1621" w:type="dxa"/>
            <w:vAlign w:val="center"/>
          </w:tcPr>
          <w:p w:rsidR="00AA2E16" w:rsidRDefault="00EC3CD4">
            <w:pPr>
              <w:jc w:val="right"/>
            </w:pPr>
            <w:r>
              <w:rPr>
                <w:color w:val="000000"/>
                <w:kern w:val="0"/>
                <w:sz w:val="24"/>
                <w:szCs w:val="24"/>
              </w:rPr>
              <w:t>0.25</w:t>
            </w:r>
          </w:p>
        </w:tc>
      </w:tr>
      <w:tr w:rsidR="00AA2E16">
        <w:tc>
          <w:tcPr>
            <w:tcW w:w="1808" w:type="dxa"/>
            <w:vAlign w:val="center"/>
          </w:tcPr>
          <w:p w:rsidR="00AA2E16" w:rsidRDefault="00EC3CD4">
            <w:pPr>
              <w:jc w:val="center"/>
            </w:pPr>
            <w:r>
              <w:rPr>
                <w:color w:val="000000"/>
                <w:kern w:val="0"/>
                <w:sz w:val="24"/>
                <w:szCs w:val="24"/>
              </w:rPr>
              <w:t>8</w:t>
            </w:r>
          </w:p>
        </w:tc>
        <w:tc>
          <w:tcPr>
            <w:tcW w:w="1729" w:type="dxa"/>
            <w:vAlign w:val="center"/>
          </w:tcPr>
          <w:p w:rsidR="00AA2E16" w:rsidRDefault="00EC3CD4">
            <w:pPr>
              <w:jc w:val="center"/>
            </w:pPr>
            <w:r>
              <w:rPr>
                <w:color w:val="000000"/>
                <w:kern w:val="0"/>
                <w:sz w:val="24"/>
                <w:szCs w:val="24"/>
              </w:rPr>
              <w:t>110059</w:t>
            </w:r>
          </w:p>
        </w:tc>
        <w:tc>
          <w:tcPr>
            <w:tcW w:w="1658" w:type="dxa"/>
            <w:vAlign w:val="center"/>
          </w:tcPr>
          <w:p w:rsidR="00AA2E16" w:rsidRDefault="00EC3CD4">
            <w:pPr>
              <w:jc w:val="center"/>
            </w:pPr>
            <w:r>
              <w:rPr>
                <w:color w:val="000000"/>
                <w:kern w:val="0"/>
                <w:sz w:val="24"/>
                <w:szCs w:val="24"/>
              </w:rPr>
              <w:t>浦发转债</w:t>
            </w:r>
          </w:p>
        </w:tc>
        <w:tc>
          <w:tcPr>
            <w:tcW w:w="1697" w:type="dxa"/>
            <w:vAlign w:val="center"/>
          </w:tcPr>
          <w:p w:rsidR="00AA2E16" w:rsidRDefault="00EC3CD4">
            <w:pPr>
              <w:jc w:val="right"/>
            </w:pPr>
            <w:r>
              <w:rPr>
                <w:color w:val="000000"/>
                <w:kern w:val="0"/>
                <w:sz w:val="24"/>
                <w:szCs w:val="24"/>
              </w:rPr>
              <w:t>3,046,333.50</w:t>
            </w:r>
          </w:p>
        </w:tc>
        <w:tc>
          <w:tcPr>
            <w:tcW w:w="1621" w:type="dxa"/>
            <w:vAlign w:val="center"/>
          </w:tcPr>
          <w:p w:rsidR="00AA2E16" w:rsidRDefault="00EC3CD4">
            <w:pPr>
              <w:jc w:val="right"/>
            </w:pPr>
            <w:r>
              <w:rPr>
                <w:color w:val="000000"/>
                <w:kern w:val="0"/>
                <w:sz w:val="24"/>
                <w:szCs w:val="24"/>
              </w:rPr>
              <w:t>0.22</w:t>
            </w:r>
          </w:p>
        </w:tc>
      </w:tr>
      <w:tr w:rsidR="00AA2E16">
        <w:tc>
          <w:tcPr>
            <w:tcW w:w="1808" w:type="dxa"/>
            <w:vAlign w:val="center"/>
          </w:tcPr>
          <w:p w:rsidR="00AA2E16" w:rsidRDefault="00EC3CD4">
            <w:pPr>
              <w:jc w:val="center"/>
            </w:pPr>
            <w:r>
              <w:rPr>
                <w:color w:val="000000"/>
                <w:kern w:val="0"/>
                <w:sz w:val="24"/>
                <w:szCs w:val="24"/>
              </w:rPr>
              <w:t>9</w:t>
            </w:r>
          </w:p>
        </w:tc>
        <w:tc>
          <w:tcPr>
            <w:tcW w:w="1729" w:type="dxa"/>
            <w:vAlign w:val="center"/>
          </w:tcPr>
          <w:p w:rsidR="00AA2E16" w:rsidRDefault="00EC3CD4">
            <w:pPr>
              <w:jc w:val="center"/>
            </w:pPr>
            <w:r>
              <w:rPr>
                <w:color w:val="000000"/>
                <w:kern w:val="0"/>
                <w:sz w:val="24"/>
                <w:szCs w:val="24"/>
              </w:rPr>
              <w:t>132013</w:t>
            </w:r>
          </w:p>
        </w:tc>
        <w:tc>
          <w:tcPr>
            <w:tcW w:w="1658" w:type="dxa"/>
            <w:vAlign w:val="center"/>
          </w:tcPr>
          <w:p w:rsidR="00AA2E16" w:rsidRDefault="00EC3CD4">
            <w:pPr>
              <w:jc w:val="center"/>
            </w:pPr>
            <w:r>
              <w:rPr>
                <w:color w:val="000000"/>
                <w:kern w:val="0"/>
                <w:sz w:val="24"/>
                <w:szCs w:val="24"/>
              </w:rPr>
              <w:t>17</w:t>
            </w:r>
            <w:r>
              <w:rPr>
                <w:color w:val="000000"/>
                <w:kern w:val="0"/>
                <w:sz w:val="24"/>
                <w:szCs w:val="24"/>
              </w:rPr>
              <w:t>宝武</w:t>
            </w:r>
            <w:r>
              <w:rPr>
                <w:color w:val="000000"/>
                <w:kern w:val="0"/>
                <w:sz w:val="24"/>
                <w:szCs w:val="24"/>
              </w:rPr>
              <w:t>EB</w:t>
            </w:r>
          </w:p>
        </w:tc>
        <w:tc>
          <w:tcPr>
            <w:tcW w:w="1697" w:type="dxa"/>
            <w:vAlign w:val="center"/>
          </w:tcPr>
          <w:p w:rsidR="00AA2E16" w:rsidRDefault="00EC3CD4">
            <w:pPr>
              <w:jc w:val="right"/>
            </w:pPr>
            <w:r>
              <w:rPr>
                <w:color w:val="000000"/>
                <w:kern w:val="0"/>
                <w:sz w:val="24"/>
                <w:szCs w:val="24"/>
              </w:rPr>
              <w:t>2,766,343.80</w:t>
            </w:r>
          </w:p>
        </w:tc>
        <w:tc>
          <w:tcPr>
            <w:tcW w:w="1621" w:type="dxa"/>
            <w:vAlign w:val="center"/>
          </w:tcPr>
          <w:p w:rsidR="00AA2E16" w:rsidRDefault="00EC3CD4">
            <w:pPr>
              <w:jc w:val="right"/>
            </w:pPr>
            <w:r>
              <w:rPr>
                <w:color w:val="000000"/>
                <w:kern w:val="0"/>
                <w:sz w:val="24"/>
                <w:szCs w:val="24"/>
              </w:rPr>
              <w:t>0.20</w:t>
            </w:r>
          </w:p>
        </w:tc>
      </w:tr>
      <w:tr w:rsidR="00AA2E16">
        <w:tc>
          <w:tcPr>
            <w:tcW w:w="1808" w:type="dxa"/>
            <w:vAlign w:val="center"/>
          </w:tcPr>
          <w:p w:rsidR="00AA2E16" w:rsidRDefault="00EC3CD4">
            <w:pPr>
              <w:jc w:val="center"/>
            </w:pPr>
            <w:r>
              <w:rPr>
                <w:color w:val="000000"/>
                <w:kern w:val="0"/>
                <w:sz w:val="24"/>
                <w:szCs w:val="24"/>
              </w:rPr>
              <w:t>10</w:t>
            </w:r>
          </w:p>
        </w:tc>
        <w:tc>
          <w:tcPr>
            <w:tcW w:w="1729" w:type="dxa"/>
            <w:vAlign w:val="center"/>
          </w:tcPr>
          <w:p w:rsidR="00AA2E16" w:rsidRDefault="00EC3CD4">
            <w:pPr>
              <w:jc w:val="center"/>
            </w:pPr>
            <w:r>
              <w:rPr>
                <w:color w:val="000000"/>
                <w:kern w:val="0"/>
                <w:sz w:val="24"/>
                <w:szCs w:val="24"/>
              </w:rPr>
              <w:t>113550</w:t>
            </w:r>
          </w:p>
        </w:tc>
        <w:tc>
          <w:tcPr>
            <w:tcW w:w="1658" w:type="dxa"/>
            <w:vAlign w:val="center"/>
          </w:tcPr>
          <w:p w:rsidR="00AA2E16" w:rsidRDefault="00EC3CD4">
            <w:pPr>
              <w:jc w:val="center"/>
            </w:pPr>
            <w:r>
              <w:rPr>
                <w:color w:val="000000"/>
                <w:kern w:val="0"/>
                <w:sz w:val="24"/>
                <w:szCs w:val="24"/>
              </w:rPr>
              <w:t>常汽转债</w:t>
            </w:r>
          </w:p>
        </w:tc>
        <w:tc>
          <w:tcPr>
            <w:tcW w:w="1697" w:type="dxa"/>
            <w:vAlign w:val="center"/>
          </w:tcPr>
          <w:p w:rsidR="00AA2E16" w:rsidRDefault="00EC3CD4">
            <w:pPr>
              <w:jc w:val="right"/>
            </w:pPr>
            <w:r>
              <w:rPr>
                <w:color w:val="000000"/>
                <w:kern w:val="0"/>
                <w:sz w:val="24"/>
                <w:szCs w:val="24"/>
              </w:rPr>
              <w:t>2,537,922.40</w:t>
            </w:r>
          </w:p>
        </w:tc>
        <w:tc>
          <w:tcPr>
            <w:tcW w:w="1621" w:type="dxa"/>
            <w:vAlign w:val="center"/>
          </w:tcPr>
          <w:p w:rsidR="00AA2E16" w:rsidRDefault="00EC3CD4">
            <w:pPr>
              <w:jc w:val="right"/>
            </w:pPr>
            <w:r>
              <w:rPr>
                <w:color w:val="000000"/>
                <w:kern w:val="0"/>
                <w:sz w:val="24"/>
                <w:szCs w:val="24"/>
              </w:rPr>
              <w:t>0.18</w:t>
            </w:r>
          </w:p>
        </w:tc>
      </w:tr>
      <w:tr w:rsidR="00AA2E16">
        <w:tc>
          <w:tcPr>
            <w:tcW w:w="1808" w:type="dxa"/>
            <w:vAlign w:val="center"/>
          </w:tcPr>
          <w:p w:rsidR="00AA2E16" w:rsidRDefault="00EC3CD4">
            <w:pPr>
              <w:jc w:val="center"/>
            </w:pPr>
            <w:r>
              <w:rPr>
                <w:color w:val="000000"/>
                <w:kern w:val="0"/>
                <w:sz w:val="24"/>
                <w:szCs w:val="24"/>
              </w:rPr>
              <w:t>11</w:t>
            </w:r>
          </w:p>
        </w:tc>
        <w:tc>
          <w:tcPr>
            <w:tcW w:w="1729" w:type="dxa"/>
            <w:vAlign w:val="center"/>
          </w:tcPr>
          <w:p w:rsidR="00AA2E16" w:rsidRDefault="00EC3CD4">
            <w:pPr>
              <w:jc w:val="center"/>
            </w:pPr>
            <w:r>
              <w:rPr>
                <w:color w:val="000000"/>
                <w:kern w:val="0"/>
                <w:sz w:val="24"/>
                <w:szCs w:val="24"/>
              </w:rPr>
              <w:t>113509</w:t>
            </w:r>
          </w:p>
        </w:tc>
        <w:tc>
          <w:tcPr>
            <w:tcW w:w="1658" w:type="dxa"/>
            <w:vAlign w:val="center"/>
          </w:tcPr>
          <w:p w:rsidR="00AA2E16" w:rsidRDefault="00EC3CD4">
            <w:pPr>
              <w:jc w:val="center"/>
            </w:pPr>
            <w:r>
              <w:rPr>
                <w:color w:val="000000"/>
                <w:kern w:val="0"/>
                <w:sz w:val="24"/>
                <w:szCs w:val="24"/>
              </w:rPr>
              <w:t>新泉转债</w:t>
            </w:r>
          </w:p>
        </w:tc>
        <w:tc>
          <w:tcPr>
            <w:tcW w:w="1697" w:type="dxa"/>
            <w:vAlign w:val="center"/>
          </w:tcPr>
          <w:p w:rsidR="00AA2E16" w:rsidRDefault="00EC3CD4">
            <w:pPr>
              <w:jc w:val="right"/>
            </w:pPr>
            <w:r>
              <w:rPr>
                <w:color w:val="000000"/>
                <w:kern w:val="0"/>
                <w:sz w:val="24"/>
                <w:szCs w:val="24"/>
              </w:rPr>
              <w:t>2,376,300.00</w:t>
            </w:r>
          </w:p>
        </w:tc>
        <w:tc>
          <w:tcPr>
            <w:tcW w:w="1621" w:type="dxa"/>
            <w:vAlign w:val="center"/>
          </w:tcPr>
          <w:p w:rsidR="00AA2E16" w:rsidRDefault="00EC3CD4">
            <w:pPr>
              <w:jc w:val="right"/>
            </w:pPr>
            <w:r>
              <w:rPr>
                <w:color w:val="000000"/>
                <w:kern w:val="0"/>
                <w:sz w:val="24"/>
                <w:szCs w:val="24"/>
              </w:rPr>
              <w:t>0.17</w:t>
            </w:r>
          </w:p>
        </w:tc>
      </w:tr>
      <w:tr w:rsidR="00AA2E16">
        <w:tc>
          <w:tcPr>
            <w:tcW w:w="1808" w:type="dxa"/>
            <w:vAlign w:val="center"/>
          </w:tcPr>
          <w:p w:rsidR="00AA2E16" w:rsidRDefault="00EC3CD4">
            <w:pPr>
              <w:jc w:val="center"/>
            </w:pPr>
            <w:r>
              <w:rPr>
                <w:color w:val="000000"/>
                <w:kern w:val="0"/>
                <w:sz w:val="24"/>
                <w:szCs w:val="24"/>
              </w:rPr>
              <w:t>12</w:t>
            </w:r>
          </w:p>
        </w:tc>
        <w:tc>
          <w:tcPr>
            <w:tcW w:w="1729" w:type="dxa"/>
            <w:vAlign w:val="center"/>
          </w:tcPr>
          <w:p w:rsidR="00AA2E16" w:rsidRDefault="00EC3CD4">
            <w:pPr>
              <w:jc w:val="center"/>
            </w:pPr>
            <w:r>
              <w:rPr>
                <w:color w:val="000000"/>
                <w:kern w:val="0"/>
                <w:sz w:val="24"/>
                <w:szCs w:val="24"/>
              </w:rPr>
              <w:t>128042</w:t>
            </w:r>
          </w:p>
        </w:tc>
        <w:tc>
          <w:tcPr>
            <w:tcW w:w="1658" w:type="dxa"/>
            <w:vAlign w:val="center"/>
          </w:tcPr>
          <w:p w:rsidR="00AA2E16" w:rsidRDefault="00EC3CD4">
            <w:pPr>
              <w:jc w:val="center"/>
            </w:pPr>
            <w:r>
              <w:rPr>
                <w:color w:val="000000"/>
                <w:kern w:val="0"/>
                <w:sz w:val="24"/>
                <w:szCs w:val="24"/>
              </w:rPr>
              <w:t>凯中转债</w:t>
            </w:r>
          </w:p>
        </w:tc>
        <w:tc>
          <w:tcPr>
            <w:tcW w:w="1697" w:type="dxa"/>
            <w:vAlign w:val="center"/>
          </w:tcPr>
          <w:p w:rsidR="00AA2E16" w:rsidRDefault="00EC3CD4">
            <w:pPr>
              <w:jc w:val="right"/>
            </w:pPr>
            <w:r>
              <w:rPr>
                <w:color w:val="000000"/>
                <w:kern w:val="0"/>
                <w:sz w:val="24"/>
                <w:szCs w:val="24"/>
              </w:rPr>
              <w:t>2,100,400.00</w:t>
            </w:r>
          </w:p>
        </w:tc>
        <w:tc>
          <w:tcPr>
            <w:tcW w:w="1621" w:type="dxa"/>
            <w:vAlign w:val="center"/>
          </w:tcPr>
          <w:p w:rsidR="00AA2E16" w:rsidRDefault="00EC3CD4">
            <w:pPr>
              <w:jc w:val="right"/>
            </w:pPr>
            <w:r>
              <w:rPr>
                <w:color w:val="000000"/>
                <w:kern w:val="0"/>
                <w:sz w:val="24"/>
                <w:szCs w:val="24"/>
              </w:rPr>
              <w:t>0.15</w:t>
            </w:r>
          </w:p>
        </w:tc>
      </w:tr>
      <w:tr w:rsidR="00AA2E16">
        <w:tc>
          <w:tcPr>
            <w:tcW w:w="1808" w:type="dxa"/>
            <w:vAlign w:val="center"/>
          </w:tcPr>
          <w:p w:rsidR="00AA2E16" w:rsidRDefault="00EC3CD4">
            <w:pPr>
              <w:jc w:val="center"/>
            </w:pPr>
            <w:r>
              <w:rPr>
                <w:color w:val="000000"/>
                <w:kern w:val="0"/>
                <w:sz w:val="24"/>
                <w:szCs w:val="24"/>
              </w:rPr>
              <w:t>13</w:t>
            </w:r>
          </w:p>
        </w:tc>
        <w:tc>
          <w:tcPr>
            <w:tcW w:w="1729" w:type="dxa"/>
            <w:vAlign w:val="center"/>
          </w:tcPr>
          <w:p w:rsidR="00AA2E16" w:rsidRDefault="00EC3CD4">
            <w:pPr>
              <w:jc w:val="center"/>
            </w:pPr>
            <w:r>
              <w:rPr>
                <w:color w:val="000000"/>
                <w:kern w:val="0"/>
                <w:sz w:val="24"/>
                <w:szCs w:val="24"/>
              </w:rPr>
              <w:t>128085</w:t>
            </w:r>
          </w:p>
        </w:tc>
        <w:tc>
          <w:tcPr>
            <w:tcW w:w="1658" w:type="dxa"/>
            <w:vAlign w:val="center"/>
          </w:tcPr>
          <w:p w:rsidR="00AA2E16" w:rsidRDefault="00EC3CD4">
            <w:pPr>
              <w:jc w:val="center"/>
            </w:pPr>
            <w:r>
              <w:rPr>
                <w:color w:val="000000"/>
                <w:kern w:val="0"/>
                <w:sz w:val="24"/>
                <w:szCs w:val="24"/>
              </w:rPr>
              <w:t>鸿达转债</w:t>
            </w:r>
          </w:p>
        </w:tc>
        <w:tc>
          <w:tcPr>
            <w:tcW w:w="1697" w:type="dxa"/>
            <w:vAlign w:val="center"/>
          </w:tcPr>
          <w:p w:rsidR="00AA2E16" w:rsidRDefault="00EC3CD4">
            <w:pPr>
              <w:jc w:val="right"/>
            </w:pPr>
            <w:r>
              <w:rPr>
                <w:color w:val="000000"/>
                <w:kern w:val="0"/>
                <w:sz w:val="24"/>
                <w:szCs w:val="24"/>
              </w:rPr>
              <w:t>2,086,287.01</w:t>
            </w:r>
          </w:p>
        </w:tc>
        <w:tc>
          <w:tcPr>
            <w:tcW w:w="1621" w:type="dxa"/>
            <w:vAlign w:val="center"/>
          </w:tcPr>
          <w:p w:rsidR="00AA2E16" w:rsidRDefault="00EC3CD4">
            <w:pPr>
              <w:jc w:val="right"/>
            </w:pPr>
            <w:r>
              <w:rPr>
                <w:color w:val="000000"/>
                <w:kern w:val="0"/>
                <w:sz w:val="24"/>
                <w:szCs w:val="24"/>
              </w:rPr>
              <w:t>0.15</w:t>
            </w:r>
          </w:p>
        </w:tc>
      </w:tr>
      <w:tr w:rsidR="00AA2E16">
        <w:tc>
          <w:tcPr>
            <w:tcW w:w="1808" w:type="dxa"/>
            <w:vAlign w:val="center"/>
          </w:tcPr>
          <w:p w:rsidR="00AA2E16" w:rsidRDefault="00EC3CD4">
            <w:pPr>
              <w:jc w:val="center"/>
            </w:pPr>
            <w:r>
              <w:rPr>
                <w:color w:val="000000"/>
                <w:kern w:val="0"/>
                <w:sz w:val="24"/>
                <w:szCs w:val="24"/>
              </w:rPr>
              <w:t>14</w:t>
            </w:r>
          </w:p>
        </w:tc>
        <w:tc>
          <w:tcPr>
            <w:tcW w:w="1729" w:type="dxa"/>
            <w:vAlign w:val="center"/>
          </w:tcPr>
          <w:p w:rsidR="00AA2E16" w:rsidRDefault="00EC3CD4">
            <w:pPr>
              <w:jc w:val="center"/>
            </w:pPr>
            <w:r>
              <w:rPr>
                <w:color w:val="000000"/>
                <w:kern w:val="0"/>
                <w:sz w:val="24"/>
                <w:szCs w:val="24"/>
              </w:rPr>
              <w:t>113508</w:t>
            </w:r>
          </w:p>
        </w:tc>
        <w:tc>
          <w:tcPr>
            <w:tcW w:w="1658" w:type="dxa"/>
            <w:vAlign w:val="center"/>
          </w:tcPr>
          <w:p w:rsidR="00AA2E16" w:rsidRDefault="00EC3CD4">
            <w:pPr>
              <w:jc w:val="center"/>
            </w:pPr>
            <w:r>
              <w:rPr>
                <w:color w:val="000000"/>
                <w:kern w:val="0"/>
                <w:sz w:val="24"/>
                <w:szCs w:val="24"/>
              </w:rPr>
              <w:t>新凤转债</w:t>
            </w:r>
          </w:p>
        </w:tc>
        <w:tc>
          <w:tcPr>
            <w:tcW w:w="1697" w:type="dxa"/>
            <w:vAlign w:val="center"/>
          </w:tcPr>
          <w:p w:rsidR="00AA2E16" w:rsidRDefault="00EC3CD4">
            <w:pPr>
              <w:jc w:val="right"/>
            </w:pPr>
            <w:r>
              <w:rPr>
                <w:color w:val="000000"/>
                <w:kern w:val="0"/>
                <w:sz w:val="24"/>
                <w:szCs w:val="24"/>
              </w:rPr>
              <w:t>1,841,519.40</w:t>
            </w:r>
          </w:p>
        </w:tc>
        <w:tc>
          <w:tcPr>
            <w:tcW w:w="1621" w:type="dxa"/>
            <w:vAlign w:val="center"/>
          </w:tcPr>
          <w:p w:rsidR="00AA2E16" w:rsidRDefault="00EC3CD4">
            <w:pPr>
              <w:jc w:val="right"/>
            </w:pPr>
            <w:r>
              <w:rPr>
                <w:color w:val="000000"/>
                <w:kern w:val="0"/>
                <w:sz w:val="24"/>
                <w:szCs w:val="24"/>
              </w:rPr>
              <w:t>0.13</w:t>
            </w:r>
          </w:p>
        </w:tc>
      </w:tr>
      <w:tr w:rsidR="00AA2E16">
        <w:tc>
          <w:tcPr>
            <w:tcW w:w="1808" w:type="dxa"/>
            <w:vAlign w:val="center"/>
          </w:tcPr>
          <w:p w:rsidR="00AA2E16" w:rsidRDefault="00EC3CD4">
            <w:pPr>
              <w:jc w:val="center"/>
            </w:pPr>
            <w:r>
              <w:rPr>
                <w:color w:val="000000"/>
                <w:kern w:val="0"/>
                <w:sz w:val="24"/>
                <w:szCs w:val="24"/>
              </w:rPr>
              <w:t>15</w:t>
            </w:r>
          </w:p>
        </w:tc>
        <w:tc>
          <w:tcPr>
            <w:tcW w:w="1729" w:type="dxa"/>
            <w:vAlign w:val="center"/>
          </w:tcPr>
          <w:p w:rsidR="00AA2E16" w:rsidRDefault="00EC3CD4">
            <w:pPr>
              <w:jc w:val="center"/>
            </w:pPr>
            <w:r>
              <w:rPr>
                <w:color w:val="000000"/>
                <w:kern w:val="0"/>
                <w:sz w:val="24"/>
                <w:szCs w:val="24"/>
              </w:rPr>
              <w:t>113559</w:t>
            </w:r>
          </w:p>
        </w:tc>
        <w:tc>
          <w:tcPr>
            <w:tcW w:w="1658" w:type="dxa"/>
            <w:vAlign w:val="center"/>
          </w:tcPr>
          <w:p w:rsidR="00AA2E16" w:rsidRDefault="00EC3CD4">
            <w:pPr>
              <w:jc w:val="center"/>
            </w:pPr>
            <w:r>
              <w:rPr>
                <w:color w:val="000000"/>
                <w:kern w:val="0"/>
                <w:sz w:val="24"/>
                <w:szCs w:val="24"/>
              </w:rPr>
              <w:t>永创转债</w:t>
            </w:r>
          </w:p>
        </w:tc>
        <w:tc>
          <w:tcPr>
            <w:tcW w:w="1697" w:type="dxa"/>
            <w:vAlign w:val="center"/>
          </w:tcPr>
          <w:p w:rsidR="00AA2E16" w:rsidRDefault="00EC3CD4">
            <w:pPr>
              <w:jc w:val="right"/>
            </w:pPr>
            <w:r>
              <w:rPr>
                <w:color w:val="000000"/>
                <w:kern w:val="0"/>
                <w:sz w:val="24"/>
                <w:szCs w:val="24"/>
              </w:rPr>
              <w:t>1,283,456.00</w:t>
            </w:r>
          </w:p>
        </w:tc>
        <w:tc>
          <w:tcPr>
            <w:tcW w:w="1621" w:type="dxa"/>
            <w:vAlign w:val="center"/>
          </w:tcPr>
          <w:p w:rsidR="00AA2E16" w:rsidRDefault="00EC3CD4">
            <w:pPr>
              <w:jc w:val="right"/>
            </w:pPr>
            <w:r>
              <w:rPr>
                <w:color w:val="000000"/>
                <w:kern w:val="0"/>
                <w:sz w:val="24"/>
                <w:szCs w:val="24"/>
              </w:rPr>
              <w:t>0.09</w:t>
            </w:r>
          </w:p>
        </w:tc>
      </w:tr>
      <w:tr w:rsidR="00AA2E16">
        <w:tc>
          <w:tcPr>
            <w:tcW w:w="1808" w:type="dxa"/>
            <w:vAlign w:val="center"/>
          </w:tcPr>
          <w:p w:rsidR="00AA2E16" w:rsidRDefault="00EC3CD4">
            <w:pPr>
              <w:jc w:val="center"/>
            </w:pPr>
            <w:r>
              <w:rPr>
                <w:color w:val="000000"/>
                <w:kern w:val="0"/>
                <w:sz w:val="24"/>
                <w:szCs w:val="24"/>
              </w:rPr>
              <w:t>16</w:t>
            </w:r>
          </w:p>
        </w:tc>
        <w:tc>
          <w:tcPr>
            <w:tcW w:w="1729" w:type="dxa"/>
            <w:vAlign w:val="center"/>
          </w:tcPr>
          <w:p w:rsidR="00AA2E16" w:rsidRDefault="00EC3CD4">
            <w:pPr>
              <w:jc w:val="center"/>
            </w:pPr>
            <w:r>
              <w:rPr>
                <w:color w:val="000000"/>
                <w:kern w:val="0"/>
                <w:sz w:val="24"/>
                <w:szCs w:val="24"/>
              </w:rPr>
              <w:t>132009</w:t>
            </w:r>
          </w:p>
        </w:tc>
        <w:tc>
          <w:tcPr>
            <w:tcW w:w="1658" w:type="dxa"/>
            <w:vAlign w:val="center"/>
          </w:tcPr>
          <w:p w:rsidR="00AA2E16" w:rsidRDefault="00EC3CD4">
            <w:pPr>
              <w:jc w:val="center"/>
            </w:pPr>
            <w:r>
              <w:rPr>
                <w:color w:val="000000"/>
                <w:kern w:val="0"/>
                <w:sz w:val="24"/>
                <w:szCs w:val="24"/>
              </w:rPr>
              <w:t>17</w:t>
            </w:r>
            <w:r>
              <w:rPr>
                <w:color w:val="000000"/>
                <w:kern w:val="0"/>
                <w:sz w:val="24"/>
                <w:szCs w:val="24"/>
              </w:rPr>
              <w:t>中油</w:t>
            </w:r>
            <w:r>
              <w:rPr>
                <w:color w:val="000000"/>
                <w:kern w:val="0"/>
                <w:sz w:val="24"/>
                <w:szCs w:val="24"/>
              </w:rPr>
              <w:t>EB</w:t>
            </w:r>
          </w:p>
        </w:tc>
        <w:tc>
          <w:tcPr>
            <w:tcW w:w="1697" w:type="dxa"/>
            <w:vAlign w:val="center"/>
          </w:tcPr>
          <w:p w:rsidR="00AA2E16" w:rsidRDefault="00EC3CD4">
            <w:pPr>
              <w:jc w:val="right"/>
            </w:pPr>
            <w:r>
              <w:rPr>
                <w:color w:val="000000"/>
                <w:kern w:val="0"/>
                <w:sz w:val="24"/>
                <w:szCs w:val="24"/>
              </w:rPr>
              <w:t>1,272,933.90</w:t>
            </w:r>
          </w:p>
        </w:tc>
        <w:tc>
          <w:tcPr>
            <w:tcW w:w="1621" w:type="dxa"/>
            <w:vAlign w:val="center"/>
          </w:tcPr>
          <w:p w:rsidR="00AA2E16" w:rsidRDefault="00EC3CD4">
            <w:pPr>
              <w:jc w:val="right"/>
            </w:pPr>
            <w:r>
              <w:rPr>
                <w:color w:val="000000"/>
                <w:kern w:val="0"/>
                <w:sz w:val="24"/>
                <w:szCs w:val="24"/>
              </w:rPr>
              <w:t>0.09</w:t>
            </w:r>
          </w:p>
        </w:tc>
      </w:tr>
      <w:tr w:rsidR="00AA2E16">
        <w:tc>
          <w:tcPr>
            <w:tcW w:w="1808" w:type="dxa"/>
            <w:vAlign w:val="center"/>
          </w:tcPr>
          <w:p w:rsidR="00AA2E16" w:rsidRDefault="00EC3CD4">
            <w:pPr>
              <w:jc w:val="center"/>
            </w:pPr>
            <w:r>
              <w:rPr>
                <w:color w:val="000000"/>
                <w:kern w:val="0"/>
                <w:sz w:val="24"/>
                <w:szCs w:val="24"/>
              </w:rPr>
              <w:t>17</w:t>
            </w:r>
          </w:p>
        </w:tc>
        <w:tc>
          <w:tcPr>
            <w:tcW w:w="1729" w:type="dxa"/>
            <w:vAlign w:val="center"/>
          </w:tcPr>
          <w:p w:rsidR="00AA2E16" w:rsidRDefault="00EC3CD4">
            <w:pPr>
              <w:jc w:val="center"/>
            </w:pPr>
            <w:r>
              <w:rPr>
                <w:color w:val="000000"/>
                <w:kern w:val="0"/>
                <w:sz w:val="24"/>
                <w:szCs w:val="24"/>
              </w:rPr>
              <w:t>128023</w:t>
            </w:r>
          </w:p>
        </w:tc>
        <w:tc>
          <w:tcPr>
            <w:tcW w:w="1658" w:type="dxa"/>
            <w:vAlign w:val="center"/>
          </w:tcPr>
          <w:p w:rsidR="00AA2E16" w:rsidRDefault="00EC3CD4">
            <w:pPr>
              <w:jc w:val="center"/>
            </w:pPr>
            <w:r>
              <w:rPr>
                <w:color w:val="000000"/>
                <w:kern w:val="0"/>
                <w:sz w:val="24"/>
                <w:szCs w:val="24"/>
              </w:rPr>
              <w:t>亚太转债</w:t>
            </w:r>
          </w:p>
        </w:tc>
        <w:tc>
          <w:tcPr>
            <w:tcW w:w="1697" w:type="dxa"/>
            <w:vAlign w:val="center"/>
          </w:tcPr>
          <w:p w:rsidR="00AA2E16" w:rsidRDefault="00EC3CD4">
            <w:pPr>
              <w:jc w:val="right"/>
            </w:pPr>
            <w:r>
              <w:rPr>
                <w:color w:val="000000"/>
                <w:kern w:val="0"/>
                <w:sz w:val="24"/>
                <w:szCs w:val="24"/>
              </w:rPr>
              <w:t>1,251,982.84</w:t>
            </w:r>
          </w:p>
        </w:tc>
        <w:tc>
          <w:tcPr>
            <w:tcW w:w="1621" w:type="dxa"/>
            <w:vAlign w:val="center"/>
          </w:tcPr>
          <w:p w:rsidR="00AA2E16" w:rsidRDefault="00EC3CD4">
            <w:pPr>
              <w:jc w:val="right"/>
            </w:pPr>
            <w:r>
              <w:rPr>
                <w:color w:val="000000"/>
                <w:kern w:val="0"/>
                <w:sz w:val="24"/>
                <w:szCs w:val="24"/>
              </w:rPr>
              <w:t>0.09</w:t>
            </w:r>
          </w:p>
        </w:tc>
      </w:tr>
      <w:tr w:rsidR="00AA2E16">
        <w:tc>
          <w:tcPr>
            <w:tcW w:w="1808" w:type="dxa"/>
            <w:vAlign w:val="center"/>
          </w:tcPr>
          <w:p w:rsidR="00AA2E16" w:rsidRDefault="00EC3CD4">
            <w:pPr>
              <w:jc w:val="center"/>
            </w:pPr>
            <w:r>
              <w:rPr>
                <w:color w:val="000000"/>
                <w:kern w:val="0"/>
                <w:sz w:val="24"/>
                <w:szCs w:val="24"/>
              </w:rPr>
              <w:t>18</w:t>
            </w:r>
          </w:p>
        </w:tc>
        <w:tc>
          <w:tcPr>
            <w:tcW w:w="1729" w:type="dxa"/>
            <w:vAlign w:val="center"/>
          </w:tcPr>
          <w:p w:rsidR="00AA2E16" w:rsidRDefault="00EC3CD4">
            <w:pPr>
              <w:jc w:val="center"/>
            </w:pPr>
            <w:r>
              <w:rPr>
                <w:color w:val="000000"/>
                <w:kern w:val="0"/>
                <w:sz w:val="24"/>
                <w:szCs w:val="24"/>
              </w:rPr>
              <w:t>110031</w:t>
            </w:r>
          </w:p>
        </w:tc>
        <w:tc>
          <w:tcPr>
            <w:tcW w:w="1658" w:type="dxa"/>
            <w:vAlign w:val="center"/>
          </w:tcPr>
          <w:p w:rsidR="00AA2E16" w:rsidRDefault="00EC3CD4">
            <w:pPr>
              <w:jc w:val="center"/>
            </w:pPr>
            <w:r>
              <w:rPr>
                <w:color w:val="000000"/>
                <w:kern w:val="0"/>
                <w:sz w:val="24"/>
                <w:szCs w:val="24"/>
              </w:rPr>
              <w:t>航信转债</w:t>
            </w:r>
          </w:p>
        </w:tc>
        <w:tc>
          <w:tcPr>
            <w:tcW w:w="1697" w:type="dxa"/>
            <w:vAlign w:val="center"/>
          </w:tcPr>
          <w:p w:rsidR="00AA2E16" w:rsidRDefault="00EC3CD4">
            <w:pPr>
              <w:jc w:val="right"/>
            </w:pPr>
            <w:r>
              <w:rPr>
                <w:color w:val="000000"/>
                <w:kern w:val="0"/>
                <w:sz w:val="24"/>
                <w:szCs w:val="24"/>
              </w:rPr>
              <w:t>1,078,700.00</w:t>
            </w:r>
          </w:p>
        </w:tc>
        <w:tc>
          <w:tcPr>
            <w:tcW w:w="1621" w:type="dxa"/>
            <w:vAlign w:val="center"/>
          </w:tcPr>
          <w:p w:rsidR="00AA2E16" w:rsidRDefault="00EC3CD4">
            <w:pPr>
              <w:jc w:val="right"/>
            </w:pPr>
            <w:r>
              <w:rPr>
                <w:color w:val="000000"/>
                <w:kern w:val="0"/>
                <w:sz w:val="24"/>
                <w:szCs w:val="24"/>
              </w:rPr>
              <w:t>0.08</w:t>
            </w:r>
          </w:p>
        </w:tc>
      </w:tr>
      <w:tr w:rsidR="00AA2E16">
        <w:tc>
          <w:tcPr>
            <w:tcW w:w="1808" w:type="dxa"/>
            <w:vAlign w:val="center"/>
          </w:tcPr>
          <w:p w:rsidR="00AA2E16" w:rsidRDefault="00EC3CD4">
            <w:pPr>
              <w:jc w:val="center"/>
            </w:pPr>
            <w:r>
              <w:rPr>
                <w:color w:val="000000"/>
                <w:kern w:val="0"/>
                <w:sz w:val="24"/>
                <w:szCs w:val="24"/>
              </w:rPr>
              <w:t>19</w:t>
            </w:r>
          </w:p>
        </w:tc>
        <w:tc>
          <w:tcPr>
            <w:tcW w:w="1729" w:type="dxa"/>
            <w:vAlign w:val="center"/>
          </w:tcPr>
          <w:p w:rsidR="00AA2E16" w:rsidRDefault="00EC3CD4">
            <w:pPr>
              <w:jc w:val="center"/>
            </w:pPr>
            <w:r>
              <w:rPr>
                <w:color w:val="000000"/>
                <w:kern w:val="0"/>
                <w:sz w:val="24"/>
                <w:szCs w:val="24"/>
              </w:rPr>
              <w:t>110047</w:t>
            </w:r>
          </w:p>
        </w:tc>
        <w:tc>
          <w:tcPr>
            <w:tcW w:w="1658" w:type="dxa"/>
            <w:vAlign w:val="center"/>
          </w:tcPr>
          <w:p w:rsidR="00AA2E16" w:rsidRDefault="00EC3CD4">
            <w:pPr>
              <w:jc w:val="center"/>
            </w:pPr>
            <w:r>
              <w:rPr>
                <w:color w:val="000000"/>
                <w:kern w:val="0"/>
                <w:sz w:val="24"/>
                <w:szCs w:val="24"/>
              </w:rPr>
              <w:t>山鹰转债</w:t>
            </w:r>
          </w:p>
        </w:tc>
        <w:tc>
          <w:tcPr>
            <w:tcW w:w="1697" w:type="dxa"/>
            <w:vAlign w:val="center"/>
          </w:tcPr>
          <w:p w:rsidR="00AA2E16" w:rsidRDefault="00EC3CD4">
            <w:pPr>
              <w:jc w:val="right"/>
            </w:pPr>
            <w:r>
              <w:rPr>
                <w:color w:val="000000"/>
                <w:kern w:val="0"/>
                <w:sz w:val="24"/>
                <w:szCs w:val="24"/>
              </w:rPr>
              <w:t>1,078,100.00</w:t>
            </w:r>
          </w:p>
        </w:tc>
        <w:tc>
          <w:tcPr>
            <w:tcW w:w="1621" w:type="dxa"/>
            <w:vAlign w:val="center"/>
          </w:tcPr>
          <w:p w:rsidR="00AA2E16" w:rsidRDefault="00EC3CD4">
            <w:pPr>
              <w:jc w:val="right"/>
            </w:pPr>
            <w:r>
              <w:rPr>
                <w:color w:val="000000"/>
                <w:kern w:val="0"/>
                <w:sz w:val="24"/>
                <w:szCs w:val="24"/>
              </w:rPr>
              <w:t>0.08</w:t>
            </w:r>
          </w:p>
        </w:tc>
      </w:tr>
      <w:tr w:rsidR="00AA2E16">
        <w:tc>
          <w:tcPr>
            <w:tcW w:w="1808" w:type="dxa"/>
            <w:vAlign w:val="center"/>
          </w:tcPr>
          <w:p w:rsidR="00AA2E16" w:rsidRDefault="00EC3CD4">
            <w:pPr>
              <w:jc w:val="center"/>
            </w:pPr>
            <w:r>
              <w:rPr>
                <w:color w:val="000000"/>
                <w:kern w:val="0"/>
                <w:sz w:val="24"/>
                <w:szCs w:val="24"/>
              </w:rPr>
              <w:t>20</w:t>
            </w:r>
          </w:p>
        </w:tc>
        <w:tc>
          <w:tcPr>
            <w:tcW w:w="1729" w:type="dxa"/>
            <w:vAlign w:val="center"/>
          </w:tcPr>
          <w:p w:rsidR="00AA2E16" w:rsidRDefault="00EC3CD4">
            <w:pPr>
              <w:jc w:val="center"/>
            </w:pPr>
            <w:r>
              <w:rPr>
                <w:color w:val="000000"/>
                <w:kern w:val="0"/>
                <w:sz w:val="24"/>
                <w:szCs w:val="24"/>
              </w:rPr>
              <w:t>128081</w:t>
            </w:r>
          </w:p>
        </w:tc>
        <w:tc>
          <w:tcPr>
            <w:tcW w:w="1658" w:type="dxa"/>
            <w:vAlign w:val="center"/>
          </w:tcPr>
          <w:p w:rsidR="00AA2E16" w:rsidRDefault="00EC3CD4">
            <w:pPr>
              <w:jc w:val="center"/>
            </w:pPr>
            <w:r>
              <w:rPr>
                <w:color w:val="000000"/>
                <w:kern w:val="0"/>
                <w:sz w:val="24"/>
                <w:szCs w:val="24"/>
              </w:rPr>
              <w:t>海亮转债</w:t>
            </w:r>
          </w:p>
        </w:tc>
        <w:tc>
          <w:tcPr>
            <w:tcW w:w="1697" w:type="dxa"/>
            <w:vAlign w:val="center"/>
          </w:tcPr>
          <w:p w:rsidR="00AA2E16" w:rsidRDefault="00EC3CD4">
            <w:pPr>
              <w:jc w:val="right"/>
            </w:pPr>
            <w:r>
              <w:rPr>
                <w:color w:val="000000"/>
                <w:kern w:val="0"/>
                <w:sz w:val="24"/>
                <w:szCs w:val="24"/>
              </w:rPr>
              <w:t>1,038,700.00</w:t>
            </w:r>
          </w:p>
        </w:tc>
        <w:tc>
          <w:tcPr>
            <w:tcW w:w="1621" w:type="dxa"/>
            <w:vAlign w:val="center"/>
          </w:tcPr>
          <w:p w:rsidR="00AA2E16" w:rsidRDefault="00EC3CD4">
            <w:pPr>
              <w:jc w:val="right"/>
            </w:pPr>
            <w:r>
              <w:rPr>
                <w:color w:val="000000"/>
                <w:kern w:val="0"/>
                <w:sz w:val="24"/>
                <w:szCs w:val="24"/>
              </w:rPr>
              <w:t>0.08</w:t>
            </w:r>
          </w:p>
        </w:tc>
      </w:tr>
      <w:tr w:rsidR="00AA2E16">
        <w:tc>
          <w:tcPr>
            <w:tcW w:w="1808" w:type="dxa"/>
            <w:vAlign w:val="center"/>
          </w:tcPr>
          <w:p w:rsidR="00AA2E16" w:rsidRDefault="00EC3CD4">
            <w:pPr>
              <w:jc w:val="center"/>
            </w:pPr>
            <w:r>
              <w:rPr>
                <w:color w:val="000000"/>
                <w:kern w:val="0"/>
                <w:sz w:val="24"/>
                <w:szCs w:val="24"/>
              </w:rPr>
              <w:t>21</w:t>
            </w:r>
          </w:p>
        </w:tc>
        <w:tc>
          <w:tcPr>
            <w:tcW w:w="1729" w:type="dxa"/>
            <w:vAlign w:val="center"/>
          </w:tcPr>
          <w:p w:rsidR="00AA2E16" w:rsidRDefault="00EC3CD4">
            <w:pPr>
              <w:jc w:val="center"/>
            </w:pPr>
            <w:r>
              <w:rPr>
                <w:color w:val="000000"/>
                <w:kern w:val="0"/>
                <w:sz w:val="24"/>
                <w:szCs w:val="24"/>
              </w:rPr>
              <w:t>113025</w:t>
            </w:r>
          </w:p>
        </w:tc>
        <w:tc>
          <w:tcPr>
            <w:tcW w:w="1658" w:type="dxa"/>
            <w:vAlign w:val="center"/>
          </w:tcPr>
          <w:p w:rsidR="00AA2E16" w:rsidRDefault="00EC3CD4">
            <w:pPr>
              <w:jc w:val="center"/>
            </w:pPr>
            <w:r>
              <w:rPr>
                <w:color w:val="000000"/>
                <w:kern w:val="0"/>
                <w:sz w:val="24"/>
                <w:szCs w:val="24"/>
              </w:rPr>
              <w:t>明泰转债</w:t>
            </w:r>
          </w:p>
        </w:tc>
        <w:tc>
          <w:tcPr>
            <w:tcW w:w="1697" w:type="dxa"/>
            <w:vAlign w:val="center"/>
          </w:tcPr>
          <w:p w:rsidR="00AA2E16" w:rsidRDefault="00EC3CD4">
            <w:pPr>
              <w:jc w:val="right"/>
            </w:pPr>
            <w:r>
              <w:rPr>
                <w:color w:val="000000"/>
                <w:kern w:val="0"/>
                <w:sz w:val="24"/>
                <w:szCs w:val="24"/>
              </w:rPr>
              <w:t>1,025,700.00</w:t>
            </w:r>
          </w:p>
        </w:tc>
        <w:tc>
          <w:tcPr>
            <w:tcW w:w="1621" w:type="dxa"/>
            <w:vAlign w:val="center"/>
          </w:tcPr>
          <w:p w:rsidR="00AA2E16" w:rsidRDefault="00EC3CD4">
            <w:pPr>
              <w:jc w:val="right"/>
            </w:pPr>
            <w:r>
              <w:rPr>
                <w:color w:val="000000"/>
                <w:kern w:val="0"/>
                <w:sz w:val="24"/>
                <w:szCs w:val="24"/>
              </w:rPr>
              <w:t>0.07</w:t>
            </w:r>
          </w:p>
        </w:tc>
      </w:tr>
      <w:tr w:rsidR="00AA2E16">
        <w:tc>
          <w:tcPr>
            <w:tcW w:w="1808" w:type="dxa"/>
            <w:vAlign w:val="center"/>
          </w:tcPr>
          <w:p w:rsidR="00AA2E16" w:rsidRDefault="00EC3CD4">
            <w:pPr>
              <w:jc w:val="center"/>
            </w:pPr>
            <w:r>
              <w:rPr>
                <w:color w:val="000000"/>
                <w:kern w:val="0"/>
                <w:sz w:val="24"/>
                <w:szCs w:val="24"/>
              </w:rPr>
              <w:t>22</w:t>
            </w:r>
          </w:p>
        </w:tc>
        <w:tc>
          <w:tcPr>
            <w:tcW w:w="1729" w:type="dxa"/>
            <w:vAlign w:val="center"/>
          </w:tcPr>
          <w:p w:rsidR="00AA2E16" w:rsidRDefault="00EC3CD4">
            <w:pPr>
              <w:jc w:val="center"/>
            </w:pPr>
            <w:r>
              <w:rPr>
                <w:color w:val="000000"/>
                <w:kern w:val="0"/>
                <w:sz w:val="24"/>
                <w:szCs w:val="24"/>
              </w:rPr>
              <w:t>127011</w:t>
            </w:r>
          </w:p>
        </w:tc>
        <w:tc>
          <w:tcPr>
            <w:tcW w:w="1658" w:type="dxa"/>
            <w:vAlign w:val="center"/>
          </w:tcPr>
          <w:p w:rsidR="00AA2E16" w:rsidRDefault="00EC3CD4">
            <w:pPr>
              <w:jc w:val="center"/>
            </w:pPr>
            <w:r>
              <w:rPr>
                <w:color w:val="000000"/>
                <w:kern w:val="0"/>
                <w:sz w:val="24"/>
                <w:szCs w:val="24"/>
              </w:rPr>
              <w:t>中鼎转</w:t>
            </w:r>
            <w:r>
              <w:rPr>
                <w:color w:val="000000"/>
                <w:kern w:val="0"/>
                <w:sz w:val="24"/>
                <w:szCs w:val="24"/>
              </w:rPr>
              <w:t>2</w:t>
            </w:r>
          </w:p>
        </w:tc>
        <w:tc>
          <w:tcPr>
            <w:tcW w:w="1697" w:type="dxa"/>
            <w:vAlign w:val="center"/>
          </w:tcPr>
          <w:p w:rsidR="00AA2E16" w:rsidRDefault="00EC3CD4">
            <w:pPr>
              <w:jc w:val="right"/>
            </w:pPr>
            <w:r>
              <w:rPr>
                <w:color w:val="000000"/>
                <w:kern w:val="0"/>
                <w:sz w:val="24"/>
                <w:szCs w:val="24"/>
              </w:rPr>
              <w:t>1,025,200.00</w:t>
            </w:r>
          </w:p>
        </w:tc>
        <w:tc>
          <w:tcPr>
            <w:tcW w:w="1621" w:type="dxa"/>
            <w:vAlign w:val="center"/>
          </w:tcPr>
          <w:p w:rsidR="00AA2E16" w:rsidRDefault="00EC3CD4">
            <w:pPr>
              <w:jc w:val="right"/>
            </w:pPr>
            <w:r>
              <w:rPr>
                <w:color w:val="000000"/>
                <w:kern w:val="0"/>
                <w:sz w:val="24"/>
                <w:szCs w:val="24"/>
              </w:rPr>
              <w:t>0.07</w:t>
            </w:r>
          </w:p>
        </w:tc>
      </w:tr>
      <w:tr w:rsidR="00AA2E16">
        <w:tc>
          <w:tcPr>
            <w:tcW w:w="1808" w:type="dxa"/>
            <w:vAlign w:val="center"/>
          </w:tcPr>
          <w:p w:rsidR="00AA2E16" w:rsidRDefault="00EC3CD4">
            <w:pPr>
              <w:jc w:val="center"/>
            </w:pPr>
            <w:r>
              <w:rPr>
                <w:color w:val="000000"/>
                <w:kern w:val="0"/>
                <w:sz w:val="24"/>
                <w:szCs w:val="24"/>
              </w:rPr>
              <w:t>23</w:t>
            </w:r>
          </w:p>
        </w:tc>
        <w:tc>
          <w:tcPr>
            <w:tcW w:w="1729" w:type="dxa"/>
            <w:vAlign w:val="center"/>
          </w:tcPr>
          <w:p w:rsidR="00AA2E16" w:rsidRDefault="00EC3CD4">
            <w:pPr>
              <w:jc w:val="center"/>
            </w:pPr>
            <w:r>
              <w:rPr>
                <w:color w:val="000000"/>
                <w:kern w:val="0"/>
                <w:sz w:val="24"/>
                <w:szCs w:val="24"/>
              </w:rPr>
              <w:t>128026</w:t>
            </w:r>
          </w:p>
        </w:tc>
        <w:tc>
          <w:tcPr>
            <w:tcW w:w="1658" w:type="dxa"/>
            <w:vAlign w:val="center"/>
          </w:tcPr>
          <w:p w:rsidR="00AA2E16" w:rsidRDefault="00EC3CD4">
            <w:pPr>
              <w:jc w:val="center"/>
            </w:pPr>
            <w:r>
              <w:rPr>
                <w:color w:val="000000"/>
                <w:kern w:val="0"/>
                <w:sz w:val="24"/>
                <w:szCs w:val="24"/>
              </w:rPr>
              <w:t>众兴转债</w:t>
            </w:r>
          </w:p>
        </w:tc>
        <w:tc>
          <w:tcPr>
            <w:tcW w:w="1697" w:type="dxa"/>
            <w:vAlign w:val="center"/>
          </w:tcPr>
          <w:p w:rsidR="00AA2E16" w:rsidRDefault="00EC3CD4">
            <w:pPr>
              <w:jc w:val="right"/>
            </w:pPr>
            <w:r>
              <w:rPr>
                <w:color w:val="000000"/>
                <w:kern w:val="0"/>
                <w:sz w:val="24"/>
                <w:szCs w:val="24"/>
              </w:rPr>
              <w:t>983,400.00</w:t>
            </w:r>
          </w:p>
        </w:tc>
        <w:tc>
          <w:tcPr>
            <w:tcW w:w="1621" w:type="dxa"/>
            <w:vAlign w:val="center"/>
          </w:tcPr>
          <w:p w:rsidR="00AA2E16" w:rsidRDefault="00EC3CD4">
            <w:pPr>
              <w:jc w:val="right"/>
            </w:pPr>
            <w:r>
              <w:rPr>
                <w:color w:val="000000"/>
                <w:kern w:val="0"/>
                <w:sz w:val="24"/>
                <w:szCs w:val="24"/>
              </w:rPr>
              <w:t>0.07</w:t>
            </w:r>
          </w:p>
        </w:tc>
      </w:tr>
      <w:tr w:rsidR="00AA2E16">
        <w:tc>
          <w:tcPr>
            <w:tcW w:w="1808" w:type="dxa"/>
            <w:vAlign w:val="center"/>
          </w:tcPr>
          <w:p w:rsidR="00AA2E16" w:rsidRDefault="00EC3CD4">
            <w:pPr>
              <w:jc w:val="center"/>
            </w:pPr>
            <w:r>
              <w:rPr>
                <w:color w:val="000000"/>
                <w:kern w:val="0"/>
                <w:sz w:val="24"/>
                <w:szCs w:val="24"/>
              </w:rPr>
              <w:lastRenderedPageBreak/>
              <w:t>24</w:t>
            </w:r>
          </w:p>
        </w:tc>
        <w:tc>
          <w:tcPr>
            <w:tcW w:w="1729" w:type="dxa"/>
            <w:vAlign w:val="center"/>
          </w:tcPr>
          <w:p w:rsidR="00AA2E16" w:rsidRDefault="00EC3CD4">
            <w:pPr>
              <w:jc w:val="center"/>
            </w:pPr>
            <w:r>
              <w:rPr>
                <w:color w:val="000000"/>
                <w:kern w:val="0"/>
                <w:sz w:val="24"/>
                <w:szCs w:val="24"/>
              </w:rPr>
              <w:t>110045</w:t>
            </w:r>
          </w:p>
        </w:tc>
        <w:tc>
          <w:tcPr>
            <w:tcW w:w="1658" w:type="dxa"/>
            <w:vAlign w:val="center"/>
          </w:tcPr>
          <w:p w:rsidR="00AA2E16" w:rsidRDefault="00EC3CD4">
            <w:pPr>
              <w:jc w:val="center"/>
            </w:pPr>
            <w:r>
              <w:rPr>
                <w:color w:val="000000"/>
                <w:kern w:val="0"/>
                <w:sz w:val="24"/>
                <w:szCs w:val="24"/>
              </w:rPr>
              <w:t>海澜转债</w:t>
            </w:r>
          </w:p>
        </w:tc>
        <w:tc>
          <w:tcPr>
            <w:tcW w:w="1697" w:type="dxa"/>
            <w:vAlign w:val="center"/>
          </w:tcPr>
          <w:p w:rsidR="00AA2E16" w:rsidRDefault="00EC3CD4">
            <w:pPr>
              <w:jc w:val="right"/>
            </w:pPr>
            <w:r>
              <w:rPr>
                <w:color w:val="000000"/>
                <w:kern w:val="0"/>
                <w:sz w:val="24"/>
                <w:szCs w:val="24"/>
              </w:rPr>
              <w:t>967,600.00</w:t>
            </w:r>
          </w:p>
        </w:tc>
        <w:tc>
          <w:tcPr>
            <w:tcW w:w="1621" w:type="dxa"/>
            <w:vAlign w:val="center"/>
          </w:tcPr>
          <w:p w:rsidR="00AA2E16" w:rsidRDefault="00EC3CD4">
            <w:pPr>
              <w:jc w:val="right"/>
            </w:pPr>
            <w:r>
              <w:rPr>
                <w:color w:val="000000"/>
                <w:kern w:val="0"/>
                <w:sz w:val="24"/>
                <w:szCs w:val="24"/>
              </w:rPr>
              <w:t>0.07</w:t>
            </w:r>
          </w:p>
        </w:tc>
      </w:tr>
      <w:tr w:rsidR="00AA2E16">
        <w:tc>
          <w:tcPr>
            <w:tcW w:w="1808" w:type="dxa"/>
            <w:vAlign w:val="center"/>
          </w:tcPr>
          <w:p w:rsidR="00AA2E16" w:rsidRDefault="00EC3CD4">
            <w:pPr>
              <w:jc w:val="center"/>
            </w:pPr>
            <w:r>
              <w:rPr>
                <w:color w:val="000000"/>
                <w:kern w:val="0"/>
                <w:sz w:val="24"/>
                <w:szCs w:val="24"/>
              </w:rPr>
              <w:t>25</w:t>
            </w:r>
          </w:p>
        </w:tc>
        <w:tc>
          <w:tcPr>
            <w:tcW w:w="1729" w:type="dxa"/>
            <w:vAlign w:val="center"/>
          </w:tcPr>
          <w:p w:rsidR="00AA2E16" w:rsidRDefault="00EC3CD4">
            <w:pPr>
              <w:jc w:val="center"/>
            </w:pPr>
            <w:r>
              <w:rPr>
                <w:color w:val="000000"/>
                <w:kern w:val="0"/>
                <w:sz w:val="24"/>
                <w:szCs w:val="24"/>
              </w:rPr>
              <w:t>113016</w:t>
            </w:r>
          </w:p>
        </w:tc>
        <w:tc>
          <w:tcPr>
            <w:tcW w:w="1658" w:type="dxa"/>
            <w:vAlign w:val="center"/>
          </w:tcPr>
          <w:p w:rsidR="00AA2E16" w:rsidRDefault="00EC3CD4">
            <w:pPr>
              <w:jc w:val="center"/>
            </w:pPr>
            <w:r>
              <w:rPr>
                <w:color w:val="000000"/>
                <w:kern w:val="0"/>
                <w:sz w:val="24"/>
                <w:szCs w:val="24"/>
              </w:rPr>
              <w:t>小康转债</w:t>
            </w:r>
          </w:p>
        </w:tc>
        <w:tc>
          <w:tcPr>
            <w:tcW w:w="1697" w:type="dxa"/>
            <w:vAlign w:val="center"/>
          </w:tcPr>
          <w:p w:rsidR="00AA2E16" w:rsidRDefault="00EC3CD4">
            <w:pPr>
              <w:jc w:val="right"/>
            </w:pPr>
            <w:r>
              <w:rPr>
                <w:color w:val="000000"/>
                <w:kern w:val="0"/>
                <w:sz w:val="24"/>
                <w:szCs w:val="24"/>
              </w:rPr>
              <w:t>963,100.00</w:t>
            </w:r>
          </w:p>
        </w:tc>
        <w:tc>
          <w:tcPr>
            <w:tcW w:w="1621" w:type="dxa"/>
            <w:vAlign w:val="center"/>
          </w:tcPr>
          <w:p w:rsidR="00AA2E16" w:rsidRDefault="00EC3CD4">
            <w:pPr>
              <w:jc w:val="right"/>
            </w:pPr>
            <w:r>
              <w:rPr>
                <w:color w:val="000000"/>
                <w:kern w:val="0"/>
                <w:sz w:val="24"/>
                <w:szCs w:val="24"/>
              </w:rPr>
              <w:t>0.07</w:t>
            </w:r>
          </w:p>
        </w:tc>
      </w:tr>
      <w:tr w:rsidR="00AA2E16">
        <w:tc>
          <w:tcPr>
            <w:tcW w:w="1808" w:type="dxa"/>
            <w:vAlign w:val="center"/>
          </w:tcPr>
          <w:p w:rsidR="00AA2E16" w:rsidRDefault="00EC3CD4">
            <w:pPr>
              <w:jc w:val="center"/>
            </w:pPr>
            <w:r>
              <w:rPr>
                <w:color w:val="000000"/>
                <w:kern w:val="0"/>
                <w:sz w:val="24"/>
                <w:szCs w:val="24"/>
              </w:rPr>
              <w:t>26</w:t>
            </w:r>
          </w:p>
        </w:tc>
        <w:tc>
          <w:tcPr>
            <w:tcW w:w="1729" w:type="dxa"/>
            <w:vAlign w:val="center"/>
          </w:tcPr>
          <w:p w:rsidR="00AA2E16" w:rsidRDefault="00EC3CD4">
            <w:pPr>
              <w:jc w:val="center"/>
            </w:pPr>
            <w:r>
              <w:rPr>
                <w:color w:val="000000"/>
                <w:kern w:val="0"/>
                <w:sz w:val="24"/>
                <w:szCs w:val="24"/>
              </w:rPr>
              <w:t>128083</w:t>
            </w:r>
          </w:p>
        </w:tc>
        <w:tc>
          <w:tcPr>
            <w:tcW w:w="1658" w:type="dxa"/>
            <w:vAlign w:val="center"/>
          </w:tcPr>
          <w:p w:rsidR="00AA2E16" w:rsidRDefault="00EC3CD4">
            <w:pPr>
              <w:jc w:val="center"/>
            </w:pPr>
            <w:r>
              <w:rPr>
                <w:color w:val="000000"/>
                <w:kern w:val="0"/>
                <w:sz w:val="24"/>
                <w:szCs w:val="24"/>
              </w:rPr>
              <w:t>新北转债</w:t>
            </w:r>
          </w:p>
        </w:tc>
        <w:tc>
          <w:tcPr>
            <w:tcW w:w="1697" w:type="dxa"/>
            <w:vAlign w:val="center"/>
          </w:tcPr>
          <w:p w:rsidR="00AA2E16" w:rsidRDefault="00EC3CD4">
            <w:pPr>
              <w:jc w:val="right"/>
            </w:pPr>
            <w:r>
              <w:rPr>
                <w:color w:val="000000"/>
                <w:kern w:val="0"/>
                <w:sz w:val="24"/>
                <w:szCs w:val="24"/>
              </w:rPr>
              <w:t>862,080.00</w:t>
            </w:r>
          </w:p>
        </w:tc>
        <w:tc>
          <w:tcPr>
            <w:tcW w:w="1621" w:type="dxa"/>
            <w:vAlign w:val="center"/>
          </w:tcPr>
          <w:p w:rsidR="00AA2E16" w:rsidRDefault="00EC3CD4">
            <w:pPr>
              <w:jc w:val="right"/>
            </w:pPr>
            <w:r>
              <w:rPr>
                <w:color w:val="000000"/>
                <w:kern w:val="0"/>
                <w:sz w:val="24"/>
                <w:szCs w:val="24"/>
              </w:rPr>
              <w:t>0.06</w:t>
            </w:r>
          </w:p>
        </w:tc>
      </w:tr>
      <w:tr w:rsidR="00AA2E16">
        <w:tc>
          <w:tcPr>
            <w:tcW w:w="1808" w:type="dxa"/>
            <w:vAlign w:val="center"/>
          </w:tcPr>
          <w:p w:rsidR="00AA2E16" w:rsidRDefault="00EC3CD4">
            <w:pPr>
              <w:jc w:val="center"/>
            </w:pPr>
            <w:r>
              <w:rPr>
                <w:color w:val="000000"/>
                <w:kern w:val="0"/>
                <w:sz w:val="24"/>
                <w:szCs w:val="24"/>
              </w:rPr>
              <w:t>27</w:t>
            </w:r>
          </w:p>
        </w:tc>
        <w:tc>
          <w:tcPr>
            <w:tcW w:w="1729" w:type="dxa"/>
            <w:vAlign w:val="center"/>
          </w:tcPr>
          <w:p w:rsidR="00AA2E16" w:rsidRDefault="00EC3CD4">
            <w:pPr>
              <w:jc w:val="center"/>
            </w:pPr>
            <w:r>
              <w:rPr>
                <w:color w:val="000000"/>
                <w:kern w:val="0"/>
                <w:sz w:val="24"/>
                <w:szCs w:val="24"/>
              </w:rPr>
              <w:t>113009</w:t>
            </w:r>
          </w:p>
        </w:tc>
        <w:tc>
          <w:tcPr>
            <w:tcW w:w="1658" w:type="dxa"/>
            <w:vAlign w:val="center"/>
          </w:tcPr>
          <w:p w:rsidR="00AA2E16" w:rsidRDefault="00EC3CD4">
            <w:pPr>
              <w:jc w:val="center"/>
            </w:pPr>
            <w:r>
              <w:rPr>
                <w:color w:val="000000"/>
                <w:kern w:val="0"/>
                <w:sz w:val="24"/>
                <w:szCs w:val="24"/>
              </w:rPr>
              <w:t>广汽转债</w:t>
            </w:r>
          </w:p>
        </w:tc>
        <w:tc>
          <w:tcPr>
            <w:tcW w:w="1697" w:type="dxa"/>
            <w:vAlign w:val="center"/>
          </w:tcPr>
          <w:p w:rsidR="00AA2E16" w:rsidRDefault="00EC3CD4">
            <w:pPr>
              <w:jc w:val="right"/>
            </w:pPr>
            <w:r>
              <w:rPr>
                <w:color w:val="000000"/>
                <w:kern w:val="0"/>
                <w:sz w:val="24"/>
                <w:szCs w:val="24"/>
              </w:rPr>
              <w:t>747,919.80</w:t>
            </w:r>
          </w:p>
        </w:tc>
        <w:tc>
          <w:tcPr>
            <w:tcW w:w="1621" w:type="dxa"/>
            <w:vAlign w:val="center"/>
          </w:tcPr>
          <w:p w:rsidR="00AA2E16" w:rsidRDefault="00EC3CD4">
            <w:pPr>
              <w:jc w:val="right"/>
            </w:pPr>
            <w:r>
              <w:rPr>
                <w:color w:val="000000"/>
                <w:kern w:val="0"/>
                <w:sz w:val="24"/>
                <w:szCs w:val="24"/>
              </w:rPr>
              <w:t>0.05</w:t>
            </w:r>
          </w:p>
        </w:tc>
      </w:tr>
      <w:tr w:rsidR="00AA2E16">
        <w:tc>
          <w:tcPr>
            <w:tcW w:w="1808" w:type="dxa"/>
            <w:vAlign w:val="center"/>
          </w:tcPr>
          <w:p w:rsidR="00AA2E16" w:rsidRDefault="00EC3CD4">
            <w:pPr>
              <w:jc w:val="center"/>
            </w:pPr>
            <w:r>
              <w:rPr>
                <w:color w:val="000000"/>
                <w:kern w:val="0"/>
                <w:sz w:val="24"/>
                <w:szCs w:val="24"/>
              </w:rPr>
              <w:t>28</w:t>
            </w:r>
          </w:p>
        </w:tc>
        <w:tc>
          <w:tcPr>
            <w:tcW w:w="1729" w:type="dxa"/>
            <w:vAlign w:val="center"/>
          </w:tcPr>
          <w:p w:rsidR="00AA2E16" w:rsidRDefault="00EC3CD4">
            <w:pPr>
              <w:jc w:val="center"/>
            </w:pPr>
            <w:r>
              <w:rPr>
                <w:color w:val="000000"/>
                <w:kern w:val="0"/>
                <w:sz w:val="24"/>
                <w:szCs w:val="24"/>
              </w:rPr>
              <w:t>113017</w:t>
            </w:r>
          </w:p>
        </w:tc>
        <w:tc>
          <w:tcPr>
            <w:tcW w:w="1658" w:type="dxa"/>
            <w:vAlign w:val="center"/>
          </w:tcPr>
          <w:p w:rsidR="00AA2E16" w:rsidRDefault="00EC3CD4">
            <w:pPr>
              <w:jc w:val="center"/>
            </w:pPr>
            <w:r>
              <w:rPr>
                <w:color w:val="000000"/>
                <w:kern w:val="0"/>
                <w:sz w:val="24"/>
                <w:szCs w:val="24"/>
              </w:rPr>
              <w:t>吉视转债</w:t>
            </w:r>
          </w:p>
        </w:tc>
        <w:tc>
          <w:tcPr>
            <w:tcW w:w="1697" w:type="dxa"/>
            <w:vAlign w:val="center"/>
          </w:tcPr>
          <w:p w:rsidR="00AA2E16" w:rsidRDefault="00EC3CD4">
            <w:pPr>
              <w:jc w:val="right"/>
            </w:pPr>
            <w:r>
              <w:rPr>
                <w:color w:val="000000"/>
                <w:kern w:val="0"/>
                <w:sz w:val="24"/>
                <w:szCs w:val="24"/>
              </w:rPr>
              <w:t>588,832.20</w:t>
            </w:r>
          </w:p>
        </w:tc>
        <w:tc>
          <w:tcPr>
            <w:tcW w:w="1621" w:type="dxa"/>
            <w:vAlign w:val="center"/>
          </w:tcPr>
          <w:p w:rsidR="00AA2E16" w:rsidRDefault="00EC3CD4">
            <w:pPr>
              <w:jc w:val="right"/>
            </w:pPr>
            <w:r>
              <w:rPr>
                <w:color w:val="000000"/>
                <w:kern w:val="0"/>
                <w:sz w:val="24"/>
                <w:szCs w:val="24"/>
              </w:rPr>
              <w:t>0.04</w:t>
            </w:r>
          </w:p>
        </w:tc>
      </w:tr>
      <w:tr w:rsidR="00AA2E16">
        <w:tc>
          <w:tcPr>
            <w:tcW w:w="1808" w:type="dxa"/>
            <w:vAlign w:val="center"/>
          </w:tcPr>
          <w:p w:rsidR="00AA2E16" w:rsidRDefault="00EC3CD4">
            <w:pPr>
              <w:jc w:val="center"/>
            </w:pPr>
            <w:r>
              <w:rPr>
                <w:color w:val="000000"/>
                <w:kern w:val="0"/>
                <w:sz w:val="24"/>
                <w:szCs w:val="24"/>
              </w:rPr>
              <w:t>29</w:t>
            </w:r>
          </w:p>
        </w:tc>
        <w:tc>
          <w:tcPr>
            <w:tcW w:w="1729" w:type="dxa"/>
            <w:vAlign w:val="center"/>
          </w:tcPr>
          <w:p w:rsidR="00AA2E16" w:rsidRDefault="00EC3CD4">
            <w:pPr>
              <w:jc w:val="center"/>
            </w:pPr>
            <w:r>
              <w:rPr>
                <w:color w:val="000000"/>
                <w:kern w:val="0"/>
                <w:sz w:val="24"/>
                <w:szCs w:val="24"/>
              </w:rPr>
              <w:t>132004</w:t>
            </w:r>
          </w:p>
        </w:tc>
        <w:tc>
          <w:tcPr>
            <w:tcW w:w="1658" w:type="dxa"/>
            <w:vAlign w:val="center"/>
          </w:tcPr>
          <w:p w:rsidR="00AA2E16" w:rsidRDefault="00EC3CD4">
            <w:pPr>
              <w:jc w:val="center"/>
            </w:pPr>
            <w:r>
              <w:rPr>
                <w:color w:val="000000"/>
                <w:kern w:val="0"/>
                <w:sz w:val="24"/>
                <w:szCs w:val="24"/>
              </w:rPr>
              <w:t>15</w:t>
            </w:r>
            <w:r>
              <w:rPr>
                <w:color w:val="000000"/>
                <w:kern w:val="0"/>
                <w:sz w:val="24"/>
                <w:szCs w:val="24"/>
              </w:rPr>
              <w:t>国盛</w:t>
            </w:r>
            <w:r>
              <w:rPr>
                <w:color w:val="000000"/>
                <w:kern w:val="0"/>
                <w:sz w:val="24"/>
                <w:szCs w:val="24"/>
              </w:rPr>
              <w:t>EB</w:t>
            </w:r>
          </w:p>
        </w:tc>
        <w:tc>
          <w:tcPr>
            <w:tcW w:w="1697" w:type="dxa"/>
            <w:vAlign w:val="center"/>
          </w:tcPr>
          <w:p w:rsidR="00AA2E16" w:rsidRDefault="00EC3CD4">
            <w:pPr>
              <w:jc w:val="right"/>
            </w:pPr>
            <w:r>
              <w:rPr>
                <w:color w:val="000000"/>
                <w:kern w:val="0"/>
                <w:sz w:val="24"/>
                <w:szCs w:val="24"/>
              </w:rPr>
              <w:t>542,433.60</w:t>
            </w:r>
          </w:p>
        </w:tc>
        <w:tc>
          <w:tcPr>
            <w:tcW w:w="1621" w:type="dxa"/>
            <w:vAlign w:val="center"/>
          </w:tcPr>
          <w:p w:rsidR="00AA2E16" w:rsidRDefault="00EC3CD4">
            <w:pPr>
              <w:jc w:val="right"/>
            </w:pPr>
            <w:r>
              <w:rPr>
                <w:color w:val="000000"/>
                <w:kern w:val="0"/>
                <w:sz w:val="24"/>
                <w:szCs w:val="24"/>
              </w:rPr>
              <w:t>0.04</w:t>
            </w:r>
          </w:p>
        </w:tc>
      </w:tr>
      <w:tr w:rsidR="00AA2E16">
        <w:tc>
          <w:tcPr>
            <w:tcW w:w="1808" w:type="dxa"/>
            <w:vAlign w:val="center"/>
          </w:tcPr>
          <w:p w:rsidR="00AA2E16" w:rsidRDefault="00EC3CD4">
            <w:pPr>
              <w:jc w:val="center"/>
            </w:pPr>
            <w:r>
              <w:rPr>
                <w:color w:val="000000"/>
                <w:kern w:val="0"/>
                <w:sz w:val="24"/>
                <w:szCs w:val="24"/>
              </w:rPr>
              <w:t>30</w:t>
            </w:r>
          </w:p>
        </w:tc>
        <w:tc>
          <w:tcPr>
            <w:tcW w:w="1729" w:type="dxa"/>
            <w:vAlign w:val="center"/>
          </w:tcPr>
          <w:p w:rsidR="00AA2E16" w:rsidRDefault="00EC3CD4">
            <w:pPr>
              <w:jc w:val="center"/>
            </w:pPr>
            <w:r>
              <w:rPr>
                <w:color w:val="000000"/>
                <w:kern w:val="0"/>
                <w:sz w:val="24"/>
                <w:szCs w:val="24"/>
              </w:rPr>
              <w:t>110065</w:t>
            </w:r>
          </w:p>
        </w:tc>
        <w:tc>
          <w:tcPr>
            <w:tcW w:w="1658" w:type="dxa"/>
            <w:vAlign w:val="center"/>
          </w:tcPr>
          <w:p w:rsidR="00AA2E16" w:rsidRDefault="00EC3CD4">
            <w:pPr>
              <w:jc w:val="center"/>
            </w:pPr>
            <w:r>
              <w:rPr>
                <w:color w:val="000000"/>
                <w:kern w:val="0"/>
                <w:sz w:val="24"/>
                <w:szCs w:val="24"/>
              </w:rPr>
              <w:t>淮矿转债</w:t>
            </w:r>
          </w:p>
        </w:tc>
        <w:tc>
          <w:tcPr>
            <w:tcW w:w="1697" w:type="dxa"/>
            <w:vAlign w:val="center"/>
          </w:tcPr>
          <w:p w:rsidR="00AA2E16" w:rsidRDefault="00EC3CD4">
            <w:pPr>
              <w:jc w:val="right"/>
            </w:pPr>
            <w:r>
              <w:rPr>
                <w:color w:val="000000"/>
                <w:kern w:val="0"/>
                <w:sz w:val="24"/>
                <w:szCs w:val="24"/>
              </w:rPr>
              <w:t>130,782.80</w:t>
            </w:r>
          </w:p>
        </w:tc>
        <w:tc>
          <w:tcPr>
            <w:tcW w:w="1621" w:type="dxa"/>
            <w:vAlign w:val="center"/>
          </w:tcPr>
          <w:p w:rsidR="00AA2E16" w:rsidRDefault="00EC3CD4">
            <w:pPr>
              <w:jc w:val="right"/>
            </w:pPr>
            <w:r>
              <w:rPr>
                <w:color w:val="000000"/>
                <w:kern w:val="0"/>
                <w:sz w:val="24"/>
                <w:szCs w:val="24"/>
              </w:rPr>
              <w:t>0.01</w:t>
            </w:r>
          </w:p>
        </w:tc>
      </w:tr>
      <w:tr w:rsidR="00AA2E16">
        <w:tc>
          <w:tcPr>
            <w:tcW w:w="1808" w:type="dxa"/>
            <w:vAlign w:val="center"/>
          </w:tcPr>
          <w:p w:rsidR="00AA2E16" w:rsidRDefault="00EC3CD4">
            <w:pPr>
              <w:jc w:val="center"/>
            </w:pPr>
            <w:r>
              <w:rPr>
                <w:color w:val="000000"/>
                <w:kern w:val="0"/>
                <w:sz w:val="24"/>
                <w:szCs w:val="24"/>
              </w:rPr>
              <w:t>31</w:t>
            </w:r>
          </w:p>
        </w:tc>
        <w:tc>
          <w:tcPr>
            <w:tcW w:w="1729" w:type="dxa"/>
            <w:vAlign w:val="center"/>
          </w:tcPr>
          <w:p w:rsidR="00AA2E16" w:rsidRDefault="00EC3CD4">
            <w:pPr>
              <w:jc w:val="center"/>
            </w:pPr>
            <w:r>
              <w:rPr>
                <w:color w:val="000000"/>
                <w:kern w:val="0"/>
                <w:sz w:val="24"/>
                <w:szCs w:val="24"/>
              </w:rPr>
              <w:t>128063</w:t>
            </w:r>
          </w:p>
        </w:tc>
        <w:tc>
          <w:tcPr>
            <w:tcW w:w="1658" w:type="dxa"/>
            <w:vAlign w:val="center"/>
          </w:tcPr>
          <w:p w:rsidR="00AA2E16" w:rsidRDefault="00EC3CD4">
            <w:pPr>
              <w:jc w:val="center"/>
            </w:pPr>
            <w:r>
              <w:rPr>
                <w:color w:val="000000"/>
                <w:kern w:val="0"/>
                <w:sz w:val="24"/>
                <w:szCs w:val="24"/>
              </w:rPr>
              <w:t>未来转债</w:t>
            </w:r>
          </w:p>
        </w:tc>
        <w:tc>
          <w:tcPr>
            <w:tcW w:w="1697" w:type="dxa"/>
            <w:vAlign w:val="center"/>
          </w:tcPr>
          <w:p w:rsidR="00AA2E16" w:rsidRDefault="00EC3CD4">
            <w:pPr>
              <w:jc w:val="right"/>
            </w:pPr>
            <w:r>
              <w:rPr>
                <w:color w:val="000000"/>
                <w:kern w:val="0"/>
                <w:sz w:val="24"/>
                <w:szCs w:val="24"/>
              </w:rPr>
              <w:t>9,774.90</w:t>
            </w:r>
          </w:p>
        </w:tc>
        <w:tc>
          <w:tcPr>
            <w:tcW w:w="1621" w:type="dxa"/>
            <w:vAlign w:val="center"/>
          </w:tcPr>
          <w:p w:rsidR="00AA2E16" w:rsidRDefault="00EC3CD4">
            <w:pPr>
              <w:jc w:val="right"/>
            </w:pPr>
            <w:r>
              <w:rPr>
                <w:color w:val="000000"/>
                <w:kern w:val="0"/>
                <w:sz w:val="24"/>
                <w:szCs w:val="24"/>
              </w:rPr>
              <w:t>0.00</w:t>
            </w:r>
          </w:p>
        </w:tc>
      </w:tr>
    </w:tbl>
    <w:p w:rsidR="00750D48" w:rsidRPr="001C7E00" w:rsidRDefault="00750D48" w:rsidP="001B0A62">
      <w:pPr>
        <w:autoSpaceDE w:val="0"/>
        <w:autoSpaceDN w:val="0"/>
        <w:adjustRightInd w:val="0"/>
        <w:spacing w:line="360" w:lineRule="auto"/>
        <w:jc w:val="left"/>
        <w:rPr>
          <w:rFonts w:ascii="宋体"/>
          <w:bCs/>
          <w:color w:val="000000"/>
          <w:kern w:val="0"/>
          <w:sz w:val="24"/>
          <w:szCs w:val="24"/>
        </w:rPr>
      </w:pP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本基金本报告期末前十名股票中不存在流通受限情况。</w:t>
      </w:r>
    </w:p>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R="00750D48" w:rsidRPr="00264E55" w:rsidRDefault="00750D48" w:rsidP="004061AC">
      <w:pPr>
        <w:autoSpaceDE w:val="0"/>
        <w:autoSpaceDN w:val="0"/>
        <w:adjustRightInd w:val="0"/>
        <w:spacing w:before="29" w:line="360" w:lineRule="auto"/>
        <w:ind w:left="15"/>
        <w:jc w:val="right"/>
        <w:rPr>
          <w:rFonts w:ascii="宋体"/>
          <w:color w:val="000000"/>
          <w:kern w:val="0"/>
          <w:sz w:val="24"/>
          <w:szCs w:val="24"/>
        </w:rPr>
      </w:pPr>
      <w:r w:rsidRPr="00264E55">
        <w:rPr>
          <w:rFonts w:ascii="宋体" w:hAnsi="宋体" w:cs="宋体" w:hint="eastAsia"/>
          <w:color w:val="000000"/>
          <w:kern w:val="0"/>
          <w:sz w:val="24"/>
          <w:szCs w:val="24"/>
        </w:rPr>
        <w:t>单位：份</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09"/>
        <w:gridCol w:w="4025"/>
      </w:tblGrid>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824,688,486.04</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报告期基金总申购份额</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164,406,434.31</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减：报告期基金总赎回份额</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276,740,444.08</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w="4025" w:type="dxa"/>
            <w:vAlign w:val="center"/>
          </w:tcPr>
          <w:p w:rsidR="00750D48" w:rsidRPr="00B227EA" w:rsidRDefault="00750D48" w:rsidP="00924582">
            <w:pPr>
              <w:autoSpaceDE w:val="0"/>
              <w:autoSpaceDN w:val="0"/>
              <w:adjustRightInd w:val="0"/>
              <w:spacing w:before="29" w:line="360" w:lineRule="auto"/>
              <w:ind w:left="17"/>
              <w:jc w:val="right"/>
              <w:rPr>
                <w:color w:val="000000"/>
                <w:sz w:val="24"/>
                <w:szCs w:val="24"/>
              </w:rPr>
            </w:pPr>
            <w:r w:rsidRPr="00B227EA">
              <w:rPr>
                <w:color w:val="000000"/>
                <w:sz w:val="24"/>
                <w:szCs w:val="24"/>
              </w:rPr>
              <w:t>-</w:t>
            </w:r>
          </w:p>
        </w:tc>
      </w:tr>
      <w:tr w:rsidR="00750D48" w:rsidRPr="00264E55" w:rsidTr="003B5535">
        <w:tc>
          <w:tcPr>
            <w:tcW w:w="4609" w:type="dxa"/>
            <w:vAlign w:val="center"/>
          </w:tcPr>
          <w:p w:rsidR="00750D48" w:rsidRPr="00B227EA" w:rsidRDefault="00750D48" w:rsidP="00924582">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w="4025" w:type="dxa"/>
            <w:vAlign w:val="center"/>
          </w:tcPr>
          <w:p w:rsidR="00750D48" w:rsidRPr="00B227EA" w:rsidRDefault="00750D48" w:rsidP="000A2B53">
            <w:pPr>
              <w:autoSpaceDE w:val="0"/>
              <w:autoSpaceDN w:val="0"/>
              <w:adjustRightInd w:val="0"/>
              <w:spacing w:before="29" w:line="360" w:lineRule="auto"/>
              <w:ind w:left="17"/>
              <w:jc w:val="right"/>
              <w:rPr>
                <w:color w:val="000000"/>
                <w:sz w:val="24"/>
                <w:szCs w:val="24"/>
              </w:rPr>
            </w:pPr>
            <w:r w:rsidRPr="00B227EA">
              <w:rPr>
                <w:color w:val="000000"/>
                <w:sz w:val="24"/>
                <w:szCs w:val="24"/>
              </w:rPr>
              <w:t>712,354,476.27</w:t>
            </w:r>
          </w:p>
        </w:tc>
      </w:tr>
    </w:tbl>
    <w:p w:rsidR="00750D48" w:rsidRDefault="00750D48" w:rsidP="004D28A3">
      <w:pPr>
        <w:pStyle w:val="1"/>
        <w:tabs>
          <w:tab w:val="center" w:pos="4156"/>
          <w:tab w:val="right" w:pos="8312"/>
        </w:tabs>
        <w:spacing w:beforeLines="100" w:before="312" w:afterLines="100" w:after="312" w:line="360" w:lineRule="auto"/>
        <w:jc w:val="center"/>
        <w:rPr>
          <w:rFonts w:ascii="方正仿宋简体"/>
          <w:sz w:val="24"/>
          <w:szCs w:val="24"/>
        </w:rPr>
      </w:pPr>
      <w:r>
        <w:rPr>
          <w:rFonts w:ascii="宋体" w:hAnsi="宋体" w:cs="Arial" w:hint="eastAsia"/>
          <w:color w:val="000000"/>
          <w:kern w:val="0"/>
          <w:sz w:val="24"/>
          <w:szCs w:val="24"/>
        </w:rPr>
        <w:t>§</w:t>
      </w:r>
      <w:r>
        <w:rPr>
          <w:rFonts w:ascii="宋体" w:hAnsi="宋体" w:cs="Arial"/>
          <w:color w:val="000000"/>
          <w:kern w:val="0"/>
          <w:sz w:val="24"/>
          <w:szCs w:val="24"/>
        </w:rPr>
        <w:t xml:space="preserve">7  </w:t>
      </w:r>
      <w:r>
        <w:rPr>
          <w:rFonts w:ascii="方正仿宋简体" w:hint="eastAsia"/>
          <w:sz w:val="24"/>
          <w:szCs w:val="24"/>
        </w:rPr>
        <w:t>基金管理人运用固有资金投资本基金情况</w:t>
      </w:r>
    </w:p>
    <w:p w:rsidR="00750D48" w:rsidRDefault="00750D48" w:rsidP="00EB374A">
      <w:pPr>
        <w:spacing w:line="360" w:lineRule="auto"/>
        <w:jc w:val="left"/>
        <w:rPr>
          <w:sz w:val="24"/>
          <w:szCs w:val="24"/>
        </w:rPr>
      </w:pPr>
      <w:r>
        <w:rPr>
          <w:b/>
          <w:sz w:val="24"/>
        </w:rPr>
        <w:t xml:space="preserve">7.1 </w:t>
      </w:r>
      <w:r>
        <w:rPr>
          <w:rFonts w:hint="eastAsia"/>
          <w:b/>
          <w:sz w:val="24"/>
        </w:rPr>
        <w:t>基金管理人持有本基金份额变动情况</w:t>
      </w:r>
    </w:p>
    <w:p w:rsidR="00750D48" w:rsidRPr="00232B03" w:rsidRDefault="00AC11B0" w:rsidP="00232B03">
      <w:pPr>
        <w:spacing w:line="360" w:lineRule="auto"/>
        <w:ind w:firstLineChars="200" w:firstLine="480"/>
        <w:rPr>
          <w:color w:val="000000"/>
          <w:sz w:val="24"/>
          <w:szCs w:val="24"/>
        </w:rPr>
      </w:pPr>
      <w:r w:rsidRPr="00403A06">
        <w:rPr>
          <w:color w:val="000000"/>
          <w:sz w:val="24"/>
          <w:szCs w:val="24"/>
        </w:rPr>
        <w:t>本报告期内基金管理人未持有本基金份额。</w:t>
      </w:r>
    </w:p>
    <w:p w:rsidR="00750D48" w:rsidRDefault="00750D48" w:rsidP="00EB374A">
      <w:pPr>
        <w:spacing w:line="360" w:lineRule="auto"/>
        <w:jc w:val="left"/>
        <w:rPr>
          <w:sz w:val="24"/>
        </w:rPr>
      </w:pPr>
      <w:r>
        <w:rPr>
          <w:b/>
          <w:sz w:val="24"/>
        </w:rPr>
        <w:t xml:space="preserve">7.2 </w:t>
      </w:r>
      <w:r>
        <w:rPr>
          <w:rFonts w:hint="eastAsia"/>
          <w:b/>
          <w:sz w:val="24"/>
        </w:rPr>
        <w:t>基金管理人运用固有资金投资本基金交易明细</w:t>
      </w:r>
    </w:p>
    <w:p w:rsidR="00750D48" w:rsidRPr="006C56AA" w:rsidRDefault="00750D48" w:rsidP="006C56AA">
      <w:pPr>
        <w:spacing w:line="360" w:lineRule="auto"/>
        <w:ind w:firstLineChars="200" w:firstLine="480"/>
        <w:rPr>
          <w:color w:val="000000"/>
          <w:sz w:val="24"/>
          <w:szCs w:val="24"/>
        </w:rPr>
      </w:pPr>
      <w:r w:rsidRPr="006C56AA">
        <w:rPr>
          <w:color w:val="000000"/>
          <w:sz w:val="24"/>
          <w:szCs w:val="24"/>
        </w:rPr>
        <w:t>本报告期内基金管理人未运用固有资金申购、赎回、买卖本基金份额。</w:t>
      </w:r>
    </w:p>
    <w:p w:rsidR="004B7A92" w:rsidRPr="004B7A92" w:rsidRDefault="00013E6E" w:rsidP="004B7A92">
      <w:pPr>
        <w:pStyle w:val="1"/>
        <w:spacing w:beforeLines="100" w:before="312" w:afterLines="100" w:after="312" w:line="360" w:lineRule="auto"/>
        <w:jc w:val="center"/>
        <w:rPr>
          <w:rFonts w:ascii="宋体" w:hAnsi="宋体"/>
          <w:color w:val="000000"/>
          <w:kern w:val="0"/>
          <w:sz w:val="24"/>
          <w:szCs w:val="24"/>
        </w:rPr>
      </w:pPr>
      <w:r w:rsidRPr="00264E55">
        <w:rPr>
          <w:rFonts w:ascii="宋体" w:hAnsi="宋体" w:hint="eastAsia"/>
          <w:color w:val="000000"/>
          <w:kern w:val="0"/>
          <w:sz w:val="24"/>
          <w:szCs w:val="24"/>
        </w:rPr>
        <w:t>§</w:t>
      </w:r>
      <w:r w:rsidR="004B7A92" w:rsidRPr="004B7A92">
        <w:rPr>
          <w:rFonts w:ascii="宋体" w:hAnsi="宋体"/>
          <w:color w:val="000000"/>
          <w:kern w:val="0"/>
          <w:sz w:val="24"/>
          <w:szCs w:val="24"/>
        </w:rPr>
        <w:t>8</w:t>
      </w:r>
      <w:r w:rsidR="0043199A" w:rsidRPr="00264E55">
        <w:rPr>
          <w:rFonts w:ascii="宋体" w:hAnsi="宋体"/>
          <w:color w:val="000000"/>
          <w:kern w:val="0"/>
          <w:sz w:val="24"/>
          <w:szCs w:val="24"/>
        </w:rPr>
        <w:t xml:space="preserve">  </w:t>
      </w:r>
      <w:r w:rsidR="004B7A92" w:rsidRPr="004B7A92">
        <w:rPr>
          <w:rFonts w:ascii="宋体" w:hAnsi="宋体"/>
          <w:color w:val="000000"/>
          <w:kern w:val="0"/>
          <w:sz w:val="24"/>
          <w:szCs w:val="24"/>
        </w:rPr>
        <w:t>影响投资者决策的其他重要信息</w:t>
      </w:r>
    </w:p>
    <w:p w:rsidR="001F5F5D" w:rsidRPr="001F5F5D" w:rsidRDefault="001F5F5D" w:rsidP="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8.1 报告期内单一投资者持有基金份额比例达到或超过20%的情况</w:t>
      </w:r>
    </w:p>
    <w:tbl>
      <w:tblPr>
        <w:tblStyle w:val="af7"/>
        <w:tblW w:w="9640" w:type="dxa"/>
        <w:jc w:val="center"/>
        <w:tblLayout w:type="fixed"/>
        <w:tblLook w:val="04A0" w:firstRow="1" w:lastRow="0" w:firstColumn="1" w:lastColumn="0" w:noHBand="0" w:noVBand="1"/>
      </w:tblPr>
      <w:tblGrid>
        <w:gridCol w:w="1798"/>
        <w:gridCol w:w="709"/>
        <w:gridCol w:w="1985"/>
        <w:gridCol w:w="1134"/>
        <w:gridCol w:w="992"/>
        <w:gridCol w:w="1134"/>
        <w:gridCol w:w="1037"/>
        <w:gridCol w:w="851"/>
      </w:tblGrid>
      <w:tr w:rsidR="001F5F5D" w:rsidRPr="00FC0759" w:rsidTr="007125DB">
        <w:trPr>
          <w:jc w:val="center"/>
        </w:trPr>
        <w:tc>
          <w:tcPr>
            <w:tcW w:w="1798" w:type="dxa"/>
            <w:vMerge w:val="restart"/>
            <w:vAlign w:val="center"/>
          </w:tcPr>
          <w:p w:rsidR="001F5F5D" w:rsidRPr="00FC0759" w:rsidRDefault="001F5F5D" w:rsidP="00D9482C">
            <w:pPr>
              <w:autoSpaceDE w:val="0"/>
              <w:autoSpaceDN w:val="0"/>
              <w:adjustRightInd w:val="0"/>
              <w:jc w:val="center"/>
              <w:rPr>
                <w:rFonts w:eastAsiaTheme="minorEastAsia"/>
                <w:b/>
                <w:bCs/>
                <w:color w:val="000000" w:themeColor="text1"/>
                <w:sz w:val="24"/>
                <w:szCs w:val="24"/>
              </w:rPr>
            </w:pPr>
            <w:r w:rsidRPr="00FC0759">
              <w:rPr>
                <w:color w:val="000000"/>
                <w:sz w:val="24"/>
                <w:szCs w:val="24"/>
              </w:rPr>
              <w:t>投资者类别</w:t>
            </w:r>
          </w:p>
        </w:tc>
        <w:tc>
          <w:tcPr>
            <w:tcW w:w="5954" w:type="dxa"/>
            <w:gridSpan w:val="5"/>
            <w:vAlign w:val="center"/>
          </w:tcPr>
          <w:p w:rsidR="001F5F5D" w:rsidRPr="00FC0759" w:rsidRDefault="001F5F5D" w:rsidP="00D9482C">
            <w:pPr>
              <w:autoSpaceDE w:val="0"/>
              <w:autoSpaceDN w:val="0"/>
              <w:adjustRightInd w:val="0"/>
              <w:ind w:firstLine="1126"/>
              <w:jc w:val="center"/>
              <w:rPr>
                <w:rFonts w:eastAsiaTheme="minorEastAsia"/>
                <w:b/>
                <w:bCs/>
                <w:color w:val="000000" w:themeColor="text1"/>
                <w:sz w:val="24"/>
                <w:szCs w:val="24"/>
              </w:rPr>
            </w:pPr>
            <w:r w:rsidRPr="00FC0759">
              <w:rPr>
                <w:color w:val="000000"/>
                <w:sz w:val="24"/>
                <w:szCs w:val="24"/>
              </w:rPr>
              <w:t>报告期内持有基金份额变化情况</w:t>
            </w:r>
          </w:p>
        </w:tc>
        <w:tc>
          <w:tcPr>
            <w:tcW w:w="1888" w:type="dxa"/>
            <w:gridSpan w:val="2"/>
            <w:vAlign w:val="center"/>
          </w:tcPr>
          <w:p w:rsidR="001F5F5D" w:rsidRPr="00FC0759" w:rsidRDefault="001F5F5D" w:rsidP="00D9482C">
            <w:pPr>
              <w:autoSpaceDE w:val="0"/>
              <w:autoSpaceDN w:val="0"/>
              <w:adjustRightInd w:val="0"/>
              <w:jc w:val="center"/>
              <w:rPr>
                <w:rFonts w:eastAsiaTheme="minorEastAsia"/>
                <w:b/>
                <w:bCs/>
                <w:color w:val="000000" w:themeColor="text1"/>
                <w:sz w:val="24"/>
                <w:szCs w:val="24"/>
              </w:rPr>
            </w:pPr>
            <w:r w:rsidRPr="00FC0759">
              <w:rPr>
                <w:color w:val="000000"/>
                <w:sz w:val="24"/>
                <w:szCs w:val="24"/>
              </w:rPr>
              <w:t>报告期末持有基金情况</w:t>
            </w:r>
          </w:p>
        </w:tc>
      </w:tr>
      <w:tr w:rsidR="001F5F5D" w:rsidRPr="00FC0759" w:rsidTr="007125DB">
        <w:trPr>
          <w:jc w:val="center"/>
        </w:trPr>
        <w:tc>
          <w:tcPr>
            <w:tcW w:w="1798" w:type="dxa"/>
            <w:vMerge/>
            <w:vAlign w:val="center"/>
          </w:tcPr>
          <w:p w:rsidR="001F5F5D" w:rsidRPr="00FC0759" w:rsidRDefault="001F5F5D" w:rsidP="00D9482C">
            <w:pPr>
              <w:autoSpaceDE w:val="0"/>
              <w:autoSpaceDN w:val="0"/>
              <w:adjustRightInd w:val="0"/>
              <w:ind w:firstLine="1234"/>
              <w:jc w:val="center"/>
              <w:rPr>
                <w:rFonts w:eastAsiaTheme="minorEastAsia"/>
                <w:b/>
                <w:bCs/>
                <w:color w:val="000000" w:themeColor="text1"/>
                <w:sz w:val="24"/>
                <w:szCs w:val="24"/>
              </w:rPr>
            </w:pPr>
          </w:p>
        </w:tc>
        <w:tc>
          <w:tcPr>
            <w:tcW w:w="709" w:type="dxa"/>
            <w:vAlign w:val="center"/>
          </w:tcPr>
          <w:p w:rsidR="001F5F5D" w:rsidRPr="00FC0759" w:rsidRDefault="001F5F5D" w:rsidP="00D9482C">
            <w:pPr>
              <w:autoSpaceDE w:val="0"/>
              <w:autoSpaceDN w:val="0"/>
              <w:adjustRightInd w:val="0"/>
              <w:jc w:val="center"/>
              <w:rPr>
                <w:rFonts w:eastAsiaTheme="minorEastAsia"/>
                <w:b/>
                <w:bCs/>
                <w:color w:val="000000" w:themeColor="text1"/>
                <w:sz w:val="24"/>
                <w:szCs w:val="24"/>
              </w:rPr>
            </w:pPr>
            <w:r w:rsidRPr="00FC0759">
              <w:rPr>
                <w:color w:val="000000"/>
                <w:sz w:val="24"/>
                <w:szCs w:val="24"/>
              </w:rPr>
              <w:t>序号</w:t>
            </w:r>
          </w:p>
        </w:tc>
        <w:tc>
          <w:tcPr>
            <w:tcW w:w="1985" w:type="dxa"/>
            <w:vAlign w:val="center"/>
          </w:tcPr>
          <w:p w:rsidR="001F5F5D" w:rsidRPr="00FC0759" w:rsidRDefault="001F5F5D" w:rsidP="00D9482C">
            <w:pPr>
              <w:autoSpaceDE w:val="0"/>
              <w:autoSpaceDN w:val="0"/>
              <w:adjustRightInd w:val="0"/>
              <w:jc w:val="center"/>
              <w:rPr>
                <w:rFonts w:eastAsiaTheme="minorEastAsia"/>
                <w:b/>
                <w:bCs/>
                <w:color w:val="000000" w:themeColor="text1"/>
                <w:sz w:val="24"/>
                <w:szCs w:val="24"/>
              </w:rPr>
            </w:pPr>
            <w:r w:rsidRPr="00FC0759">
              <w:rPr>
                <w:color w:val="000000"/>
                <w:sz w:val="24"/>
                <w:szCs w:val="24"/>
              </w:rPr>
              <w:t>持有基金份额比例达到或者超过</w:t>
            </w:r>
            <w:r w:rsidRPr="00FC0759">
              <w:rPr>
                <w:color w:val="000000"/>
                <w:sz w:val="24"/>
                <w:szCs w:val="24"/>
              </w:rPr>
              <w:lastRenderedPageBreak/>
              <w:t>20%</w:t>
            </w:r>
            <w:r w:rsidRPr="00FC0759">
              <w:rPr>
                <w:color w:val="000000"/>
                <w:sz w:val="24"/>
                <w:szCs w:val="24"/>
              </w:rPr>
              <w:t>的时间区间</w:t>
            </w:r>
          </w:p>
        </w:tc>
        <w:tc>
          <w:tcPr>
            <w:tcW w:w="1134" w:type="dxa"/>
            <w:vAlign w:val="center"/>
          </w:tcPr>
          <w:p w:rsidR="001F5F5D" w:rsidRPr="00FC0759" w:rsidRDefault="001F5F5D" w:rsidP="00D9482C">
            <w:pPr>
              <w:widowControl/>
              <w:rPr>
                <w:rFonts w:eastAsiaTheme="minorEastAsia"/>
                <w:b/>
                <w:bCs/>
                <w:color w:val="000000" w:themeColor="text1"/>
                <w:sz w:val="24"/>
                <w:szCs w:val="24"/>
              </w:rPr>
            </w:pPr>
            <w:r w:rsidRPr="00FC0759">
              <w:rPr>
                <w:color w:val="000000"/>
                <w:sz w:val="24"/>
                <w:szCs w:val="24"/>
              </w:rPr>
              <w:lastRenderedPageBreak/>
              <w:t>期初份额</w:t>
            </w:r>
          </w:p>
        </w:tc>
        <w:tc>
          <w:tcPr>
            <w:tcW w:w="992" w:type="dxa"/>
            <w:vAlign w:val="center"/>
          </w:tcPr>
          <w:p w:rsidR="001F5F5D" w:rsidRPr="00FC0759" w:rsidRDefault="001F5F5D" w:rsidP="00D9482C">
            <w:pPr>
              <w:widowControl/>
              <w:rPr>
                <w:rFonts w:eastAsiaTheme="minorEastAsia"/>
                <w:b/>
                <w:bCs/>
                <w:color w:val="000000" w:themeColor="text1"/>
                <w:sz w:val="24"/>
                <w:szCs w:val="24"/>
              </w:rPr>
            </w:pPr>
            <w:r w:rsidRPr="00FC0759">
              <w:rPr>
                <w:color w:val="000000"/>
                <w:sz w:val="24"/>
                <w:szCs w:val="24"/>
              </w:rPr>
              <w:t>申购份额</w:t>
            </w:r>
          </w:p>
        </w:tc>
        <w:tc>
          <w:tcPr>
            <w:tcW w:w="1134" w:type="dxa"/>
            <w:vAlign w:val="center"/>
          </w:tcPr>
          <w:p w:rsidR="001F5F5D" w:rsidRPr="00FC0759" w:rsidRDefault="001F5F5D" w:rsidP="00D9482C">
            <w:pPr>
              <w:widowControl/>
              <w:rPr>
                <w:rFonts w:eastAsiaTheme="minorEastAsia"/>
                <w:b/>
                <w:bCs/>
                <w:color w:val="000000" w:themeColor="text1"/>
                <w:sz w:val="24"/>
                <w:szCs w:val="24"/>
              </w:rPr>
            </w:pPr>
            <w:r w:rsidRPr="00FC0759">
              <w:rPr>
                <w:color w:val="000000"/>
                <w:sz w:val="24"/>
                <w:szCs w:val="24"/>
              </w:rPr>
              <w:t>赎回份额</w:t>
            </w:r>
          </w:p>
        </w:tc>
        <w:tc>
          <w:tcPr>
            <w:tcW w:w="1037" w:type="dxa"/>
            <w:vAlign w:val="center"/>
          </w:tcPr>
          <w:p w:rsidR="001F5F5D" w:rsidRPr="00FC0759" w:rsidRDefault="001F5F5D" w:rsidP="00D9482C">
            <w:pPr>
              <w:autoSpaceDE w:val="0"/>
              <w:autoSpaceDN w:val="0"/>
              <w:adjustRightInd w:val="0"/>
              <w:jc w:val="center"/>
              <w:rPr>
                <w:rFonts w:eastAsiaTheme="minorEastAsia"/>
                <w:b/>
                <w:bCs/>
                <w:color w:val="000000" w:themeColor="text1"/>
                <w:sz w:val="24"/>
                <w:szCs w:val="24"/>
              </w:rPr>
            </w:pPr>
            <w:r w:rsidRPr="00FC0759">
              <w:rPr>
                <w:color w:val="000000"/>
                <w:sz w:val="24"/>
                <w:szCs w:val="24"/>
              </w:rPr>
              <w:t>持有份额</w:t>
            </w:r>
          </w:p>
        </w:tc>
        <w:tc>
          <w:tcPr>
            <w:tcW w:w="851" w:type="dxa"/>
            <w:vAlign w:val="center"/>
          </w:tcPr>
          <w:p w:rsidR="001F5F5D" w:rsidRPr="00FC0759" w:rsidRDefault="001F5F5D" w:rsidP="00D9482C">
            <w:pPr>
              <w:autoSpaceDE w:val="0"/>
              <w:autoSpaceDN w:val="0"/>
              <w:adjustRightInd w:val="0"/>
              <w:jc w:val="center"/>
              <w:rPr>
                <w:rFonts w:eastAsiaTheme="minorEastAsia"/>
                <w:b/>
                <w:bCs/>
                <w:color w:val="000000" w:themeColor="text1"/>
                <w:sz w:val="24"/>
                <w:szCs w:val="24"/>
              </w:rPr>
            </w:pPr>
            <w:r w:rsidRPr="00FC0759">
              <w:rPr>
                <w:color w:val="000000"/>
                <w:sz w:val="24"/>
                <w:szCs w:val="24"/>
              </w:rPr>
              <w:t>份额占比</w:t>
            </w:r>
          </w:p>
        </w:tc>
      </w:tr>
      <w:tr w:rsidR="00AA2E16">
        <w:trPr>
          <w:jc w:val="center"/>
        </w:trPr>
        <w:tc>
          <w:tcPr>
            <w:tcW w:w="1798" w:type="dxa"/>
            <w:vMerge w:val="restart"/>
            <w:vAlign w:val="center"/>
          </w:tcPr>
          <w:p w:rsidR="00AA2E16" w:rsidRDefault="00EC3CD4">
            <w:r>
              <w:rPr>
                <w:rFonts w:eastAsiaTheme="minorEastAsia"/>
                <w:bCs/>
                <w:color w:val="000000" w:themeColor="text1"/>
                <w:sz w:val="24"/>
                <w:szCs w:val="24"/>
              </w:rPr>
              <w:t>机构</w:t>
            </w:r>
          </w:p>
        </w:tc>
        <w:tc>
          <w:tcPr>
            <w:tcW w:w="709" w:type="dxa"/>
            <w:vAlign w:val="center"/>
          </w:tcPr>
          <w:p w:rsidR="00AA2E16" w:rsidRDefault="00EC3CD4">
            <w:pPr>
              <w:jc w:val="center"/>
            </w:pPr>
            <w:r>
              <w:rPr>
                <w:sz w:val="24"/>
                <w:szCs w:val="24"/>
              </w:rPr>
              <w:t>1</w:t>
            </w:r>
          </w:p>
        </w:tc>
        <w:tc>
          <w:tcPr>
            <w:tcW w:w="1985" w:type="dxa"/>
            <w:vAlign w:val="center"/>
          </w:tcPr>
          <w:p w:rsidR="00AA2E16" w:rsidRDefault="00EC3CD4">
            <w:pPr>
              <w:jc w:val="center"/>
            </w:pPr>
            <w:r>
              <w:rPr>
                <w:sz w:val="24"/>
                <w:szCs w:val="24"/>
              </w:rPr>
              <w:t>2020</w:t>
            </w:r>
            <w:r>
              <w:rPr>
                <w:sz w:val="24"/>
                <w:szCs w:val="24"/>
              </w:rPr>
              <w:t>年</w:t>
            </w:r>
            <w:r>
              <w:rPr>
                <w:sz w:val="24"/>
                <w:szCs w:val="24"/>
              </w:rPr>
              <w:t>04</w:t>
            </w:r>
            <w:r>
              <w:rPr>
                <w:sz w:val="24"/>
                <w:szCs w:val="24"/>
              </w:rPr>
              <w:t>月</w:t>
            </w:r>
            <w:r>
              <w:rPr>
                <w:sz w:val="24"/>
                <w:szCs w:val="24"/>
              </w:rPr>
              <w:t>01</w:t>
            </w:r>
            <w:r>
              <w:rPr>
                <w:sz w:val="24"/>
                <w:szCs w:val="24"/>
              </w:rPr>
              <w:t>日</w:t>
            </w:r>
            <w:r>
              <w:rPr>
                <w:sz w:val="24"/>
                <w:szCs w:val="24"/>
              </w:rPr>
              <w:t>~2020</w:t>
            </w:r>
            <w:r>
              <w:rPr>
                <w:sz w:val="24"/>
                <w:szCs w:val="24"/>
              </w:rPr>
              <w:t>年</w:t>
            </w:r>
            <w:r>
              <w:rPr>
                <w:sz w:val="24"/>
                <w:szCs w:val="24"/>
              </w:rPr>
              <w:t>06</w:t>
            </w:r>
            <w:r>
              <w:rPr>
                <w:sz w:val="24"/>
                <w:szCs w:val="24"/>
              </w:rPr>
              <w:t>月</w:t>
            </w:r>
            <w:r>
              <w:rPr>
                <w:sz w:val="24"/>
                <w:szCs w:val="24"/>
              </w:rPr>
              <w:t>30</w:t>
            </w:r>
            <w:r>
              <w:rPr>
                <w:sz w:val="24"/>
                <w:szCs w:val="24"/>
              </w:rPr>
              <w:t>日</w:t>
            </w:r>
          </w:p>
        </w:tc>
        <w:tc>
          <w:tcPr>
            <w:tcW w:w="1134" w:type="dxa"/>
            <w:vAlign w:val="center"/>
          </w:tcPr>
          <w:p w:rsidR="00AA2E16" w:rsidRDefault="00EC3CD4">
            <w:pPr>
              <w:jc w:val="center"/>
            </w:pPr>
            <w:r>
              <w:rPr>
                <w:sz w:val="24"/>
                <w:szCs w:val="24"/>
              </w:rPr>
              <w:t>292,111,976.63</w:t>
            </w:r>
          </w:p>
        </w:tc>
        <w:tc>
          <w:tcPr>
            <w:tcW w:w="992" w:type="dxa"/>
            <w:vAlign w:val="center"/>
          </w:tcPr>
          <w:p w:rsidR="00AA2E16" w:rsidRDefault="00EC3CD4">
            <w:pPr>
              <w:jc w:val="center"/>
            </w:pPr>
            <w:r>
              <w:rPr>
                <w:sz w:val="24"/>
                <w:szCs w:val="24"/>
              </w:rPr>
              <w:t>-</w:t>
            </w:r>
          </w:p>
        </w:tc>
        <w:tc>
          <w:tcPr>
            <w:tcW w:w="1134" w:type="dxa"/>
            <w:vAlign w:val="center"/>
          </w:tcPr>
          <w:p w:rsidR="00AA2E16" w:rsidRDefault="00EC3CD4">
            <w:pPr>
              <w:jc w:val="center"/>
            </w:pPr>
            <w:r>
              <w:rPr>
                <w:sz w:val="24"/>
                <w:szCs w:val="24"/>
              </w:rPr>
              <w:t>-</w:t>
            </w:r>
          </w:p>
        </w:tc>
        <w:tc>
          <w:tcPr>
            <w:tcW w:w="1037" w:type="dxa"/>
            <w:vAlign w:val="center"/>
          </w:tcPr>
          <w:p w:rsidR="00AA2E16" w:rsidRDefault="00EC3CD4">
            <w:pPr>
              <w:jc w:val="center"/>
            </w:pPr>
            <w:r>
              <w:rPr>
                <w:sz w:val="24"/>
                <w:szCs w:val="24"/>
              </w:rPr>
              <w:t>292,111,976.63</w:t>
            </w:r>
          </w:p>
        </w:tc>
        <w:tc>
          <w:tcPr>
            <w:tcW w:w="851" w:type="dxa"/>
            <w:vAlign w:val="center"/>
          </w:tcPr>
          <w:p w:rsidR="00AA2E16" w:rsidRDefault="00EC3CD4">
            <w:pPr>
              <w:jc w:val="center"/>
            </w:pPr>
            <w:r>
              <w:rPr>
                <w:sz w:val="24"/>
                <w:szCs w:val="24"/>
              </w:rPr>
              <w:t>41.01%</w:t>
            </w:r>
          </w:p>
        </w:tc>
      </w:tr>
      <w:tr w:rsidR="001F5F5D" w:rsidRPr="00FC0759" w:rsidTr="00D9482C">
        <w:trPr>
          <w:jc w:val="center"/>
        </w:trPr>
        <w:tc>
          <w:tcPr>
            <w:tcW w:w="9637" w:type="dxa"/>
            <w:gridSpan w:val="8"/>
            <w:vAlign w:val="center"/>
          </w:tcPr>
          <w:p w:rsidR="001F5F5D" w:rsidRPr="00FC0759" w:rsidRDefault="001F5F5D" w:rsidP="003350A8">
            <w:pPr>
              <w:autoSpaceDE w:val="0"/>
              <w:autoSpaceDN w:val="0"/>
              <w:adjustRightInd w:val="0"/>
              <w:jc w:val="center"/>
              <w:rPr>
                <w:sz w:val="24"/>
                <w:szCs w:val="24"/>
              </w:rPr>
            </w:pPr>
            <w:r w:rsidRPr="00FC0759">
              <w:rPr>
                <w:color w:val="000000"/>
                <w:sz w:val="24"/>
                <w:szCs w:val="24"/>
              </w:rPr>
              <w:t>产品特有风险</w:t>
            </w:r>
          </w:p>
        </w:tc>
      </w:tr>
      <w:tr w:rsidR="001F5F5D" w:rsidRPr="00FC0759" w:rsidTr="00D9482C">
        <w:trPr>
          <w:jc w:val="center"/>
        </w:trPr>
        <w:tc>
          <w:tcPr>
            <w:tcW w:w="9637" w:type="dxa"/>
            <w:gridSpan w:val="8"/>
            <w:vAlign w:val="center"/>
          </w:tcPr>
          <w:p w:rsidR="001F5F5D" w:rsidRPr="00FC0759" w:rsidRDefault="001F5F5D" w:rsidP="00D9482C">
            <w:pPr>
              <w:autoSpaceDE w:val="0"/>
              <w:autoSpaceDN w:val="0"/>
              <w:adjustRightInd w:val="0"/>
              <w:jc w:val="left"/>
              <w:rPr>
                <w:sz w:val="24"/>
                <w:szCs w:val="24"/>
              </w:rPr>
            </w:pPr>
            <w:r w:rsidRPr="00FC0759">
              <w:rPr>
                <w:sz w:val="24"/>
                <w:szCs w:val="24"/>
              </w:rPr>
              <w:t>报告期内，本基金存在单一投资者持有份额比例达到或超过</w:t>
            </w:r>
            <w:r w:rsidRPr="00FC0759">
              <w:rPr>
                <w:sz w:val="24"/>
                <w:szCs w:val="24"/>
              </w:rPr>
              <w:t>20%</w:t>
            </w:r>
            <w:r w:rsidRPr="00FC0759">
              <w:rPr>
                <w:sz w:val="24"/>
                <w:szCs w:val="24"/>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FC0759">
              <w:rPr>
                <w:sz w:val="24"/>
                <w:szCs w:val="24"/>
              </w:rPr>
              <w:t>5000</w:t>
            </w:r>
            <w:r w:rsidRPr="00FC0759">
              <w:rPr>
                <w:sz w:val="24"/>
                <w:szCs w:val="24"/>
              </w:rPr>
              <w:t>万元，基金还可能面临转换运作方式、与其他基金合并或者终止基金合同等情形；持有基金份额占比较高的投资者在召开持有人大会并对审议事项进行投票表决时可能拥有较大话语权。</w:t>
            </w:r>
          </w:p>
        </w:tc>
      </w:tr>
    </w:tbl>
    <w:p w:rsidR="00750D48" w:rsidRPr="00264E55" w:rsidRDefault="00750D48" w:rsidP="004D28A3">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9  </w:t>
      </w:r>
      <w:r w:rsidRPr="00264E55">
        <w:rPr>
          <w:rFonts w:ascii="宋体" w:hAnsi="宋体" w:hint="eastAsia"/>
          <w:color w:val="000000"/>
          <w:kern w:val="0"/>
          <w:sz w:val="24"/>
          <w:szCs w:val="24"/>
        </w:rPr>
        <w:t>备查文件目录</w:t>
      </w:r>
    </w:p>
    <w:p w:rsidR="00750D48" w:rsidRPr="00264E55" w:rsidRDefault="00750D48" w:rsidP="00C71497">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9.1 </w:t>
      </w:r>
      <w:r w:rsidRPr="00264E55">
        <w:rPr>
          <w:rFonts w:ascii="宋体" w:hAnsi="宋体" w:hint="eastAsia"/>
          <w:b/>
          <w:bCs/>
          <w:color w:val="000000"/>
          <w:kern w:val="0"/>
          <w:sz w:val="24"/>
          <w:szCs w:val="24"/>
        </w:rPr>
        <w:t>备查文件目录</w:t>
      </w:r>
    </w:p>
    <w:p w:rsidR="00AA2E16" w:rsidRDefault="00EC3CD4">
      <w:pPr>
        <w:spacing w:line="360" w:lineRule="auto"/>
        <w:ind w:firstLineChars="200" w:firstLine="480"/>
        <w:rPr>
          <w:color w:val="000000"/>
          <w:sz w:val="24"/>
          <w:szCs w:val="24"/>
        </w:rPr>
      </w:pPr>
      <w:r>
        <w:rPr>
          <w:color w:val="000000"/>
          <w:sz w:val="24"/>
          <w:szCs w:val="24"/>
        </w:rPr>
        <w:t>1.</w:t>
      </w:r>
      <w:r>
        <w:rPr>
          <w:color w:val="000000"/>
          <w:sz w:val="24"/>
          <w:szCs w:val="24"/>
        </w:rPr>
        <w:t>中国证监会准予易方达安心回馈混合型证券投资基金注册的文件；</w:t>
      </w:r>
    </w:p>
    <w:p w:rsidR="00AA2E16" w:rsidRDefault="00EC3CD4">
      <w:pPr>
        <w:spacing w:line="360" w:lineRule="auto"/>
        <w:ind w:firstLineChars="200" w:firstLine="480"/>
        <w:rPr>
          <w:color w:val="000000"/>
          <w:sz w:val="24"/>
          <w:szCs w:val="24"/>
        </w:rPr>
      </w:pPr>
      <w:r>
        <w:rPr>
          <w:color w:val="000000"/>
          <w:sz w:val="24"/>
          <w:szCs w:val="24"/>
        </w:rPr>
        <w:t>2.</w:t>
      </w:r>
      <w:r>
        <w:rPr>
          <w:color w:val="000000"/>
          <w:sz w:val="24"/>
          <w:szCs w:val="24"/>
        </w:rPr>
        <w:t>《易方达安心回馈混合型证券投资基金基金合同》；</w:t>
      </w:r>
    </w:p>
    <w:p w:rsidR="00AA2E16" w:rsidRDefault="00EC3CD4">
      <w:pPr>
        <w:spacing w:line="360" w:lineRule="auto"/>
        <w:ind w:firstLineChars="200" w:firstLine="480"/>
        <w:rPr>
          <w:color w:val="000000"/>
          <w:sz w:val="24"/>
          <w:szCs w:val="24"/>
        </w:rPr>
      </w:pPr>
      <w:r>
        <w:rPr>
          <w:color w:val="000000"/>
          <w:sz w:val="24"/>
          <w:szCs w:val="24"/>
        </w:rPr>
        <w:t>3.</w:t>
      </w:r>
      <w:r>
        <w:rPr>
          <w:color w:val="000000"/>
          <w:sz w:val="24"/>
          <w:szCs w:val="24"/>
        </w:rPr>
        <w:t>《易方达安心回馈混合型证券投资基金托管协议》；</w:t>
      </w:r>
    </w:p>
    <w:p w:rsidR="00AA2E16" w:rsidRDefault="00EC3CD4">
      <w:pPr>
        <w:spacing w:line="360" w:lineRule="auto"/>
        <w:ind w:firstLineChars="200" w:firstLine="480"/>
        <w:rPr>
          <w:color w:val="000000"/>
          <w:sz w:val="24"/>
          <w:szCs w:val="24"/>
        </w:rPr>
      </w:pPr>
      <w:r>
        <w:rPr>
          <w:color w:val="000000"/>
          <w:sz w:val="24"/>
          <w:szCs w:val="24"/>
        </w:rPr>
        <w:t>4.</w:t>
      </w:r>
      <w:r>
        <w:rPr>
          <w:color w:val="000000"/>
          <w:sz w:val="24"/>
          <w:szCs w:val="24"/>
        </w:rPr>
        <w:t>《易方达基金管理有限公司开放式基金业务规则》；</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5.</w:t>
      </w:r>
      <w:r w:rsidRPr="006C56AA">
        <w:rPr>
          <w:color w:val="000000"/>
          <w:sz w:val="24"/>
          <w:szCs w:val="24"/>
        </w:rPr>
        <w:t>基金管理人业务资格批件、营业执照。</w:t>
      </w:r>
    </w:p>
    <w:p w:rsidR="00750D48" w:rsidRPr="00264E55" w:rsidRDefault="00750D48" w:rsidP="00C71497">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9.2 </w:t>
      </w:r>
      <w:r w:rsidRPr="00264E55">
        <w:rPr>
          <w:rFonts w:ascii="宋体" w:hAnsi="宋体" w:hint="eastAsia"/>
          <w:b/>
          <w:bCs/>
          <w:color w:val="000000"/>
          <w:kern w:val="0"/>
          <w:sz w:val="24"/>
          <w:szCs w:val="24"/>
        </w:rPr>
        <w:t>存放地点</w:t>
      </w:r>
    </w:p>
    <w:p w:rsidR="00750D48" w:rsidRPr="00232B03" w:rsidRDefault="00750D48" w:rsidP="00232B03">
      <w:pPr>
        <w:spacing w:line="360" w:lineRule="auto"/>
        <w:ind w:firstLineChars="200" w:firstLine="480"/>
        <w:rPr>
          <w:color w:val="000000"/>
          <w:sz w:val="24"/>
          <w:szCs w:val="24"/>
        </w:rPr>
      </w:pPr>
      <w:r w:rsidRPr="006C56AA">
        <w:rPr>
          <w:color w:val="000000"/>
          <w:sz w:val="24"/>
          <w:szCs w:val="24"/>
        </w:rPr>
        <w:t>广州市天河区珠江新城珠江东路</w:t>
      </w:r>
      <w:r w:rsidRPr="006C56AA">
        <w:rPr>
          <w:color w:val="000000"/>
          <w:sz w:val="24"/>
          <w:szCs w:val="24"/>
        </w:rPr>
        <w:t>30</w:t>
      </w:r>
      <w:r w:rsidRPr="006C56AA">
        <w:rPr>
          <w:color w:val="000000"/>
          <w:sz w:val="24"/>
          <w:szCs w:val="24"/>
        </w:rPr>
        <w:t>号广州银行大厦</w:t>
      </w:r>
      <w:r w:rsidRPr="006C56AA">
        <w:rPr>
          <w:color w:val="000000"/>
          <w:sz w:val="24"/>
          <w:szCs w:val="24"/>
        </w:rPr>
        <w:t>40-43</w:t>
      </w:r>
      <w:r w:rsidRPr="006C56AA">
        <w:rPr>
          <w:color w:val="000000"/>
          <w:sz w:val="24"/>
          <w:szCs w:val="24"/>
        </w:rPr>
        <w:t>楼。</w:t>
      </w:r>
    </w:p>
    <w:p w:rsidR="00750D48" w:rsidRPr="00264E55" w:rsidRDefault="00750D48" w:rsidP="00C71497">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9.3 </w:t>
      </w:r>
      <w:r w:rsidRPr="00264E55">
        <w:rPr>
          <w:rFonts w:ascii="宋体" w:hAnsi="宋体" w:hint="eastAsia"/>
          <w:b/>
          <w:bCs/>
          <w:color w:val="000000"/>
          <w:kern w:val="0"/>
          <w:sz w:val="24"/>
          <w:szCs w:val="24"/>
        </w:rPr>
        <w:t>查阅方式</w:t>
      </w:r>
    </w:p>
    <w:p w:rsidR="00750D48" w:rsidRPr="006C56AA" w:rsidRDefault="00750D48" w:rsidP="00EB572F">
      <w:pPr>
        <w:spacing w:line="360" w:lineRule="auto"/>
        <w:ind w:firstLineChars="200" w:firstLine="480"/>
        <w:rPr>
          <w:color w:val="000000"/>
          <w:sz w:val="24"/>
          <w:szCs w:val="24"/>
        </w:rPr>
      </w:pPr>
      <w:r w:rsidRPr="006C56AA">
        <w:rPr>
          <w:color w:val="000000"/>
          <w:sz w:val="24"/>
          <w:szCs w:val="24"/>
        </w:rPr>
        <w:t>投资者可在营业时间免费查阅，也可按工本费购买复印件。</w:t>
      </w: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Default="00750D48" w:rsidP="004061AC">
      <w:pPr>
        <w:spacing w:line="360" w:lineRule="auto"/>
        <w:ind w:left="840"/>
        <w:jc w:val="right"/>
        <w:rPr>
          <w:rFonts w:ascii="宋体"/>
          <w:color w:val="000000"/>
          <w:sz w:val="24"/>
          <w:szCs w:val="24"/>
        </w:rPr>
      </w:pPr>
    </w:p>
    <w:p w:rsidR="00750D48" w:rsidRPr="00264E55" w:rsidRDefault="00750D48" w:rsidP="004061AC">
      <w:pPr>
        <w:spacing w:line="360" w:lineRule="auto"/>
        <w:ind w:left="840"/>
        <w:jc w:val="right"/>
        <w:rPr>
          <w:rFonts w:ascii="宋体"/>
          <w:color w:val="000000"/>
          <w:sz w:val="24"/>
          <w:szCs w:val="24"/>
        </w:rPr>
      </w:pPr>
    </w:p>
    <w:p w:rsidR="00750D48" w:rsidRPr="00264E55" w:rsidRDefault="00750D48" w:rsidP="004061AC">
      <w:pPr>
        <w:spacing w:line="360" w:lineRule="auto"/>
        <w:ind w:left="840"/>
        <w:jc w:val="right"/>
        <w:rPr>
          <w:rFonts w:ascii="宋体"/>
          <w:color w:val="000000"/>
          <w:sz w:val="24"/>
          <w:szCs w:val="24"/>
        </w:rPr>
      </w:pPr>
    </w:p>
    <w:p w:rsidR="00750D48" w:rsidRPr="00264E55" w:rsidRDefault="00750D48" w:rsidP="004061AC">
      <w:pPr>
        <w:spacing w:line="360" w:lineRule="auto"/>
        <w:ind w:left="840"/>
        <w:jc w:val="right"/>
        <w:rPr>
          <w:rFonts w:ascii="宋体"/>
          <w:color w:val="000000"/>
          <w:sz w:val="24"/>
          <w:szCs w:val="24"/>
        </w:rPr>
      </w:pPr>
    </w:p>
    <w:p w:rsidR="00750D48" w:rsidRPr="00264E55" w:rsidRDefault="00750D48" w:rsidP="00C71497">
      <w:pPr>
        <w:spacing w:line="360" w:lineRule="auto"/>
        <w:jc w:val="right"/>
        <w:rPr>
          <w:rFonts w:ascii="宋体" w:hAnsi="宋体"/>
          <w:b/>
          <w:bCs/>
          <w:sz w:val="24"/>
          <w:szCs w:val="24"/>
        </w:rPr>
      </w:pPr>
      <w:r w:rsidRPr="00264E55">
        <w:rPr>
          <w:rFonts w:ascii="宋体" w:hAnsi="宋体"/>
          <w:b/>
          <w:bCs/>
          <w:sz w:val="24"/>
          <w:szCs w:val="24"/>
        </w:rPr>
        <w:lastRenderedPageBreak/>
        <w:t>易方达基金管理有限公司</w:t>
      </w:r>
    </w:p>
    <w:p w:rsidR="00750D48" w:rsidRPr="00191817" w:rsidRDefault="00750D48" w:rsidP="00191817">
      <w:pPr>
        <w:spacing w:line="360" w:lineRule="auto"/>
        <w:jc w:val="right"/>
        <w:rPr>
          <w:rFonts w:ascii="宋体" w:hAnsi="宋体"/>
          <w:b/>
          <w:bCs/>
          <w:sz w:val="24"/>
          <w:szCs w:val="24"/>
        </w:rPr>
      </w:pPr>
      <w:r w:rsidRPr="00264E55">
        <w:rPr>
          <w:rFonts w:ascii="宋体" w:hAnsi="宋体"/>
          <w:b/>
          <w:bCs/>
          <w:sz w:val="24"/>
          <w:szCs w:val="24"/>
        </w:rPr>
        <w:t>二〇二〇年七月二十一日</w:t>
      </w:r>
    </w:p>
    <w:sectPr w:rsidR="00750D48" w:rsidRPr="00191817" w:rsidSect="00304A12">
      <w:footerReference w:type="default" r:id="rId12"/>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080C" w:rsidRDefault="0020080C" w:rsidP="00876D65">
      <w:r>
        <w:separator/>
      </w:r>
    </w:p>
  </w:endnote>
  <w:endnote w:type="continuationSeparator" w:id="0">
    <w:p w:rsidR="0020080C" w:rsidRDefault="0020080C"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D9" w:rsidRDefault="003328D9" w:rsidP="00EF56B5">
    <w:pPr>
      <w:pStyle w:val="a6"/>
      <w:framePr w:wrap="auto" w:vAnchor="text" w:hAnchor="margin"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4062AA">
      <w:rPr>
        <w:rStyle w:val="a7"/>
        <w:noProof/>
      </w:rPr>
      <w:t>1</w:t>
    </w:r>
    <w:r>
      <w:rPr>
        <w:rStyle w:val="a7"/>
      </w:rPr>
      <w:fldChar w:fldCharType="end"/>
    </w:r>
    <w:r>
      <w:rPr>
        <w:rStyle w:val="a7"/>
        <w:rFonts w:hint="eastAsia"/>
      </w:rPr>
      <w:t>页共</w:t>
    </w:r>
    <w:r w:rsidR="0020080C">
      <w:fldChar w:fldCharType="begin"/>
    </w:r>
    <w:r w:rsidR="0020080C">
      <w:instrText xml:space="preserve"> NUMPAGES  \* Arabic  \* MERGEFORMAT </w:instrText>
    </w:r>
    <w:r w:rsidR="0020080C">
      <w:fldChar w:fldCharType="separate"/>
    </w:r>
    <w:r w:rsidR="004062AA" w:rsidRPr="004062AA">
      <w:rPr>
        <w:rStyle w:val="a7"/>
        <w:noProof/>
      </w:rPr>
      <w:t>16</w:t>
    </w:r>
    <w:r w:rsidR="0020080C">
      <w:rPr>
        <w:rStyle w:val="a7"/>
        <w:noProof/>
      </w:rPr>
      <w:fldChar w:fldCharType="end"/>
    </w:r>
    <w:r>
      <w:rPr>
        <w:rStyle w:val="a7"/>
        <w:rFonts w:hint="eastAsia"/>
      </w:rPr>
      <w:t>页</w:t>
    </w:r>
  </w:p>
  <w:p w:rsidR="003328D9" w:rsidRPr="00EF56B5" w:rsidRDefault="003328D9" w:rsidP="00EF56B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D9" w:rsidRDefault="003328D9">
    <w:pPr>
      <w:pStyle w:val="a6"/>
      <w:framePr w:wrap="auto" w:vAnchor="text" w:hAnchor="margin"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4062AA">
      <w:rPr>
        <w:rStyle w:val="a7"/>
        <w:noProof/>
      </w:rPr>
      <w:t>7</w:t>
    </w:r>
    <w:r>
      <w:rPr>
        <w:rStyle w:val="a7"/>
      </w:rPr>
      <w:fldChar w:fldCharType="end"/>
    </w:r>
    <w:r>
      <w:rPr>
        <w:rStyle w:val="a7"/>
        <w:rFonts w:hint="eastAsia"/>
      </w:rPr>
      <w:t>页共</w:t>
    </w:r>
    <w:fldSimple w:instr=" NUMPAGES  \* Arabic  \* MERGEFORMAT ">
      <w:r w:rsidR="004062AA" w:rsidRPr="004062AA">
        <w:rPr>
          <w:rStyle w:val="a7"/>
          <w:noProof/>
        </w:rPr>
        <w:t>16</w:t>
      </w:r>
    </w:fldSimple>
    <w:r>
      <w:rPr>
        <w:rStyle w:val="a7"/>
        <w:rFonts w:hint="eastAsia"/>
      </w:rPr>
      <w:t>页</w:t>
    </w:r>
  </w:p>
  <w:p w:rsidR="003328D9" w:rsidRDefault="003328D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080C" w:rsidRDefault="0020080C" w:rsidP="00876D65">
      <w:r>
        <w:separator/>
      </w:r>
    </w:p>
  </w:footnote>
  <w:footnote w:type="continuationSeparator" w:id="0">
    <w:p w:rsidR="0020080C" w:rsidRDefault="0020080C" w:rsidP="00876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8D9" w:rsidRPr="00093704" w:rsidRDefault="003328D9" w:rsidP="00090A26">
    <w:pPr>
      <w:pStyle w:val="a9"/>
      <w:pBdr>
        <w:bottom w:val="single" w:sz="6" w:space="0" w:color="auto"/>
      </w:pBdr>
      <w:jc w:val="right"/>
    </w:pPr>
    <w:r w:rsidRPr="00093704">
      <w:t>易方达安心回馈混合型证券投资基金</w:t>
    </w:r>
    <w:r w:rsidRPr="00093704">
      <w:t>2020</w:t>
    </w:r>
    <w:r w:rsidRPr="00093704">
      <w:t>年第</w:t>
    </w:r>
    <w:r w:rsidRPr="00093704">
      <w:t>2</w:t>
    </w:r>
    <w:r w:rsidRPr="00093704">
      <w:t>季度报告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start w:val="1"/>
      <w:numFmt w:val="bullet"/>
      <w:lvlText w:val=""/>
      <w:lvlJc w:val="left"/>
      <w:pPr>
        <w:tabs>
          <w:tab w:val="num" w:pos="1260"/>
        </w:tabs>
        <w:ind w:left="1260" w:hanging="420"/>
      </w:pPr>
      <w:rPr>
        <w:rFonts w:ascii="Wingdings" w:hAnsi="Wingdings" w:hint="default"/>
      </w:rPr>
    </w:lvl>
    <w:lvl w:ilvl="2" w:tplc="04090005">
      <w:start w:val="1"/>
      <w:numFmt w:val="bullet"/>
      <w:lvlText w:val=""/>
      <w:lvlJc w:val="left"/>
      <w:pPr>
        <w:tabs>
          <w:tab w:val="num" w:pos="1680"/>
        </w:tabs>
        <w:ind w:left="1680" w:hanging="420"/>
      </w:pPr>
      <w:rPr>
        <w:rFonts w:ascii="Wingdings" w:hAnsi="Wingdings" w:hint="default"/>
      </w:rPr>
    </w:lvl>
    <w:lvl w:ilvl="3" w:tplc="04090001">
      <w:start w:val="1"/>
      <w:numFmt w:val="bullet"/>
      <w:lvlText w:val=""/>
      <w:lvlJc w:val="left"/>
      <w:pPr>
        <w:tabs>
          <w:tab w:val="num" w:pos="2100"/>
        </w:tabs>
        <w:ind w:left="2100" w:hanging="420"/>
      </w:pPr>
      <w:rPr>
        <w:rFonts w:ascii="Wingdings" w:hAnsi="Wingdings" w:hint="default"/>
      </w:rPr>
    </w:lvl>
    <w:lvl w:ilvl="4" w:tplc="04090003">
      <w:start w:val="1"/>
      <w:numFmt w:val="bullet"/>
      <w:lvlText w:val=""/>
      <w:lvlJc w:val="left"/>
      <w:pPr>
        <w:tabs>
          <w:tab w:val="num" w:pos="2520"/>
        </w:tabs>
        <w:ind w:left="2520" w:hanging="420"/>
      </w:pPr>
      <w:rPr>
        <w:rFonts w:ascii="Wingdings" w:hAnsi="Wingdings" w:hint="default"/>
      </w:rPr>
    </w:lvl>
    <w:lvl w:ilvl="5" w:tplc="04090005">
      <w:start w:val="1"/>
      <w:numFmt w:val="bullet"/>
      <w:lvlText w:val=""/>
      <w:lvlJc w:val="left"/>
      <w:pPr>
        <w:tabs>
          <w:tab w:val="num" w:pos="2940"/>
        </w:tabs>
        <w:ind w:left="2940" w:hanging="420"/>
      </w:pPr>
      <w:rPr>
        <w:rFonts w:ascii="Wingdings" w:hAnsi="Wingdings" w:hint="default"/>
      </w:rPr>
    </w:lvl>
    <w:lvl w:ilvl="6" w:tplc="04090001">
      <w:start w:val="1"/>
      <w:numFmt w:val="bullet"/>
      <w:lvlText w:val=""/>
      <w:lvlJc w:val="left"/>
      <w:pPr>
        <w:tabs>
          <w:tab w:val="num" w:pos="3360"/>
        </w:tabs>
        <w:ind w:left="3360" w:hanging="420"/>
      </w:pPr>
      <w:rPr>
        <w:rFonts w:ascii="Wingdings" w:hAnsi="Wingdings" w:hint="default"/>
      </w:rPr>
    </w:lvl>
    <w:lvl w:ilvl="7" w:tplc="04090003">
      <w:start w:val="1"/>
      <w:numFmt w:val="bullet"/>
      <w:lvlText w:val=""/>
      <w:lvlJc w:val="left"/>
      <w:pPr>
        <w:tabs>
          <w:tab w:val="num" w:pos="3780"/>
        </w:tabs>
        <w:ind w:left="3780" w:hanging="420"/>
      </w:pPr>
      <w:rPr>
        <w:rFonts w:ascii="Wingdings" w:hAnsi="Wingdings" w:hint="default"/>
      </w:rPr>
    </w:lvl>
    <w:lvl w:ilvl="8" w:tplc="04090005">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szCs w:val="24"/>
      </w:rPr>
    </w:lvl>
    <w:lvl w:ilvl="1" w:tplc="04090019">
      <w:start w:val="1"/>
      <w:numFmt w:val="lowerLetter"/>
      <w:lvlText w:val="%2)"/>
      <w:lvlJc w:val="left"/>
      <w:pPr>
        <w:tabs>
          <w:tab w:val="num" w:pos="1320"/>
        </w:tabs>
        <w:ind w:left="1320" w:hanging="420"/>
      </w:pPr>
      <w:rPr>
        <w:rFonts w:cs="Times New Roman"/>
      </w:rPr>
    </w:lvl>
    <w:lvl w:ilvl="2" w:tplc="0409001B">
      <w:start w:val="1"/>
      <w:numFmt w:val="lowerRoman"/>
      <w:lvlText w:val="%3."/>
      <w:lvlJc w:val="right"/>
      <w:pPr>
        <w:tabs>
          <w:tab w:val="num" w:pos="1740"/>
        </w:tabs>
        <w:ind w:left="1740" w:hanging="420"/>
      </w:pPr>
      <w:rPr>
        <w:rFonts w:cs="Times New Roman"/>
      </w:rPr>
    </w:lvl>
    <w:lvl w:ilvl="3" w:tplc="0409000F">
      <w:start w:val="1"/>
      <w:numFmt w:val="decimal"/>
      <w:lvlText w:val="%4."/>
      <w:lvlJc w:val="left"/>
      <w:pPr>
        <w:tabs>
          <w:tab w:val="num" w:pos="2160"/>
        </w:tabs>
        <w:ind w:left="2160" w:hanging="420"/>
      </w:pPr>
      <w:rPr>
        <w:rFonts w:cs="Times New Roman"/>
      </w:rPr>
    </w:lvl>
    <w:lvl w:ilvl="4" w:tplc="04090019">
      <w:start w:val="1"/>
      <w:numFmt w:val="lowerLetter"/>
      <w:lvlText w:val="%5)"/>
      <w:lvlJc w:val="left"/>
      <w:pPr>
        <w:tabs>
          <w:tab w:val="num" w:pos="2580"/>
        </w:tabs>
        <w:ind w:left="2580" w:hanging="420"/>
      </w:pPr>
      <w:rPr>
        <w:rFonts w:cs="Times New Roman"/>
      </w:rPr>
    </w:lvl>
    <w:lvl w:ilvl="5" w:tplc="0409001B">
      <w:start w:val="1"/>
      <w:numFmt w:val="lowerRoman"/>
      <w:lvlText w:val="%6."/>
      <w:lvlJc w:val="right"/>
      <w:pPr>
        <w:tabs>
          <w:tab w:val="num" w:pos="3000"/>
        </w:tabs>
        <w:ind w:left="3000" w:hanging="420"/>
      </w:pPr>
      <w:rPr>
        <w:rFonts w:cs="Times New Roman"/>
      </w:rPr>
    </w:lvl>
    <w:lvl w:ilvl="6" w:tplc="0409000F">
      <w:start w:val="1"/>
      <w:numFmt w:val="decimal"/>
      <w:lvlText w:val="%7."/>
      <w:lvlJc w:val="left"/>
      <w:pPr>
        <w:tabs>
          <w:tab w:val="num" w:pos="3420"/>
        </w:tabs>
        <w:ind w:left="3420" w:hanging="420"/>
      </w:pPr>
      <w:rPr>
        <w:rFonts w:cs="Times New Roman"/>
      </w:rPr>
    </w:lvl>
    <w:lvl w:ilvl="7" w:tplc="04090019">
      <w:start w:val="1"/>
      <w:numFmt w:val="lowerLetter"/>
      <w:lvlText w:val="%8)"/>
      <w:lvlJc w:val="left"/>
      <w:pPr>
        <w:tabs>
          <w:tab w:val="num" w:pos="3840"/>
        </w:tabs>
        <w:ind w:left="3840" w:hanging="420"/>
      </w:pPr>
      <w:rPr>
        <w:rFonts w:cs="Times New Roman"/>
      </w:rPr>
    </w:lvl>
    <w:lvl w:ilvl="8" w:tplc="0409001B">
      <w:start w:val="1"/>
      <w:numFmt w:val="lowerRoman"/>
      <w:lvlText w:val="%9."/>
      <w:lvlJc w:val="right"/>
      <w:pPr>
        <w:tabs>
          <w:tab w:val="num" w:pos="4260"/>
        </w:tabs>
        <w:ind w:left="4260" w:hanging="420"/>
      </w:pPr>
      <w:rPr>
        <w:rFonts w:cs="Times New Roman"/>
      </w:rPr>
    </w:lvl>
  </w:abstractNum>
  <w:abstractNum w:abstractNumId="2"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80C"/>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62AA"/>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2E16"/>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C3CD4"/>
    <w:rsid w:val="00ED040B"/>
    <w:rsid w:val="00ED62BE"/>
    <w:rsid w:val="00EF115C"/>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15:docId w15:val="{D4AE7077-49DF-4419-BB7C-088D09B01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1AC"/>
    <w:pPr>
      <w:widowControl w:val="0"/>
      <w:jc w:val="both"/>
    </w:pPr>
    <w:rPr>
      <w:rFonts w:ascii="Times New Roman" w:hAnsi="Times New Roman"/>
      <w:kern w:val="2"/>
      <w:sz w:val="21"/>
      <w:szCs w:val="21"/>
    </w:rPr>
  </w:style>
  <w:style w:type="paragraph" w:styleId="1">
    <w:name w:val="heading 1"/>
    <w:basedOn w:val="a"/>
    <w:next w:val="a"/>
    <w:link w:val="1Char"/>
    <w:uiPriority w:val="99"/>
    <w:qFormat/>
    <w:rsid w:val="004061AC"/>
    <w:pPr>
      <w:keepNext/>
      <w:keepLines/>
      <w:spacing w:before="340" w:after="330" w:line="578" w:lineRule="auto"/>
      <w:outlineLvl w:val="0"/>
    </w:pPr>
    <w:rPr>
      <w:b/>
      <w:bCs/>
      <w:kern w:val="44"/>
      <w:sz w:val="44"/>
      <w:szCs w:val="44"/>
    </w:rPr>
  </w:style>
  <w:style w:type="paragraph" w:styleId="2">
    <w:name w:val="heading 2"/>
    <w:basedOn w:val="a"/>
    <w:next w:val="a0"/>
    <w:link w:val="2Char"/>
    <w:uiPriority w:val="99"/>
    <w:qFormat/>
    <w:rsid w:val="004061AC"/>
    <w:pPr>
      <w:keepNext/>
      <w:keepLines/>
      <w:spacing w:before="260" w:after="260" w:line="360" w:lineRule="auto"/>
      <w:outlineLvl w:val="1"/>
    </w:pPr>
    <w:rPr>
      <w:rFonts w:ascii="Arial" w:hAnsi="Arial"/>
      <w:b/>
      <w:bCs/>
      <w:kern w:val="0"/>
      <w:sz w:val="24"/>
      <w:szCs w:val="24"/>
    </w:rPr>
  </w:style>
  <w:style w:type="paragraph" w:styleId="3">
    <w:name w:val="heading 3"/>
    <w:basedOn w:val="a"/>
    <w:next w:val="a"/>
    <w:link w:val="3Char"/>
    <w:uiPriority w:val="99"/>
    <w:qFormat/>
    <w:rsid w:val="004061AC"/>
    <w:pPr>
      <w:keepNext/>
      <w:keepLines/>
      <w:spacing w:before="260" w:after="260" w:line="416" w:lineRule="auto"/>
      <w:outlineLvl w:val="2"/>
    </w:pPr>
    <w:rPr>
      <w:b/>
      <w:bCs/>
      <w:kern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4061AC"/>
    <w:rPr>
      <w:rFonts w:ascii="Times New Roman" w:eastAsia="宋体" w:hAnsi="Times New Roman" w:cs="Times New Roman"/>
      <w:b/>
      <w:bCs/>
      <w:kern w:val="44"/>
      <w:sz w:val="44"/>
      <w:szCs w:val="44"/>
    </w:rPr>
  </w:style>
  <w:style w:type="character" w:customStyle="1" w:styleId="2Char">
    <w:name w:val="标题 2 Char"/>
    <w:link w:val="2"/>
    <w:uiPriority w:val="99"/>
    <w:locked/>
    <w:rsid w:val="004061AC"/>
    <w:rPr>
      <w:rFonts w:ascii="Arial" w:eastAsia="宋体" w:hAnsi="Arial" w:cs="Arial"/>
      <w:b/>
      <w:bCs/>
      <w:sz w:val="24"/>
      <w:szCs w:val="24"/>
    </w:rPr>
  </w:style>
  <w:style w:type="character" w:customStyle="1" w:styleId="3Char">
    <w:name w:val="标题 3 Char"/>
    <w:link w:val="3"/>
    <w:uiPriority w:val="99"/>
    <w:locked/>
    <w:rsid w:val="004061AC"/>
    <w:rPr>
      <w:rFonts w:ascii="Times New Roman" w:eastAsia="宋体" w:hAnsi="Times New Roman" w:cs="Times New Roman"/>
      <w:b/>
      <w:bCs/>
      <w:sz w:val="32"/>
      <w:szCs w:val="32"/>
    </w:rPr>
  </w:style>
  <w:style w:type="paragraph" w:styleId="a0">
    <w:name w:val="Normal Indent"/>
    <w:basedOn w:val="a"/>
    <w:uiPriority w:val="99"/>
    <w:rsid w:val="004061AC"/>
    <w:pPr>
      <w:ind w:firstLineChars="200" w:firstLine="420"/>
    </w:pPr>
  </w:style>
  <w:style w:type="paragraph" w:styleId="a4">
    <w:name w:val="Body Text Indent"/>
    <w:basedOn w:val="a"/>
    <w:link w:val="Char"/>
    <w:uiPriority w:val="99"/>
    <w:rsid w:val="004061AC"/>
    <w:pPr>
      <w:widowControl/>
      <w:spacing w:before="100" w:beforeAutospacing="1" w:after="100" w:afterAutospacing="1"/>
      <w:jc w:val="left"/>
    </w:pPr>
    <w:rPr>
      <w:rFonts w:ascii="Arial Unicode MS" w:eastAsia="Arial Unicode MS" w:hAnsi="Arial Unicode MS"/>
      <w:kern w:val="0"/>
      <w:sz w:val="24"/>
      <w:szCs w:val="24"/>
    </w:rPr>
  </w:style>
  <w:style w:type="character" w:customStyle="1" w:styleId="Char">
    <w:name w:val="正文文本缩进 Char"/>
    <w:link w:val="a4"/>
    <w:uiPriority w:val="99"/>
    <w:locked/>
    <w:rsid w:val="004061AC"/>
    <w:rPr>
      <w:rFonts w:ascii="Arial Unicode MS" w:eastAsia="Arial Unicode MS" w:hAnsi="Arial Unicode MS" w:cs="Arial Unicode MS"/>
      <w:kern w:val="0"/>
      <w:sz w:val="24"/>
      <w:szCs w:val="24"/>
    </w:rPr>
  </w:style>
  <w:style w:type="paragraph" w:styleId="a5">
    <w:name w:val="Plain Text"/>
    <w:basedOn w:val="a"/>
    <w:link w:val="Char0"/>
    <w:uiPriority w:val="99"/>
    <w:rsid w:val="004061AC"/>
    <w:rPr>
      <w:rFonts w:ascii="宋体" w:hAnsi="Courier New"/>
      <w:kern w:val="0"/>
    </w:rPr>
  </w:style>
  <w:style w:type="character" w:customStyle="1" w:styleId="Char0">
    <w:name w:val="纯文本 Char"/>
    <w:link w:val="a5"/>
    <w:uiPriority w:val="99"/>
    <w:locked/>
    <w:rsid w:val="004061AC"/>
    <w:rPr>
      <w:rFonts w:ascii="宋体" w:eastAsia="宋体" w:hAnsi="Courier New" w:cs="宋体"/>
      <w:sz w:val="21"/>
      <w:szCs w:val="21"/>
    </w:rPr>
  </w:style>
  <w:style w:type="paragraph" w:styleId="20">
    <w:name w:val="Body Text Indent 2"/>
    <w:basedOn w:val="a"/>
    <w:link w:val="2Char0"/>
    <w:uiPriority w:val="99"/>
    <w:rsid w:val="004061AC"/>
    <w:pPr>
      <w:spacing w:line="560" w:lineRule="exact"/>
      <w:ind w:firstLineChars="200" w:firstLine="480"/>
    </w:pPr>
    <w:rPr>
      <w:rFonts w:ascii="宋体" w:hAnsi="宋体"/>
      <w:color w:val="FF0000"/>
      <w:kern w:val="0"/>
      <w:sz w:val="24"/>
      <w:szCs w:val="24"/>
    </w:rPr>
  </w:style>
  <w:style w:type="character" w:customStyle="1" w:styleId="2Char0">
    <w:name w:val="正文文本缩进 2 Char"/>
    <w:link w:val="20"/>
    <w:uiPriority w:val="99"/>
    <w:locked/>
    <w:rsid w:val="004061AC"/>
    <w:rPr>
      <w:rFonts w:ascii="宋体" w:eastAsia="宋体" w:hAnsi="宋体" w:cs="宋体"/>
      <w:color w:val="FF0000"/>
      <w:sz w:val="24"/>
      <w:szCs w:val="24"/>
    </w:rPr>
  </w:style>
  <w:style w:type="paragraph" w:styleId="a6">
    <w:name w:val="footer"/>
    <w:basedOn w:val="a"/>
    <w:link w:val="Char1"/>
    <w:uiPriority w:val="99"/>
    <w:rsid w:val="004061AC"/>
    <w:pPr>
      <w:tabs>
        <w:tab w:val="center" w:pos="4153"/>
        <w:tab w:val="right" w:pos="8306"/>
      </w:tabs>
      <w:snapToGrid w:val="0"/>
      <w:jc w:val="left"/>
    </w:pPr>
    <w:rPr>
      <w:kern w:val="0"/>
      <w:sz w:val="18"/>
      <w:szCs w:val="18"/>
    </w:rPr>
  </w:style>
  <w:style w:type="character" w:customStyle="1" w:styleId="Char1">
    <w:name w:val="页脚 Char"/>
    <w:link w:val="a6"/>
    <w:uiPriority w:val="99"/>
    <w:locked/>
    <w:rsid w:val="004061AC"/>
    <w:rPr>
      <w:rFonts w:ascii="Times New Roman" w:eastAsia="宋体" w:hAnsi="Times New Roman" w:cs="Times New Roman"/>
      <w:sz w:val="18"/>
      <w:szCs w:val="18"/>
    </w:rPr>
  </w:style>
  <w:style w:type="character" w:styleId="a7">
    <w:name w:val="page number"/>
    <w:uiPriority w:val="99"/>
    <w:rsid w:val="004061AC"/>
    <w:rPr>
      <w:rFonts w:cs="Times New Roman"/>
    </w:rPr>
  </w:style>
  <w:style w:type="character" w:styleId="a8">
    <w:name w:val="Hyperlink"/>
    <w:uiPriority w:val="99"/>
    <w:rsid w:val="004061AC"/>
    <w:rPr>
      <w:rFonts w:cs="Times New Roman"/>
      <w:color w:val="0000FF"/>
      <w:u w:val="single"/>
    </w:rPr>
  </w:style>
  <w:style w:type="paragraph" w:styleId="30">
    <w:name w:val="Body Text Indent 3"/>
    <w:basedOn w:val="a"/>
    <w:link w:val="3Char0"/>
    <w:uiPriority w:val="99"/>
    <w:rsid w:val="004061AC"/>
    <w:pPr>
      <w:spacing w:line="560" w:lineRule="exact"/>
      <w:ind w:firstLineChars="200" w:firstLine="420"/>
    </w:pPr>
    <w:rPr>
      <w:rFonts w:ascii="Arial" w:hAnsi="Arial"/>
      <w:color w:val="FF0000"/>
      <w:kern w:val="0"/>
    </w:rPr>
  </w:style>
  <w:style w:type="character" w:customStyle="1" w:styleId="3Char0">
    <w:name w:val="正文文本缩进 3 Char"/>
    <w:link w:val="30"/>
    <w:uiPriority w:val="99"/>
    <w:locked/>
    <w:rsid w:val="004061AC"/>
    <w:rPr>
      <w:rFonts w:ascii="Arial" w:eastAsia="宋体" w:hAnsi="Arial" w:cs="Arial"/>
      <w:color w:val="FF0000"/>
      <w:sz w:val="21"/>
      <w:szCs w:val="21"/>
    </w:rPr>
  </w:style>
  <w:style w:type="paragraph" w:styleId="a9">
    <w:name w:val="header"/>
    <w:basedOn w:val="a"/>
    <w:link w:val="Char2"/>
    <w:uiPriority w:val="99"/>
    <w:rsid w:val="004061AC"/>
    <w:pPr>
      <w:pBdr>
        <w:bottom w:val="single" w:sz="6" w:space="1" w:color="auto"/>
      </w:pBdr>
      <w:tabs>
        <w:tab w:val="center" w:pos="4153"/>
        <w:tab w:val="right" w:pos="8306"/>
      </w:tabs>
      <w:snapToGrid w:val="0"/>
      <w:jc w:val="center"/>
    </w:pPr>
    <w:rPr>
      <w:kern w:val="0"/>
      <w:sz w:val="18"/>
      <w:szCs w:val="18"/>
    </w:rPr>
  </w:style>
  <w:style w:type="character" w:customStyle="1" w:styleId="Char2">
    <w:name w:val="页眉 Char"/>
    <w:link w:val="a9"/>
    <w:uiPriority w:val="99"/>
    <w:locked/>
    <w:rsid w:val="004061AC"/>
    <w:rPr>
      <w:rFonts w:ascii="Times New Roman" w:eastAsia="宋体" w:hAnsi="Times New Roman" w:cs="Times New Roman"/>
      <w:sz w:val="18"/>
      <w:szCs w:val="18"/>
    </w:rPr>
  </w:style>
  <w:style w:type="character" w:styleId="aa">
    <w:name w:val="FollowedHyperlink"/>
    <w:uiPriority w:val="99"/>
    <w:rsid w:val="004061AC"/>
    <w:rPr>
      <w:rFonts w:cs="Times New Roman"/>
      <w:color w:val="800080"/>
      <w:u w:val="single"/>
    </w:rPr>
  </w:style>
  <w:style w:type="paragraph" w:styleId="ab">
    <w:name w:val="List"/>
    <w:basedOn w:val="ac"/>
    <w:uiPriority w:val="99"/>
    <w:rsid w:val="004061AC"/>
    <w:pPr>
      <w:spacing w:after="220" w:line="220" w:lineRule="atLeast"/>
      <w:ind w:left="1440" w:hanging="360"/>
    </w:pPr>
  </w:style>
  <w:style w:type="paragraph" w:styleId="ac">
    <w:name w:val="Body Text"/>
    <w:basedOn w:val="a"/>
    <w:link w:val="Char3"/>
    <w:uiPriority w:val="99"/>
    <w:rsid w:val="004061AC"/>
    <w:pPr>
      <w:spacing w:after="120"/>
    </w:pPr>
    <w:rPr>
      <w:kern w:val="0"/>
    </w:rPr>
  </w:style>
  <w:style w:type="character" w:customStyle="1" w:styleId="Char3">
    <w:name w:val="正文文本 Char"/>
    <w:link w:val="ac"/>
    <w:uiPriority w:val="99"/>
    <w:locked/>
    <w:rsid w:val="004061AC"/>
    <w:rPr>
      <w:rFonts w:ascii="Times New Roman" w:eastAsia="宋体" w:hAnsi="Times New Roman" w:cs="Times New Roman"/>
      <w:sz w:val="21"/>
      <w:szCs w:val="21"/>
    </w:rPr>
  </w:style>
  <w:style w:type="paragraph" w:styleId="ad">
    <w:name w:val="Date"/>
    <w:basedOn w:val="a"/>
    <w:next w:val="a"/>
    <w:link w:val="Char4"/>
    <w:uiPriority w:val="99"/>
    <w:rsid w:val="004061AC"/>
    <w:rPr>
      <w:kern w:val="0"/>
      <w:sz w:val="24"/>
      <w:szCs w:val="24"/>
    </w:rPr>
  </w:style>
  <w:style w:type="character" w:customStyle="1" w:styleId="Char4">
    <w:name w:val="日期 Char"/>
    <w:link w:val="ad"/>
    <w:uiPriority w:val="99"/>
    <w:locked/>
    <w:rsid w:val="004061AC"/>
    <w:rPr>
      <w:rFonts w:ascii="Times New Roman" w:eastAsia="宋体" w:hAnsi="Times New Roman" w:cs="Times New Roman"/>
      <w:sz w:val="24"/>
      <w:szCs w:val="24"/>
    </w:rPr>
  </w:style>
  <w:style w:type="character" w:customStyle="1" w:styleId="c1">
    <w:name w:val="c1"/>
    <w:uiPriority w:val="99"/>
    <w:rsid w:val="004061AC"/>
    <w:rPr>
      <w:rFonts w:cs="Times New Roman"/>
      <w:color w:val="000000"/>
      <w:sz w:val="18"/>
      <w:szCs w:val="18"/>
    </w:rPr>
  </w:style>
  <w:style w:type="paragraph" w:styleId="10">
    <w:name w:val="index 1"/>
    <w:basedOn w:val="a"/>
    <w:next w:val="a"/>
    <w:autoRedefine/>
    <w:uiPriority w:val="99"/>
    <w:semiHidden/>
    <w:rsid w:val="004061AC"/>
    <w:pPr>
      <w:jc w:val="right"/>
    </w:pPr>
    <w:rPr>
      <w:color w:val="008000"/>
    </w:rPr>
  </w:style>
  <w:style w:type="paragraph" w:customStyle="1" w:styleId="font5">
    <w:name w:val="font5"/>
    <w:basedOn w:val="a"/>
    <w:uiPriority w:val="99"/>
    <w:rsid w:val="004061AC"/>
    <w:pPr>
      <w:widowControl/>
      <w:spacing w:before="100" w:beforeAutospacing="1" w:after="100" w:afterAutospacing="1"/>
      <w:jc w:val="left"/>
    </w:pPr>
    <w:rPr>
      <w:rFonts w:ascii="宋体" w:hAnsi="宋体" w:cs="宋体"/>
      <w:kern w:val="0"/>
      <w:sz w:val="18"/>
      <w:szCs w:val="18"/>
    </w:rPr>
  </w:style>
  <w:style w:type="paragraph" w:customStyle="1" w:styleId="xl24">
    <w:name w:val="xl24"/>
    <w:basedOn w:val="a"/>
    <w:uiPriority w:val="99"/>
    <w:rsid w:val="004061AC"/>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0000FF"/>
      <w:kern w:val="0"/>
      <w:sz w:val="29"/>
      <w:szCs w:val="29"/>
    </w:rPr>
  </w:style>
  <w:style w:type="paragraph" w:customStyle="1" w:styleId="xl25">
    <w:name w:val="xl25"/>
    <w:basedOn w:val="a"/>
    <w:uiPriority w:val="99"/>
    <w:rsid w:val="004061AC"/>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eastAsia="Arial Unicode MS" w:hAnsi="Arial Unicode MS" w:cs="Arial Unicode MS"/>
      <w:b/>
      <w:bCs/>
      <w:color w:val="000000"/>
      <w:kern w:val="0"/>
      <w:sz w:val="24"/>
      <w:szCs w:val="24"/>
    </w:rPr>
  </w:style>
  <w:style w:type="paragraph" w:customStyle="1" w:styleId="xl26">
    <w:name w:val="xl26"/>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27">
    <w:name w:val="xl27"/>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12"/>
      <w:szCs w:val="12"/>
    </w:rPr>
  </w:style>
  <w:style w:type="paragraph" w:customStyle="1" w:styleId="xl28">
    <w:name w:val="xl28"/>
    <w:basedOn w:val="a"/>
    <w:uiPriority w:val="99"/>
    <w:rsid w:val="004061AC"/>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29">
    <w:name w:val="xl29"/>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30">
    <w:name w:val="xl30"/>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szCs w:val="24"/>
    </w:rPr>
  </w:style>
  <w:style w:type="paragraph" w:customStyle="1" w:styleId="xl31">
    <w:name w:val="xl31"/>
    <w:basedOn w:val="a"/>
    <w:uiPriority w:val="99"/>
    <w:rsid w:val="004061AC"/>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2">
    <w:name w:val="xl32"/>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3">
    <w:name w:val="xl33"/>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color w:val="000000"/>
      <w:kern w:val="0"/>
      <w:sz w:val="22"/>
      <w:szCs w:val="22"/>
    </w:rPr>
  </w:style>
  <w:style w:type="paragraph" w:customStyle="1" w:styleId="xl34">
    <w:name w:val="xl34"/>
    <w:basedOn w:val="a"/>
    <w:uiPriority w:val="99"/>
    <w:rsid w:val="004061AC"/>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5">
    <w:name w:val="xl35"/>
    <w:basedOn w:val="a"/>
    <w:uiPriority w:val="99"/>
    <w:rsid w:val="004061AC"/>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000000"/>
      <w:kern w:val="0"/>
      <w:sz w:val="23"/>
      <w:szCs w:val="23"/>
    </w:rPr>
  </w:style>
  <w:style w:type="paragraph" w:customStyle="1" w:styleId="xl36">
    <w:name w:val="xl36"/>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customStyle="1" w:styleId="xl37">
    <w:name w:val="xl37"/>
    <w:basedOn w:val="a"/>
    <w:uiPriority w:val="99"/>
    <w:rsid w:val="004061AC"/>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FF0000"/>
      <w:kern w:val="0"/>
      <w:sz w:val="23"/>
      <w:szCs w:val="23"/>
    </w:rPr>
  </w:style>
  <w:style w:type="paragraph" w:customStyle="1" w:styleId="xl38">
    <w:name w:val="xl38"/>
    <w:basedOn w:val="a"/>
    <w:uiPriority w:val="99"/>
    <w:rsid w:val="004061AC"/>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styleId="ae">
    <w:name w:val="Balloon Text"/>
    <w:basedOn w:val="a"/>
    <w:link w:val="Char5"/>
    <w:uiPriority w:val="99"/>
    <w:semiHidden/>
    <w:rsid w:val="004061AC"/>
    <w:rPr>
      <w:kern w:val="0"/>
      <w:sz w:val="18"/>
      <w:szCs w:val="18"/>
    </w:rPr>
  </w:style>
  <w:style w:type="character" w:customStyle="1" w:styleId="Char5">
    <w:name w:val="批注框文本 Char"/>
    <w:link w:val="ae"/>
    <w:uiPriority w:val="99"/>
    <w:semiHidden/>
    <w:locked/>
    <w:rsid w:val="004061AC"/>
    <w:rPr>
      <w:rFonts w:ascii="Times New Roman" w:eastAsia="宋体" w:hAnsi="Times New Roman" w:cs="Times New Roman"/>
      <w:sz w:val="18"/>
      <w:szCs w:val="18"/>
    </w:rPr>
  </w:style>
  <w:style w:type="character" w:styleId="af">
    <w:name w:val="annotation reference"/>
    <w:uiPriority w:val="99"/>
    <w:semiHidden/>
    <w:rsid w:val="004061AC"/>
    <w:rPr>
      <w:rFonts w:cs="Times New Roman"/>
      <w:sz w:val="21"/>
      <w:szCs w:val="21"/>
    </w:rPr>
  </w:style>
  <w:style w:type="paragraph" w:styleId="af0">
    <w:name w:val="annotation text"/>
    <w:basedOn w:val="a"/>
    <w:link w:val="Char6"/>
    <w:uiPriority w:val="99"/>
    <w:semiHidden/>
    <w:rsid w:val="004061AC"/>
    <w:pPr>
      <w:jc w:val="left"/>
    </w:pPr>
    <w:rPr>
      <w:kern w:val="0"/>
    </w:rPr>
  </w:style>
  <w:style w:type="character" w:customStyle="1" w:styleId="Char6">
    <w:name w:val="批注文字 Char"/>
    <w:link w:val="af0"/>
    <w:uiPriority w:val="99"/>
    <w:semiHidden/>
    <w:locked/>
    <w:rsid w:val="004061AC"/>
    <w:rPr>
      <w:rFonts w:ascii="Times New Roman" w:eastAsia="宋体" w:hAnsi="Times New Roman" w:cs="Times New Roman"/>
      <w:sz w:val="21"/>
      <w:szCs w:val="21"/>
    </w:rPr>
  </w:style>
  <w:style w:type="paragraph" w:styleId="af1">
    <w:name w:val="annotation subject"/>
    <w:basedOn w:val="af0"/>
    <w:next w:val="af0"/>
    <w:link w:val="Char7"/>
    <w:uiPriority w:val="99"/>
    <w:semiHidden/>
    <w:rsid w:val="004061AC"/>
    <w:rPr>
      <w:b/>
      <w:bCs/>
    </w:rPr>
  </w:style>
  <w:style w:type="character" w:customStyle="1" w:styleId="Char7">
    <w:name w:val="批注主题 Char"/>
    <w:link w:val="af1"/>
    <w:uiPriority w:val="99"/>
    <w:semiHidden/>
    <w:locked/>
    <w:rsid w:val="004061AC"/>
    <w:rPr>
      <w:rFonts w:ascii="Times New Roman" w:eastAsia="宋体" w:hAnsi="Times New Roman" w:cs="Times New Roman"/>
      <w:b/>
      <w:bCs/>
      <w:sz w:val="21"/>
      <w:szCs w:val="21"/>
    </w:rPr>
  </w:style>
  <w:style w:type="paragraph" w:customStyle="1" w:styleId="Char8">
    <w:name w:val="Char"/>
    <w:basedOn w:val="a"/>
    <w:uiPriority w:val="99"/>
    <w:rsid w:val="004061AC"/>
  </w:style>
  <w:style w:type="paragraph" w:styleId="af2">
    <w:name w:val="Document Map"/>
    <w:basedOn w:val="a"/>
    <w:link w:val="Char9"/>
    <w:uiPriority w:val="99"/>
    <w:semiHidden/>
    <w:rsid w:val="004061AC"/>
    <w:pPr>
      <w:shd w:val="clear" w:color="auto" w:fill="000080"/>
    </w:pPr>
    <w:rPr>
      <w:kern w:val="0"/>
    </w:rPr>
  </w:style>
  <w:style w:type="character" w:customStyle="1" w:styleId="Char9">
    <w:name w:val="文档结构图 Char"/>
    <w:link w:val="af2"/>
    <w:uiPriority w:val="99"/>
    <w:semiHidden/>
    <w:locked/>
    <w:rsid w:val="004061AC"/>
    <w:rPr>
      <w:rFonts w:ascii="Times New Roman" w:eastAsia="宋体" w:hAnsi="Times New Roman" w:cs="Times New Roman"/>
      <w:sz w:val="21"/>
      <w:szCs w:val="21"/>
      <w:shd w:val="clear" w:color="auto" w:fill="000080"/>
    </w:rPr>
  </w:style>
  <w:style w:type="paragraph" w:customStyle="1" w:styleId="af3">
    <w:name w:val="正文 + (符号) 宋体"/>
    <w:aliases w:val="小四,紧缩量  0.2 磅"/>
    <w:basedOn w:val="a"/>
    <w:uiPriority w:val="99"/>
    <w:rsid w:val="004061AC"/>
    <w:pPr>
      <w:autoSpaceDE w:val="0"/>
      <w:autoSpaceDN w:val="0"/>
      <w:adjustRightInd w:val="0"/>
      <w:ind w:rightChars="671" w:right="1409" w:firstLineChars="512" w:firstLine="1229"/>
      <w:jc w:val="distribute"/>
    </w:pPr>
    <w:rPr>
      <w:sz w:val="24"/>
      <w:szCs w:val="24"/>
    </w:rPr>
  </w:style>
  <w:style w:type="paragraph" w:styleId="af4">
    <w:name w:val="footnote text"/>
    <w:basedOn w:val="a"/>
    <w:link w:val="Chara"/>
    <w:uiPriority w:val="99"/>
    <w:rsid w:val="004061AC"/>
    <w:pPr>
      <w:snapToGrid w:val="0"/>
      <w:jc w:val="left"/>
    </w:pPr>
    <w:rPr>
      <w:kern w:val="0"/>
      <w:sz w:val="18"/>
      <w:szCs w:val="18"/>
    </w:rPr>
  </w:style>
  <w:style w:type="character" w:customStyle="1" w:styleId="Chara">
    <w:name w:val="脚注文本 Char"/>
    <w:link w:val="af4"/>
    <w:uiPriority w:val="99"/>
    <w:locked/>
    <w:rsid w:val="004061AC"/>
    <w:rPr>
      <w:rFonts w:ascii="Times New Roman" w:eastAsia="宋体" w:hAnsi="Times New Roman" w:cs="Times New Roman"/>
      <w:sz w:val="18"/>
      <w:szCs w:val="18"/>
    </w:rPr>
  </w:style>
  <w:style w:type="character" w:styleId="af5">
    <w:name w:val="footnote reference"/>
    <w:uiPriority w:val="99"/>
    <w:rsid w:val="004061AC"/>
    <w:rPr>
      <w:rFonts w:cs="Times New Roman"/>
      <w:vertAlign w:val="superscript"/>
    </w:rPr>
  </w:style>
  <w:style w:type="paragraph" w:styleId="af6">
    <w:name w:val="Normal (Web)"/>
    <w:basedOn w:val="a"/>
    <w:uiPriority w:val="99"/>
    <w:rsid w:val="004061AC"/>
    <w:pPr>
      <w:widowControl/>
      <w:spacing w:before="100" w:beforeAutospacing="1" w:after="100" w:afterAutospacing="1"/>
      <w:jc w:val="left"/>
    </w:pPr>
    <w:rPr>
      <w:rFonts w:ascii="宋体" w:hAnsi="宋体" w:cs="宋体"/>
      <w:kern w:val="0"/>
      <w:sz w:val="24"/>
      <w:szCs w:val="24"/>
    </w:rPr>
  </w:style>
  <w:style w:type="table" w:styleId="af7">
    <w:name w:val="Table Grid"/>
    <w:basedOn w:val="a2"/>
    <w:qFormat/>
    <w:rsid w:val="004061AC"/>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4061AC"/>
  </w:style>
  <w:style w:type="paragraph" w:customStyle="1" w:styleId="CharCharCharCharCharChar1CharCharChar">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type="paragraph" w:customStyle="1" w:styleId="CharCharCharCharCharChar1CharCharChar2">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type="paragraph" w:styleId="af8">
    <w:name w:val="Title"/>
    <w:basedOn w:val="a"/>
    <w:next w:val="a"/>
    <w:link w:val="Charb"/>
    <w:uiPriority w:val="99"/>
    <w:qFormat/>
    <w:rsid w:val="004061AC"/>
    <w:pPr>
      <w:spacing w:before="240" w:after="60"/>
      <w:jc w:val="center"/>
      <w:outlineLvl w:val="0"/>
    </w:pPr>
    <w:rPr>
      <w:rFonts w:ascii="Cambria" w:hAnsi="Cambria"/>
      <w:b/>
      <w:bCs/>
      <w:kern w:val="0"/>
      <w:sz w:val="32"/>
      <w:szCs w:val="32"/>
    </w:rPr>
  </w:style>
  <w:style w:type="character" w:customStyle="1" w:styleId="Charb">
    <w:name w:val="标题 Char"/>
    <w:link w:val="af8"/>
    <w:uiPriority w:val="99"/>
    <w:locked/>
    <w:rsid w:val="004061AC"/>
    <w:rPr>
      <w:rFonts w:ascii="Cambria" w:eastAsia="宋体" w:hAnsi="Cambria" w:cs="Cambria"/>
      <w:b/>
      <w:bCs/>
      <w:sz w:val="32"/>
      <w:szCs w:val="32"/>
    </w:rPr>
  </w:style>
  <w:style w:type="paragraph" w:customStyle="1" w:styleId="CharCharCharCharCharChar1CharCharChar1">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type="paragraph" w:styleId="af9">
    <w:name w:val="No Spacing"/>
    <w:link w:val="Charc"/>
    <w:uiPriority w:val="99"/>
    <w:qFormat/>
    <w:rsid w:val="004061AC"/>
    <w:rPr>
      <w:rFonts w:cs="Calibri"/>
      <w:sz w:val="22"/>
      <w:szCs w:val="22"/>
    </w:rPr>
  </w:style>
  <w:style w:type="character" w:customStyle="1" w:styleId="Charc">
    <w:name w:val="无间隔 Char"/>
    <w:link w:val="af9"/>
    <w:uiPriority w:val="99"/>
    <w:locked/>
    <w:rsid w:val="004061AC"/>
    <w:rPr>
      <w:rFonts w:cs="Calibri"/>
      <w:sz w:val="22"/>
      <w:szCs w:val="22"/>
      <w:lang w:val="en-US" w:eastAsia="zh-CN" w:bidi="ar-SA"/>
    </w:rPr>
  </w:style>
  <w:style w:type="character" w:customStyle="1" w:styleId="t1">
    <w:name w:val="t1"/>
    <w:uiPriority w:val="99"/>
    <w:rsid w:val="004061AC"/>
    <w:rPr>
      <w:rFonts w:cs="Times New Roman"/>
      <w:color w:val="auto"/>
    </w:rPr>
  </w:style>
  <w:style w:type="paragraph" w:styleId="afa">
    <w:name w:val="List Paragraph"/>
    <w:basedOn w:val="a"/>
    <w:uiPriority w:val="99"/>
    <w:qFormat/>
    <w:rsid w:val="00154BE1"/>
    <w:pPr>
      <w:ind w:firstLineChars="200" w:firstLine="420"/>
    </w:pPr>
  </w:style>
  <w:style w:type="paragraph" w:customStyle="1" w:styleId="Default">
    <w:name w:val="Default"/>
    <w:uiPriority w:val="99"/>
    <w:rsid w:val="00275745"/>
    <w:pPr>
      <w:widowControl w:val="0"/>
      <w:autoSpaceDE w:val="0"/>
      <w:autoSpaceDN w:val="0"/>
      <w:adjustRightInd w:val="0"/>
    </w:pPr>
    <w:rPr>
      <w:rFonts w:ascii="FangSong" w:hAnsi="FangSong" w:cs="FangSong"/>
      <w:color w:val="000000"/>
      <w:sz w:val="24"/>
      <w:szCs w:val="24"/>
    </w:rPr>
  </w:style>
  <w:style w:type="character" w:styleId="afb">
    <w:name w:val="Strong"/>
    <w:uiPriority w:val="22"/>
    <w:qFormat/>
    <w:locked/>
    <w:rsid w:val="00D874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251AC-921A-4C48-860A-5C80B4091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1801</TotalTime>
  <Pages>16</Pages>
  <Words>1462</Words>
  <Characters>8338</Characters>
  <Application>Microsoft Office Word</Application>
  <DocSecurity>0</DocSecurity>
  <Lines>69</Lines>
  <Paragraphs>19</Paragraphs>
  <ScaleCrop>false</ScaleCrop>
  <Company/>
  <LinksUpToDate>false</LinksUpToDate>
  <CharactersWithSpaces>9781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温学谦</cp:lastModifiedBy>
  <cp:revision>345</cp:revision>
  <dcterms:created xsi:type="dcterms:W3CDTF">2012-10-16T06:07:00Z</dcterms:created>
  <dcterms:modified xsi:type="dcterms:W3CDTF">2020-07-16T10:28:00Z</dcterms:modified>
</cp:coreProperties>
</file>