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易方达裕如灵活配置混合型证券投资基金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杭州银行股份有限公司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基金托管人杭州银行股份有限公司根据本基金合同规定，于2020年7月17日复核了本报告中的财务指标、净值表现和投资组合报告等内容，保证复核内容不存在虚假记载、误导性陈述或者重大遗漏。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易方达裕如混合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001136</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001136</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2015年3月24日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506,813,174.84</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本基金在控制风险的前提下，追求基金资产的稳健增值。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pPr>
              <w:adjustRightInd w:val="0"/>
              <w:spacing w:before="29" w:line="360" w:lineRule="auto"/>
              <w:ind w:left="17"/>
              <w:jc w:val="left"/>
              <w:rPr>
                <w:color w:val="000000"/>
                <w:sz w:val="24"/>
                <w:szCs w:val="24"/>
              </w:rPr>
            </w:pPr>
            <w:r>
              <w:rPr>
                <w:color w:val="000000"/>
                <w:kern w:val="0"/>
                <w:sz w:val="24"/>
                <w:szCs w:val="24"/>
              </w:rPr>
              <w:t>本基金通过对宏观经济走势、市场估值与流动性、政策导向等因素的分析来确定股票、债券等资产类别的配置比例。</w:t>
            </w:r>
          </w:p>
          <w:p>
            <w:pPr>
              <w:adjustRightInd w:val="0"/>
              <w:spacing w:before="29" w:line="360" w:lineRule="auto"/>
              <w:ind w:left="17"/>
              <w:jc w:val="left"/>
              <w:rPr>
                <w:color w:val="000000"/>
                <w:sz w:val="24"/>
                <w:szCs w:val="24"/>
              </w:rPr>
            </w:pPr>
            <w:r>
              <w:rPr>
                <w:color w:val="000000"/>
                <w:kern w:val="0"/>
                <w:sz w:val="24"/>
                <w:szCs w:val="24"/>
              </w:rPr>
              <w:t>股票投资方面，本基金在行业分析、公司基本面分析及估值水平分析的基础上，进行股票组合的构建。新股（含增发）投资策略上，本基金将根据对新股发行公司的行业景气度、财务稳健性、竞争力、成长性、估值水平等因素的综合分析选择新股。</w:t>
            </w:r>
          </w:p>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债券投资方面。本基金结合对宏观经济、市场利率、供求变化等因素的综合分析，确定类属资产的最优权重。在券种选择上，本基金以长期利率趋势分析为基础，结合经济变化趋势、货币政策及不同债券品种的收益率水平、流动性和信用风险等因素，实施积极主动的债券投资管理。</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一年期人民币定期存款利率（税后）+2%</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本基金为混合型基金，理论上其预期风险与预期收益水平低于股票型基金，高于债券型基金和货币市场基金。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杭州银行股份有限公司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10,786,815.14</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5,578,081.35</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0.0110</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588,359,637.65</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1.161</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0.96%</w:t>
            </w:r>
          </w:p>
        </w:tc>
        <w:tc>
          <w:tcPr>
            <w:vAlign w:val="center"/>
          </w:tcPr>
          <w:p>
            <w:pPr>
              <w:jc w:val="center"/>
            </w:pPr>
            <w:r>
              <w:rPr>
                <w:color w:val="000000"/>
                <w:kern w:val="0"/>
                <w:sz w:val="24"/>
                <w:szCs w:val="24"/>
              </w:rPr>
              <w:t>0.15%</w:t>
            </w:r>
          </w:p>
        </w:tc>
        <w:tc>
          <w:tcPr>
            <w:vAlign w:val="center"/>
          </w:tcPr>
          <w:p>
            <w:pPr>
              <w:jc w:val="center"/>
            </w:pPr>
            <w:r>
              <w:rPr>
                <w:color w:val="000000"/>
                <w:kern w:val="0"/>
                <w:sz w:val="24"/>
                <w:szCs w:val="24"/>
              </w:rPr>
              <w:t>0.88%</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0.08%</w:t>
            </w:r>
          </w:p>
        </w:tc>
        <w:tc>
          <w:tcPr>
            <w:vAlign w:val="center"/>
          </w:tcPr>
          <w:p>
            <w:pPr>
              <w:jc w:val="center"/>
            </w:pPr>
            <w:r>
              <w:rPr>
                <w:color w:val="000000"/>
                <w:kern w:val="0"/>
                <w:sz w:val="24"/>
                <w:szCs w:val="24"/>
              </w:rPr>
              <w:t>0.14%</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2.56%</w:t>
            </w:r>
          </w:p>
        </w:tc>
        <w:tc>
          <w:tcPr>
            <w:vAlign w:val="center"/>
          </w:tcPr>
          <w:p>
            <w:pPr>
              <w:jc w:val="center"/>
            </w:pPr>
            <w:r>
              <w:rPr>
                <w:color w:val="000000"/>
                <w:kern w:val="0"/>
                <w:sz w:val="24"/>
                <w:szCs w:val="24"/>
              </w:rPr>
              <w:t>0.21%</w:t>
            </w:r>
          </w:p>
        </w:tc>
        <w:tc>
          <w:tcPr>
            <w:vAlign w:val="center"/>
          </w:tcPr>
          <w:p>
            <w:pPr>
              <w:jc w:val="center"/>
            </w:pPr>
            <w:r>
              <w:rPr>
                <w:color w:val="000000"/>
                <w:kern w:val="0"/>
                <w:sz w:val="24"/>
                <w:szCs w:val="24"/>
              </w:rPr>
              <w:t>1.77%</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0.79%</w:t>
            </w:r>
          </w:p>
        </w:tc>
        <w:tc>
          <w:tcPr>
            <w:vAlign w:val="center"/>
          </w:tcPr>
          <w:p>
            <w:pPr>
              <w:jc w:val="center"/>
            </w:pPr>
            <w:r>
              <w:rPr>
                <w:color w:val="000000"/>
                <w:kern w:val="0"/>
                <w:sz w:val="24"/>
                <w:szCs w:val="24"/>
              </w:rPr>
              <w:t>0.20%</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6.12%</w:t>
            </w:r>
          </w:p>
        </w:tc>
        <w:tc>
          <w:tcPr>
            <w:vAlign w:val="center"/>
          </w:tcPr>
          <w:p>
            <w:pPr>
              <w:jc w:val="center"/>
            </w:pPr>
            <w:r>
              <w:rPr>
                <w:color w:val="000000"/>
                <w:kern w:val="0"/>
                <w:sz w:val="24"/>
                <w:szCs w:val="24"/>
              </w:rPr>
              <w:t>0.16%</w:t>
            </w:r>
          </w:p>
        </w:tc>
        <w:tc>
          <w:tcPr>
            <w:vAlign w:val="center"/>
          </w:tcPr>
          <w:p>
            <w:pPr>
              <w:jc w:val="center"/>
            </w:pPr>
            <w:r>
              <w:rPr>
                <w:color w:val="000000"/>
                <w:kern w:val="0"/>
                <w:sz w:val="24"/>
                <w:szCs w:val="24"/>
              </w:rPr>
              <w:t>3.56%</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2.56%</w:t>
            </w:r>
          </w:p>
        </w:tc>
        <w:tc>
          <w:tcPr>
            <w:vAlign w:val="center"/>
          </w:tcPr>
          <w:p>
            <w:pPr>
              <w:jc w:val="center"/>
            </w:pPr>
            <w:r>
              <w:rPr>
                <w:color w:val="000000"/>
                <w:kern w:val="0"/>
                <w:sz w:val="24"/>
                <w:szCs w:val="24"/>
              </w:rPr>
              <w:t>0.15%</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19.00%</w:t>
            </w:r>
          </w:p>
        </w:tc>
        <w:tc>
          <w:tcPr>
            <w:vAlign w:val="center"/>
          </w:tcPr>
          <w:p>
            <w:pPr>
              <w:jc w:val="center"/>
            </w:pPr>
            <w:r>
              <w:rPr>
                <w:color w:val="000000"/>
                <w:kern w:val="0"/>
                <w:sz w:val="24"/>
                <w:szCs w:val="24"/>
              </w:rPr>
              <w:t>0.16%</w:t>
            </w:r>
          </w:p>
        </w:tc>
        <w:tc>
          <w:tcPr>
            <w:vAlign w:val="center"/>
          </w:tcPr>
          <w:p>
            <w:pPr>
              <w:jc w:val="center"/>
            </w:pPr>
            <w:r>
              <w:rPr>
                <w:color w:val="000000"/>
                <w:kern w:val="0"/>
                <w:sz w:val="24"/>
                <w:szCs w:val="24"/>
              </w:rPr>
              <w:t>10.66%</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8.34%</w:t>
            </w:r>
          </w:p>
        </w:tc>
        <w:tc>
          <w:tcPr>
            <w:vAlign w:val="center"/>
          </w:tcPr>
          <w:p>
            <w:pPr>
              <w:jc w:val="center"/>
            </w:pPr>
            <w:r>
              <w:rPr>
                <w:color w:val="000000"/>
                <w:kern w:val="0"/>
                <w:sz w:val="24"/>
                <w:szCs w:val="24"/>
              </w:rPr>
              <w:t>0.15%</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27.98%</w:t>
            </w:r>
          </w:p>
        </w:tc>
        <w:tc>
          <w:tcPr>
            <w:vAlign w:val="center"/>
          </w:tcPr>
          <w:p>
            <w:pPr>
              <w:jc w:val="center"/>
            </w:pPr>
            <w:r>
              <w:rPr>
                <w:color w:val="000000"/>
                <w:kern w:val="0"/>
                <w:sz w:val="24"/>
                <w:szCs w:val="24"/>
              </w:rPr>
              <w:t>0.14%</w:t>
            </w:r>
          </w:p>
        </w:tc>
        <w:tc>
          <w:tcPr>
            <w:vAlign w:val="center"/>
          </w:tcPr>
          <w:p>
            <w:pPr>
              <w:jc w:val="center"/>
            </w:pPr>
            <w:r>
              <w:rPr>
                <w:color w:val="000000"/>
                <w:kern w:val="0"/>
                <w:sz w:val="24"/>
                <w:szCs w:val="24"/>
              </w:rPr>
              <w:t>17.88%</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10.10%</w:t>
            </w:r>
          </w:p>
        </w:tc>
        <w:tc>
          <w:tcPr>
            <w:vAlign w:val="center"/>
          </w:tcPr>
          <w:p>
            <w:pPr>
              <w:jc w:val="center"/>
            </w:pPr>
            <w:r>
              <w:rPr>
                <w:color w:val="000000"/>
                <w:kern w:val="0"/>
                <w:sz w:val="24"/>
                <w:szCs w:val="24"/>
              </w:rPr>
              <w:t>0.13%</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33.87%</w:t>
            </w:r>
          </w:p>
        </w:tc>
        <w:tc>
          <w:tcPr>
            <w:vAlign w:val="center"/>
          </w:tcPr>
          <w:p>
            <w:pPr>
              <w:jc w:val="center"/>
            </w:pPr>
            <w:r>
              <w:rPr>
                <w:color w:val="000000"/>
                <w:kern w:val="0"/>
                <w:sz w:val="24"/>
                <w:szCs w:val="24"/>
              </w:rPr>
              <w:t>0.14%</w:t>
            </w:r>
          </w:p>
        </w:tc>
        <w:tc>
          <w:tcPr>
            <w:vAlign w:val="center"/>
          </w:tcPr>
          <w:p>
            <w:pPr>
              <w:jc w:val="center"/>
            </w:pPr>
            <w:r>
              <w:rPr>
                <w:color w:val="000000"/>
                <w:kern w:val="0"/>
                <w:sz w:val="24"/>
                <w:szCs w:val="24"/>
              </w:rPr>
              <w:t>19.08%</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14.79%</w:t>
            </w:r>
          </w:p>
        </w:tc>
        <w:tc>
          <w:tcPr>
            <w:vAlign w:val="center"/>
          </w:tcPr>
          <w:p>
            <w:pPr>
              <w:jc w:val="center"/>
            </w:pPr>
            <w:r>
              <w:rPr>
                <w:color w:val="000000"/>
                <w:kern w:val="0"/>
                <w:sz w:val="24"/>
                <w:szCs w:val="24"/>
              </w:rPr>
              <w:t>0.13%</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易方达裕如灵活配置混合型证券投资基金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2015年3月24日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注：自基金合同生效至报告期末，基金份额净值增长率为33.87%，同期业绩比较基准收益率为19.08%。</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李一硕</w:t>
            </w:r>
          </w:p>
        </w:tc>
        <w:tc>
          <w:tcPr>
            <w:vAlign w:val="center"/>
          </w:tcPr>
          <w:p>
            <w:pPr>
              <w:jc w:val="left"/>
            </w:pPr>
            <w:r>
              <w:rPr>
                <w:color w:val="000000"/>
                <w:sz w:val="24"/>
              </w:rPr>
              <w:t>本基金的基金经理、易方达永旭添利定期开放债券型证券投资基金的基金经理、易方达纯债1年定期开放债券型证券投资基金的基金经理、易方达恒信定期开放债券型发起式证券投资基金的基金经理、易方达恒惠定期开放债券型发起式证券投资基金的基金经理、易方达安源中短债债券型证券投资基金的基金经理、易方达年年恒夏纯债一年定期开放债券型发起式证券投资基金的基金经理、易方达恒益定期开放债券型发起式证券投资基金的基金经理、易方达年年恒秋纯债一年定期开放债券型发起式证券投资基金的基金经理、易方达年年恒春纯债一年定期开放债券型发起式证券投资基金的基金经理、易方达稳健收益债券型证券投资基金的基金经理助理、易方达中债新综合债券指数发起式证券投资基金（LOF）的基金经理助理、易方达信用债债券型证券投资基金的基金经理助理、易方达裕惠回报定期开放式混合型发起式证券投资基金的基金经理助理、易方达瑞富灵活配置混合型证券投资基金的基金经理助理、易方达恒兴3个月定期开放债券型发起式证券投资基金的基金经理助理、易方达富惠纯债债券型证券投资基金的基金经理助理、易方达丰惠混合型证券投资基金的基金经理助理（自2019年01月18日至2020年06月09日）、固定收益投资部总经理助理</w:t>
            </w:r>
          </w:p>
        </w:tc>
        <w:tc>
          <w:tcPr>
            <w:vAlign w:val="center"/>
          </w:tcPr>
          <w:p>
            <w:pPr>
              <w:jc w:val="center"/>
            </w:pPr>
            <w:r>
              <w:rPr>
                <w:color w:val="000000"/>
                <w:sz w:val="24"/>
              </w:rPr>
              <w:t>2017-12-30</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瑞银证券有限公司研究员，中国国际金融有限公司研究员，易方达基金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我国宏观经济从疫情的冲击下开始迅速恢复，主要体现在以下几个方面。首先，工业生产水平显著反弹，4月及5月工业增加值同比增速分别达到3.9%及4.4%，发电量、粗钢产量及耗煤量等行业数据也明显回升。其次，出口增速好于预期。虽然二季度主要欧美国家在疫情的影响下经济活动明显停滞，但得益于防疫类物资出口规模较大，外需对我国经济的负面影响总体有限。最后，房地产行业的韧性较强，5月全国商品房销售面积增速大幅提高至9.7%，同时地产投资增速也快速回升。</w:t>
      </w:r>
    </w:p>
    <w:p>
      <w:pPr>
        <w:spacing w:line="360" w:lineRule="auto"/>
        <w:ind w:firstLine="480" w:firstLineChars="200"/>
        <w:rPr>
          <w:color w:val="000000"/>
          <w:sz w:val="24"/>
          <w:szCs w:val="24"/>
        </w:rPr>
      </w:pPr>
      <w:r>
        <w:rPr>
          <w:color w:val="000000"/>
          <w:sz w:val="24"/>
          <w:szCs w:val="24"/>
        </w:rPr>
        <w:t>在经济逐步复苏的过程中，二季度我国货币政策导向出现了较为明显的切换，债券市场收益率出现了大幅波动。4月央行在推出定向降准政策的同时，将金融机构在央行超额存款准备金利率从0.72%下调至0.35%，带动债券收益率曲线陡峭化下行。此后《政府工作报告》中提出“稳健的货币政策要更加灵活适度。综合运用降准降息、再贷款等手段，引导广义货币供应量和社会融资规模增速明显高于去年”。5月份以来，央行逐步开始边际上收紧货币市场流动性，并引导银行间资金利率的快速上行。相较于4月末的低点，1年期国开行政策性金融债收益率在5-6月期间上行100bp，同期3年期AAA评级中期票据收益率攀升86bp，收益率曲线形态明显平坦化。</w:t>
      </w:r>
    </w:p>
    <w:p>
      <w:pPr>
        <w:spacing w:line="360" w:lineRule="auto"/>
        <w:ind w:firstLine="480" w:firstLineChars="200"/>
        <w:rPr>
          <w:color w:val="000000"/>
          <w:sz w:val="24"/>
          <w:szCs w:val="24"/>
        </w:rPr>
      </w:pPr>
      <w:r>
        <w:rPr>
          <w:color w:val="000000"/>
          <w:sz w:val="24"/>
          <w:szCs w:val="24"/>
        </w:rPr>
        <w:t>与债券市场走势相异，在投资者对于经济修复预期提升的背景下，二季度权益市场震荡走高，沪深300指数上涨12.96%。</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操作上，组合债券久期处于中性水平，以获取持有期收益为主要投资策略。权益部分持仓以盈利基本面较好的价值型股票为主。</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截至报告期末，本基金份额净值为1.161元，本报告期份额净值增长率为0.96%，同期业绩比较基准收益率为0.88%。</w:t>
      </w:r>
    </w:p>
    <w:p w:rsidP="00D62BEE" w:rsidR="00D62BEE" w:rsidRDefault="00D62BEE" w:rsidRPr="00701A03">
      <w:pPr>
        <w:autoSpaceDE w:val="0"/>
        <w:autoSpaceDN w:val="0"/>
        <w:adjustRightInd w:val="0"/>
        <w:spacing w:line="360" w:lineRule="auto"/>
        <w:jc w:val="left"/>
        <w:rPr>
          <w:rFonts w:ascii="宋体" w:cs="Arial" w:hAnsi="宋体"/>
          <w:b/>
          <w:color w:val="000000"/>
          <w:kern w:val="0"/>
          <w:sz w:val="24"/>
        </w:rPr>
      </w:pPr>
      <w:r w:rsidRPr="00701A03">
        <w:rPr>
          <w:rFonts w:ascii="宋体" w:cs="Arial" w:hAnsi="宋体"/>
          <w:b/>
          <w:color w:val="000000"/>
          <w:kern w:val="0"/>
          <w:sz w:val="24"/>
        </w:rPr>
        <w:t/>
      </w:r>
      <w:proofErr w:type="spellStart"/>
      <w:r w:rsidRPr="00701A03">
        <w:rPr>
          <w:rFonts w:ascii="宋体" w:cs="Arial" w:hAnsi="宋体"/>
          <w:b/>
          <w:color w:val="000000"/>
          <w:kern w:val="0"/>
          <w:sz w:val="24"/>
        </w:rPr>
        <w:t/>
      </w:r>
      <w:proofErr w:type="spellEnd"/>
      <w:r w:rsidRPr="00701A03">
        <w:rPr>
          <w:rFonts w:ascii="宋体" w:cs="Arial" w:hAnsi="宋体"/>
          <w:b/>
          <w:color w:val="000000"/>
          <w:kern w:val="0"/>
          <w:sz w:val="24"/>
        </w:rPr>
        <w:t>4</w:t>
      </w:r>
      <w:r w:rsidRPr="00701A03">
        <w:rPr>
          <w:rFonts w:ascii="宋体" w:cs="Arial" w:hAnsi="宋体" w:hint="eastAsia"/>
          <w:b/>
          <w:color w:val="000000"/>
          <w:kern w:val="0"/>
          <w:sz w:val="24"/>
        </w:rPr>
        <w:t>.</w:t>
      </w:r>
      <w:r w:rsidR="004A4D5B">
        <w:rPr>
          <w:rFonts w:ascii="宋体" w:cs="Arial" w:hAnsi="宋体" w:hint="eastAsia"/>
          <w:b/>
          <w:color w:val="000000"/>
          <w:kern w:val="0"/>
          <w:sz w:val="24"/>
        </w:rPr>
        <w:t/>
      </w:r>
      <w:r w:rsidRPr="00701A03">
        <w:rPr>
          <w:rFonts w:ascii="宋体" w:cs="Arial" w:hAnsi="宋体" w:hint="eastAsia"/>
          <w:b/>
          <w:color w:val="000000"/>
          <w:kern w:val="0"/>
          <w:sz w:val="24"/>
        </w:rPr>
        <w:t>5报告期内基金持有人数或基金资产净值预警说明</w:t>
      </w:r>
    </w:p>
    <w:p>
      <w:pPr>
        <w:spacing w:line="360" w:lineRule="auto"/>
        <w:ind w:firstLine="480" w:firstLineChars="200"/>
        <w:rPr>
          <w:color w:val="000000"/>
          <w:sz w:val="24"/>
          <w:szCs w:val="24"/>
        </w:rPr>
      </w:pPr>
      <w:r>
        <w:rPr>
          <w:color w:val="000000"/>
          <w:sz w:val="24"/>
          <w:szCs w:val="24"/>
        </w:rPr>
        <w:t>本报告期，本基金均存在连续二十个工作日基金份额持有人数量不满二百人的情形。</w:t>
      </w:r>
    </w:p>
    <w:p w:rsidP="00D62BEE" w:rsidR="00D62BEE" w:rsidRDefault="00D62BEE" w:rsidRPr="006C56AA">
      <w:pPr>
        <w:spacing w:line="360" w:lineRule="auto"/>
        <w:ind w:firstLine="480" w:firstLineChars="200"/>
        <w:rPr>
          <w:color w:val="000000"/>
          <w:sz w:val="24"/>
          <w:szCs w:val="24"/>
        </w:rPr>
      </w:pPr>
      <w:r w:rsidRPr="0006661F">
        <w:rPr>
          <w:color w:val="000000"/>
          <w:sz w:val="24"/>
          <w:szCs w:val="24"/>
        </w:rPr>
        <w:t>自2020年4月22日至本报告期末，本基金均存在连续六十个工作日基金份额持有人数量不满二百人的情形。鉴于基金份额持有人数量的下滑主要受市场环境影响，本基金将继续运作。</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65,042,070.41</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8.62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65,042,070.41</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8.62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665,455,000.00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88.23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655,443,000.00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86.90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10,012,000.00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1.33</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9,151,416.79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1.21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14,600,340.41</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1.94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754,248,827.61</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1,601,477.00</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0.27</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32,949,683.97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5.60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1,124,212.18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0.19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5,255,583.04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0.89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6,624,871.37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1.13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211,055.17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13,057,124.68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2.22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4,218,063.00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0.72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65,042,070.41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11.05</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601398</w:t>
            </w:r>
          </w:p>
        </w:tc>
        <w:tc>
          <w:tcPr>
            <w:vAlign w:val="center"/>
          </w:tcPr>
          <w:p>
            <w:pPr>
              <w:jc w:val="center"/>
            </w:pPr>
            <w:r>
              <w:rPr>
                <w:color w:val="000000"/>
                <w:kern w:val="0"/>
                <w:sz w:val="24"/>
                <w:szCs w:val="24"/>
              </w:rPr>
              <w:t>工商银行</w:t>
            </w:r>
          </w:p>
        </w:tc>
        <w:tc>
          <w:tcPr>
            <w:vAlign w:val="center"/>
          </w:tcPr>
          <w:p>
            <w:pPr>
              <w:jc w:val="right"/>
            </w:pPr>
            <w:r>
              <w:rPr>
                <w:color w:val="000000"/>
                <w:kern w:val="0"/>
                <w:sz w:val="24"/>
                <w:szCs w:val="24"/>
              </w:rPr>
              <w:t>1,167,200</w:t>
            </w:r>
          </w:p>
        </w:tc>
        <w:tc>
          <w:tcPr>
            <w:vAlign w:val="center"/>
          </w:tcPr>
          <w:p>
            <w:pPr>
              <w:jc w:val="right"/>
            </w:pPr>
            <w:r>
              <w:rPr>
                <w:color w:val="000000"/>
                <w:kern w:val="0"/>
                <w:sz w:val="24"/>
                <w:szCs w:val="24"/>
              </w:rPr>
              <w:t>5,812,656.00</w:t>
            </w:r>
          </w:p>
        </w:tc>
        <w:tc>
          <w:tcPr>
            <w:vAlign w:val="center"/>
          </w:tcPr>
          <w:p>
            <w:pPr>
              <w:jc w:val="right"/>
            </w:pPr>
            <w:r>
              <w:rPr>
                <w:color w:val="000000"/>
                <w:kern w:val="0"/>
                <w:sz w:val="24"/>
                <w:szCs w:val="24"/>
              </w:rPr>
              <w:t>0.99</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601816</w:t>
            </w:r>
          </w:p>
        </w:tc>
        <w:tc>
          <w:tcPr>
            <w:vAlign w:val="center"/>
          </w:tcPr>
          <w:p>
            <w:pPr>
              <w:jc w:val="center"/>
            </w:pPr>
            <w:r>
              <w:rPr>
                <w:color w:val="000000"/>
                <w:kern w:val="0"/>
                <w:sz w:val="24"/>
                <w:szCs w:val="24"/>
              </w:rPr>
              <w:t>京沪高铁</w:t>
            </w:r>
          </w:p>
        </w:tc>
        <w:tc>
          <w:tcPr>
            <w:vAlign w:val="center"/>
          </w:tcPr>
          <w:p>
            <w:pPr>
              <w:jc w:val="right"/>
            </w:pPr>
            <w:r>
              <w:rPr>
                <w:color w:val="000000"/>
                <w:kern w:val="0"/>
                <w:sz w:val="24"/>
                <w:szCs w:val="24"/>
              </w:rPr>
              <w:t>906,536</w:t>
            </w:r>
          </w:p>
        </w:tc>
        <w:tc>
          <w:tcPr>
            <w:vAlign w:val="center"/>
          </w:tcPr>
          <w:p>
            <w:pPr>
              <w:jc w:val="right"/>
            </w:pPr>
            <w:r>
              <w:rPr>
                <w:color w:val="000000"/>
                <w:kern w:val="0"/>
                <w:sz w:val="24"/>
                <w:szCs w:val="24"/>
              </w:rPr>
              <w:t>5,593,327.12</w:t>
            </w:r>
          </w:p>
        </w:tc>
        <w:tc>
          <w:tcPr>
            <w:vAlign w:val="center"/>
          </w:tcPr>
          <w:p>
            <w:pPr>
              <w:jc w:val="right"/>
            </w:pPr>
            <w:r>
              <w:rPr>
                <w:color w:val="000000"/>
                <w:kern w:val="0"/>
                <w:sz w:val="24"/>
                <w:szCs w:val="24"/>
              </w:rPr>
              <w:t>0.95</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601117</w:t>
            </w:r>
          </w:p>
        </w:tc>
        <w:tc>
          <w:tcPr>
            <w:vAlign w:val="center"/>
          </w:tcPr>
          <w:p>
            <w:pPr>
              <w:jc w:val="center"/>
            </w:pPr>
            <w:r>
              <w:rPr>
                <w:color w:val="000000"/>
                <w:kern w:val="0"/>
                <w:sz w:val="24"/>
                <w:szCs w:val="24"/>
              </w:rPr>
              <w:t>中国化学</w:t>
            </w:r>
          </w:p>
        </w:tc>
        <w:tc>
          <w:tcPr>
            <w:vAlign w:val="center"/>
          </w:tcPr>
          <w:p>
            <w:pPr>
              <w:jc w:val="right"/>
            </w:pPr>
            <w:r>
              <w:rPr>
                <w:color w:val="000000"/>
                <w:kern w:val="0"/>
                <w:sz w:val="24"/>
                <w:szCs w:val="24"/>
              </w:rPr>
              <w:t>959,048</w:t>
            </w:r>
          </w:p>
        </w:tc>
        <w:tc>
          <w:tcPr>
            <w:vAlign w:val="center"/>
          </w:tcPr>
          <w:p>
            <w:pPr>
              <w:jc w:val="right"/>
            </w:pPr>
            <w:r>
              <w:rPr>
                <w:color w:val="000000"/>
                <w:kern w:val="0"/>
                <w:sz w:val="24"/>
                <w:szCs w:val="24"/>
              </w:rPr>
              <w:t>5,255,583.04</w:t>
            </w:r>
          </w:p>
        </w:tc>
        <w:tc>
          <w:tcPr>
            <w:vAlign w:val="center"/>
          </w:tcPr>
          <w:p>
            <w:pPr>
              <w:jc w:val="right"/>
            </w:pPr>
            <w:r>
              <w:rPr>
                <w:color w:val="000000"/>
                <w:kern w:val="0"/>
                <w:sz w:val="24"/>
                <w:szCs w:val="24"/>
              </w:rPr>
              <w:t>0.89</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601318</w:t>
            </w:r>
          </w:p>
        </w:tc>
        <w:tc>
          <w:tcPr>
            <w:vAlign w:val="center"/>
          </w:tcPr>
          <w:p>
            <w:pPr>
              <w:jc w:val="center"/>
            </w:pPr>
            <w:r>
              <w:rPr>
                <w:color w:val="000000"/>
                <w:kern w:val="0"/>
                <w:sz w:val="24"/>
                <w:szCs w:val="24"/>
              </w:rPr>
              <w:t>中国平安</w:t>
            </w:r>
          </w:p>
        </w:tc>
        <w:tc>
          <w:tcPr>
            <w:vAlign w:val="center"/>
          </w:tcPr>
          <w:p>
            <w:pPr>
              <w:jc w:val="right"/>
            </w:pPr>
            <w:r>
              <w:rPr>
                <w:color w:val="000000"/>
                <w:kern w:val="0"/>
                <w:sz w:val="24"/>
                <w:szCs w:val="24"/>
              </w:rPr>
              <w:t>66,600</w:t>
            </w:r>
          </w:p>
        </w:tc>
        <w:tc>
          <w:tcPr>
            <w:vAlign w:val="center"/>
          </w:tcPr>
          <w:p>
            <w:pPr>
              <w:jc w:val="right"/>
            </w:pPr>
            <w:r>
              <w:rPr>
                <w:color w:val="000000"/>
                <w:kern w:val="0"/>
                <w:sz w:val="24"/>
                <w:szCs w:val="24"/>
              </w:rPr>
              <w:t>4,755,240.00</w:t>
            </w:r>
          </w:p>
        </w:tc>
        <w:tc>
          <w:tcPr>
            <w:vAlign w:val="center"/>
          </w:tcPr>
          <w:p>
            <w:pPr>
              <w:jc w:val="right"/>
            </w:pPr>
            <w:r>
              <w:rPr>
                <w:color w:val="000000"/>
                <w:kern w:val="0"/>
                <w:sz w:val="24"/>
                <w:szCs w:val="24"/>
              </w:rPr>
              <w:t>0.81</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600104</w:t>
            </w:r>
          </w:p>
        </w:tc>
        <w:tc>
          <w:tcPr>
            <w:vAlign w:val="center"/>
          </w:tcPr>
          <w:p>
            <w:pPr>
              <w:jc w:val="center"/>
            </w:pPr>
            <w:r>
              <w:rPr>
                <w:color w:val="000000"/>
                <w:kern w:val="0"/>
                <w:sz w:val="24"/>
                <w:szCs w:val="24"/>
              </w:rPr>
              <w:t>上汽集团</w:t>
            </w:r>
          </w:p>
        </w:tc>
        <w:tc>
          <w:tcPr>
            <w:vAlign w:val="center"/>
          </w:tcPr>
          <w:p>
            <w:pPr>
              <w:jc w:val="right"/>
            </w:pPr>
            <w:r>
              <w:rPr>
                <w:color w:val="000000"/>
                <w:kern w:val="0"/>
                <w:sz w:val="24"/>
                <w:szCs w:val="24"/>
              </w:rPr>
              <w:t>221,000</w:t>
            </w:r>
          </w:p>
        </w:tc>
        <w:tc>
          <w:tcPr>
            <w:vAlign w:val="center"/>
          </w:tcPr>
          <w:p>
            <w:pPr>
              <w:jc w:val="right"/>
            </w:pPr>
            <w:r>
              <w:rPr>
                <w:color w:val="000000"/>
                <w:kern w:val="0"/>
                <w:sz w:val="24"/>
                <w:szCs w:val="24"/>
              </w:rPr>
              <w:t>3,754,790.00</w:t>
            </w:r>
          </w:p>
        </w:tc>
        <w:tc>
          <w:tcPr>
            <w:vAlign w:val="center"/>
          </w:tcPr>
          <w:p>
            <w:pPr>
              <w:jc w:val="right"/>
            </w:pPr>
            <w:r>
              <w:rPr>
                <w:color w:val="000000"/>
                <w:kern w:val="0"/>
                <w:sz w:val="24"/>
                <w:szCs w:val="24"/>
              </w:rPr>
              <w:t>0.64</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600585</w:t>
            </w:r>
          </w:p>
        </w:tc>
        <w:tc>
          <w:tcPr>
            <w:vAlign w:val="center"/>
          </w:tcPr>
          <w:p>
            <w:pPr>
              <w:jc w:val="center"/>
            </w:pPr>
            <w:r>
              <w:rPr>
                <w:color w:val="000000"/>
                <w:kern w:val="0"/>
                <w:sz w:val="24"/>
                <w:szCs w:val="24"/>
              </w:rPr>
              <w:t>海螺水泥</w:t>
            </w:r>
          </w:p>
        </w:tc>
        <w:tc>
          <w:tcPr>
            <w:vAlign w:val="center"/>
          </w:tcPr>
          <w:p>
            <w:pPr>
              <w:jc w:val="right"/>
            </w:pPr>
            <w:r>
              <w:rPr>
                <w:color w:val="000000"/>
                <w:kern w:val="0"/>
                <w:sz w:val="24"/>
                <w:szCs w:val="24"/>
              </w:rPr>
              <w:t>62,800</w:t>
            </w:r>
          </w:p>
        </w:tc>
        <w:tc>
          <w:tcPr>
            <w:vAlign w:val="center"/>
          </w:tcPr>
          <w:p>
            <w:pPr>
              <w:jc w:val="right"/>
            </w:pPr>
            <w:r>
              <w:rPr>
                <w:color w:val="000000"/>
                <w:kern w:val="0"/>
                <w:sz w:val="24"/>
                <w:szCs w:val="24"/>
              </w:rPr>
              <w:t>3,322,748.00</w:t>
            </w:r>
          </w:p>
        </w:tc>
        <w:tc>
          <w:tcPr>
            <w:vAlign w:val="center"/>
          </w:tcPr>
          <w:p>
            <w:pPr>
              <w:jc w:val="right"/>
            </w:pPr>
            <w:r>
              <w:rPr>
                <w:color w:val="000000"/>
                <w:kern w:val="0"/>
                <w:sz w:val="24"/>
                <w:szCs w:val="24"/>
              </w:rPr>
              <w:t>0.56</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600690</w:t>
            </w:r>
          </w:p>
        </w:tc>
        <w:tc>
          <w:tcPr>
            <w:vAlign w:val="center"/>
          </w:tcPr>
          <w:p>
            <w:pPr>
              <w:jc w:val="center"/>
            </w:pPr>
            <w:r>
              <w:rPr>
                <w:color w:val="000000"/>
                <w:kern w:val="0"/>
                <w:sz w:val="24"/>
                <w:szCs w:val="24"/>
              </w:rPr>
              <w:t>海尔智家</w:t>
            </w:r>
          </w:p>
        </w:tc>
        <w:tc>
          <w:tcPr>
            <w:vAlign w:val="center"/>
          </w:tcPr>
          <w:p>
            <w:pPr>
              <w:jc w:val="right"/>
            </w:pPr>
            <w:r>
              <w:rPr>
                <w:color w:val="000000"/>
                <w:kern w:val="0"/>
                <w:sz w:val="24"/>
                <w:szCs w:val="24"/>
              </w:rPr>
              <w:t>161,900</w:t>
            </w:r>
          </w:p>
        </w:tc>
        <w:tc>
          <w:tcPr>
            <w:vAlign w:val="center"/>
          </w:tcPr>
          <w:p>
            <w:pPr>
              <w:jc w:val="right"/>
            </w:pPr>
            <w:r>
              <w:rPr>
                <w:color w:val="000000"/>
                <w:kern w:val="0"/>
                <w:sz w:val="24"/>
                <w:szCs w:val="24"/>
              </w:rPr>
              <w:t>2,865,630.00</w:t>
            </w:r>
          </w:p>
        </w:tc>
        <w:tc>
          <w:tcPr>
            <w:vAlign w:val="center"/>
          </w:tcPr>
          <w:p>
            <w:pPr>
              <w:jc w:val="right"/>
            </w:pPr>
            <w:r>
              <w:rPr>
                <w:color w:val="000000"/>
                <w:kern w:val="0"/>
                <w:sz w:val="24"/>
                <w:szCs w:val="24"/>
              </w:rPr>
              <w:t>0.49</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000333</w:t>
            </w:r>
          </w:p>
        </w:tc>
        <w:tc>
          <w:tcPr>
            <w:vAlign w:val="center"/>
          </w:tcPr>
          <w:p>
            <w:pPr>
              <w:jc w:val="center"/>
            </w:pPr>
            <w:r>
              <w:rPr>
                <w:color w:val="000000"/>
                <w:kern w:val="0"/>
                <w:sz w:val="24"/>
                <w:szCs w:val="24"/>
              </w:rPr>
              <w:t>美的集团</w:t>
            </w:r>
          </w:p>
        </w:tc>
        <w:tc>
          <w:tcPr>
            <w:vAlign w:val="center"/>
          </w:tcPr>
          <w:p>
            <w:pPr>
              <w:jc w:val="right"/>
            </w:pPr>
            <w:r>
              <w:rPr>
                <w:color w:val="000000"/>
                <w:kern w:val="0"/>
                <w:sz w:val="24"/>
                <w:szCs w:val="24"/>
              </w:rPr>
              <w:t>44,900</w:t>
            </w:r>
          </w:p>
        </w:tc>
        <w:tc>
          <w:tcPr>
            <w:vAlign w:val="center"/>
          </w:tcPr>
          <w:p>
            <w:pPr>
              <w:jc w:val="right"/>
            </w:pPr>
            <w:r>
              <w:rPr>
                <w:color w:val="000000"/>
                <w:kern w:val="0"/>
                <w:sz w:val="24"/>
                <w:szCs w:val="24"/>
              </w:rPr>
              <w:t>2,684,571.00</w:t>
            </w:r>
          </w:p>
        </w:tc>
        <w:tc>
          <w:tcPr>
            <w:vAlign w:val="center"/>
          </w:tcPr>
          <w:p>
            <w:pPr>
              <w:jc w:val="right"/>
            </w:pPr>
            <w:r>
              <w:rPr>
                <w:color w:val="000000"/>
                <w:kern w:val="0"/>
                <w:sz w:val="24"/>
                <w:szCs w:val="24"/>
              </w:rPr>
              <w:t>0.46</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000786</w:t>
            </w:r>
          </w:p>
        </w:tc>
        <w:tc>
          <w:tcPr>
            <w:vAlign w:val="center"/>
          </w:tcPr>
          <w:p>
            <w:pPr>
              <w:jc w:val="center"/>
            </w:pPr>
            <w:r>
              <w:rPr>
                <w:color w:val="000000"/>
                <w:kern w:val="0"/>
                <w:sz w:val="24"/>
                <w:szCs w:val="24"/>
              </w:rPr>
              <w:t>北新建材</w:t>
            </w:r>
          </w:p>
        </w:tc>
        <w:tc>
          <w:tcPr>
            <w:vAlign w:val="center"/>
          </w:tcPr>
          <w:p>
            <w:pPr>
              <w:jc w:val="right"/>
            </w:pPr>
            <w:r>
              <w:rPr>
                <w:color w:val="000000"/>
                <w:kern w:val="0"/>
                <w:sz w:val="24"/>
                <w:szCs w:val="24"/>
              </w:rPr>
              <w:t>120,200</w:t>
            </w:r>
          </w:p>
        </w:tc>
        <w:tc>
          <w:tcPr>
            <w:vAlign w:val="center"/>
          </w:tcPr>
          <w:p>
            <w:pPr>
              <w:jc w:val="right"/>
            </w:pPr>
            <w:r>
              <w:rPr>
                <w:color w:val="000000"/>
                <w:kern w:val="0"/>
                <w:sz w:val="24"/>
                <w:szCs w:val="24"/>
              </w:rPr>
              <w:t>2,563,866.00</w:t>
            </w:r>
          </w:p>
        </w:tc>
        <w:tc>
          <w:tcPr>
            <w:vAlign w:val="center"/>
          </w:tcPr>
          <w:p>
            <w:pPr>
              <w:jc w:val="right"/>
            </w:pPr>
            <w:r>
              <w:rPr>
                <w:color w:val="000000"/>
                <w:kern w:val="0"/>
                <w:sz w:val="24"/>
                <w:szCs w:val="24"/>
              </w:rPr>
              <w:t>0.44</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603806</w:t>
            </w:r>
          </w:p>
        </w:tc>
        <w:tc>
          <w:tcPr>
            <w:vAlign w:val="center"/>
          </w:tcPr>
          <w:p>
            <w:pPr>
              <w:jc w:val="center"/>
            </w:pPr>
            <w:r>
              <w:rPr>
                <w:color w:val="000000"/>
                <w:kern w:val="0"/>
                <w:sz w:val="24"/>
                <w:szCs w:val="24"/>
              </w:rPr>
              <w:t>福斯特</w:t>
            </w:r>
          </w:p>
        </w:tc>
        <w:tc>
          <w:tcPr>
            <w:vAlign w:val="center"/>
          </w:tcPr>
          <w:p>
            <w:pPr>
              <w:jc w:val="right"/>
            </w:pPr>
            <w:r>
              <w:rPr>
                <w:color w:val="000000"/>
                <w:kern w:val="0"/>
                <w:sz w:val="24"/>
                <w:szCs w:val="24"/>
              </w:rPr>
              <w:t>46,924</w:t>
            </w:r>
          </w:p>
        </w:tc>
        <w:tc>
          <w:tcPr>
            <w:vAlign w:val="center"/>
          </w:tcPr>
          <w:p>
            <w:pPr>
              <w:jc w:val="right"/>
            </w:pPr>
            <w:r>
              <w:rPr>
                <w:color w:val="000000"/>
                <w:kern w:val="0"/>
                <w:sz w:val="24"/>
                <w:szCs w:val="24"/>
              </w:rPr>
              <w:t>2,341,976.84</w:t>
            </w:r>
          </w:p>
        </w:tc>
        <w:tc>
          <w:tcPr>
            <w:vAlign w:val="center"/>
          </w:tcPr>
          <w:p>
            <w:pPr>
              <w:jc w:val="right"/>
            </w:pPr>
            <w:r>
              <w:rPr>
                <w:color w:val="000000"/>
                <w:kern w:val="0"/>
                <w:sz w:val="24"/>
                <w:szCs w:val="24"/>
              </w:rPr>
              <w:t>0.40</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99,753,000.00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16.95</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99,753,000.00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16.95</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303,360,000.00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51.56</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20,038,000.00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3.41</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232,292,000.00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39.48</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655,443,000.00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111.40</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150220</w:t>
            </w:r>
          </w:p>
        </w:tc>
        <w:tc>
          <w:tcPr>
            <w:vAlign w:val="center"/>
          </w:tcPr>
          <w:p>
            <w:pPr>
              <w:jc w:val="center"/>
            </w:pPr>
            <w:r>
              <w:rPr>
                <w:color w:val="000000"/>
                <w:kern w:val="0"/>
                <w:sz w:val="24"/>
                <w:szCs w:val="24"/>
              </w:rPr>
              <w:t>15国开20</w:t>
            </w:r>
          </w:p>
        </w:tc>
        <w:tc>
          <w:tcPr>
            <w:vAlign w:val="center"/>
          </w:tcPr>
          <w:p>
            <w:pPr>
              <w:jc w:val="right"/>
            </w:pPr>
            <w:r>
              <w:rPr>
                <w:color w:val="000000"/>
                <w:kern w:val="0"/>
                <w:sz w:val="24"/>
                <w:szCs w:val="24"/>
              </w:rPr>
              <w:t>300,000</w:t>
            </w:r>
          </w:p>
        </w:tc>
        <w:tc>
          <w:tcPr>
            <w:vAlign w:val="center"/>
          </w:tcPr>
          <w:p>
            <w:pPr>
              <w:jc w:val="right"/>
            </w:pPr>
            <w:r>
              <w:rPr>
                <w:color w:val="000000"/>
                <w:kern w:val="0"/>
                <w:sz w:val="24"/>
                <w:szCs w:val="24"/>
              </w:rPr>
              <w:t>30,114,000.00</w:t>
            </w:r>
          </w:p>
        </w:tc>
        <w:tc>
          <w:tcPr>
            <w:vAlign w:val="center"/>
          </w:tcPr>
          <w:p>
            <w:pPr>
              <w:jc w:val="right"/>
            </w:pPr>
            <w:r>
              <w:rPr>
                <w:color w:val="000000"/>
                <w:kern w:val="0"/>
                <w:sz w:val="24"/>
                <w:szCs w:val="24"/>
              </w:rPr>
              <w:t>5.12</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160210</w:t>
            </w:r>
          </w:p>
        </w:tc>
        <w:tc>
          <w:tcPr>
            <w:vAlign w:val="center"/>
          </w:tcPr>
          <w:p>
            <w:pPr>
              <w:jc w:val="center"/>
            </w:pPr>
            <w:r>
              <w:rPr>
                <w:color w:val="000000"/>
                <w:kern w:val="0"/>
                <w:sz w:val="24"/>
                <w:szCs w:val="24"/>
              </w:rPr>
              <w:t>16国开10</w:t>
            </w:r>
          </w:p>
        </w:tc>
        <w:tc>
          <w:tcPr>
            <w:vAlign w:val="center"/>
          </w:tcPr>
          <w:p>
            <w:pPr>
              <w:jc w:val="right"/>
            </w:pPr>
            <w:r>
              <w:rPr>
                <w:color w:val="000000"/>
                <w:kern w:val="0"/>
                <w:sz w:val="24"/>
                <w:szCs w:val="24"/>
              </w:rPr>
              <w:t>300,000</w:t>
            </w:r>
          </w:p>
        </w:tc>
        <w:tc>
          <w:tcPr>
            <w:vAlign w:val="center"/>
          </w:tcPr>
          <w:p>
            <w:pPr>
              <w:jc w:val="right"/>
            </w:pPr>
            <w:r>
              <w:rPr>
                <w:color w:val="000000"/>
                <w:kern w:val="0"/>
                <w:sz w:val="24"/>
                <w:szCs w:val="24"/>
              </w:rPr>
              <w:t>29,919,000.00</w:t>
            </w:r>
          </w:p>
        </w:tc>
        <w:tc>
          <w:tcPr>
            <w:vAlign w:val="center"/>
          </w:tcPr>
          <w:p>
            <w:pPr>
              <w:jc w:val="right"/>
            </w:pPr>
            <w:r>
              <w:rPr>
                <w:color w:val="000000"/>
                <w:kern w:val="0"/>
                <w:sz w:val="24"/>
                <w:szCs w:val="24"/>
              </w:rPr>
              <w:t>5.09</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160213</w:t>
            </w:r>
          </w:p>
        </w:tc>
        <w:tc>
          <w:tcPr>
            <w:vAlign w:val="center"/>
          </w:tcPr>
          <w:p>
            <w:pPr>
              <w:jc w:val="center"/>
            </w:pPr>
            <w:r>
              <w:rPr>
                <w:color w:val="000000"/>
                <w:kern w:val="0"/>
                <w:sz w:val="24"/>
                <w:szCs w:val="24"/>
              </w:rPr>
              <w:t>16国开13</w:t>
            </w:r>
          </w:p>
        </w:tc>
        <w:tc>
          <w:tcPr>
            <w:vAlign w:val="center"/>
          </w:tcPr>
          <w:p>
            <w:pPr>
              <w:jc w:val="right"/>
            </w:pPr>
            <w:r>
              <w:rPr>
                <w:color w:val="000000"/>
                <w:kern w:val="0"/>
                <w:sz w:val="24"/>
                <w:szCs w:val="24"/>
              </w:rPr>
              <w:t>300,000</w:t>
            </w:r>
          </w:p>
        </w:tc>
        <w:tc>
          <w:tcPr>
            <w:vAlign w:val="center"/>
          </w:tcPr>
          <w:p>
            <w:pPr>
              <w:jc w:val="right"/>
            </w:pPr>
            <w:r>
              <w:rPr>
                <w:color w:val="000000"/>
                <w:kern w:val="0"/>
                <w:sz w:val="24"/>
                <w:szCs w:val="24"/>
              </w:rPr>
              <w:t>29,637,000.00</w:t>
            </w:r>
          </w:p>
        </w:tc>
        <w:tc>
          <w:tcPr>
            <w:vAlign w:val="center"/>
          </w:tcPr>
          <w:p>
            <w:pPr>
              <w:jc w:val="right"/>
            </w:pPr>
            <w:r>
              <w:rPr>
                <w:color w:val="000000"/>
                <w:kern w:val="0"/>
                <w:sz w:val="24"/>
                <w:szCs w:val="24"/>
              </w:rPr>
              <w:t>5.04</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1680414</w:t>
            </w:r>
          </w:p>
        </w:tc>
        <w:tc>
          <w:tcPr>
            <w:vAlign w:val="center"/>
          </w:tcPr>
          <w:p>
            <w:pPr>
              <w:jc w:val="center"/>
            </w:pPr>
            <w:r>
              <w:rPr>
                <w:color w:val="000000"/>
                <w:kern w:val="0"/>
                <w:sz w:val="24"/>
                <w:szCs w:val="24"/>
              </w:rPr>
              <w:t>16玉环城建债02</w:t>
            </w:r>
          </w:p>
        </w:tc>
        <w:tc>
          <w:tcPr>
            <w:vAlign w:val="center"/>
          </w:tcPr>
          <w:p>
            <w:pPr>
              <w:jc w:val="right"/>
            </w:pPr>
            <w:r>
              <w:rPr>
                <w:color w:val="000000"/>
                <w:kern w:val="0"/>
                <w:sz w:val="24"/>
                <w:szCs w:val="24"/>
              </w:rPr>
              <w:t>300,000</w:t>
            </w:r>
          </w:p>
        </w:tc>
        <w:tc>
          <w:tcPr>
            <w:vAlign w:val="center"/>
          </w:tcPr>
          <w:p>
            <w:pPr>
              <w:jc w:val="right"/>
            </w:pPr>
            <w:r>
              <w:rPr>
                <w:color w:val="000000"/>
                <w:kern w:val="0"/>
                <w:sz w:val="24"/>
                <w:szCs w:val="24"/>
              </w:rPr>
              <w:t>24,102,000.00</w:t>
            </w:r>
          </w:p>
        </w:tc>
        <w:tc>
          <w:tcPr>
            <w:vAlign w:val="center"/>
          </w:tcPr>
          <w:p>
            <w:pPr>
              <w:jc w:val="right"/>
            </w:pPr>
            <w:r>
              <w:rPr>
                <w:color w:val="000000"/>
                <w:kern w:val="0"/>
                <w:sz w:val="24"/>
                <w:szCs w:val="24"/>
              </w:rPr>
              <w:t>4.10</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122724</w:t>
            </w:r>
          </w:p>
        </w:tc>
        <w:tc>
          <w:tcPr>
            <w:vAlign w:val="center"/>
          </w:tcPr>
          <w:p>
            <w:pPr>
              <w:jc w:val="center"/>
            </w:pPr>
            <w:r>
              <w:rPr>
                <w:color w:val="000000"/>
                <w:kern w:val="0"/>
                <w:sz w:val="24"/>
                <w:szCs w:val="24"/>
              </w:rPr>
              <w:t>PR攀国02</w:t>
            </w:r>
          </w:p>
        </w:tc>
        <w:tc>
          <w:tcPr>
            <w:vAlign w:val="center"/>
          </w:tcPr>
          <w:p>
            <w:pPr>
              <w:jc w:val="right"/>
            </w:pPr>
            <w:r>
              <w:rPr>
                <w:color w:val="000000"/>
                <w:kern w:val="0"/>
                <w:sz w:val="24"/>
                <w:szCs w:val="24"/>
              </w:rPr>
              <w:t>500,000</w:t>
            </w:r>
          </w:p>
        </w:tc>
        <w:tc>
          <w:tcPr>
            <w:vAlign w:val="center"/>
          </w:tcPr>
          <w:p>
            <w:pPr>
              <w:jc w:val="right"/>
            </w:pPr>
            <w:r>
              <w:rPr>
                <w:color w:val="000000"/>
                <w:kern w:val="0"/>
                <w:sz w:val="24"/>
                <w:szCs w:val="24"/>
              </w:rPr>
              <w:t>20,905,000.00</w:t>
            </w:r>
          </w:p>
        </w:tc>
        <w:tc>
          <w:tcPr>
            <w:vAlign w:val="center"/>
          </w:tcPr>
          <w:p>
            <w:pPr>
              <w:jc w:val="right"/>
            </w:pPr>
            <w:r>
              <w:rPr>
                <w:color w:val="000000"/>
                <w:kern w:val="0"/>
                <w:sz w:val="24"/>
                <w:szCs w:val="24"/>
              </w:rPr>
              <w:t>3.55</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802"/>
        <w:gridCol w:w="1742"/>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证券代码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证券名称</w:t>
            </w:r>
          </w:p>
        </w:tc>
        <w:tc>
          <w:tcPr>
            <w:tcW w:type="dxa" w:w="1802"/>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（份）</w:t>
            </w:r>
          </w:p>
        </w:tc>
        <w:tc>
          <w:tcPr>
            <w:tcW w:type="dxa" w:w="1742"/>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138411</w:t>
            </w:r>
          </w:p>
        </w:tc>
        <w:tc>
          <w:tcPr>
            <w:vAlign w:val="center"/>
          </w:tcPr>
          <w:p>
            <w:pPr>
              <w:jc w:val="center"/>
            </w:pPr>
            <w:r>
              <w:rPr>
                <w:color w:val="000000"/>
                <w:kern w:val="0"/>
                <w:sz w:val="24"/>
                <w:szCs w:val="24"/>
              </w:rPr>
              <w:t>荟享034A</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10,012,000.00</w:t>
            </w:r>
          </w:p>
        </w:tc>
        <w:tc>
          <w:tcPr>
            <w:vAlign w:val="center"/>
          </w:tcPr>
          <w:p>
            <w:pPr>
              <w:jc w:val="right"/>
            </w:pPr>
            <w:r>
              <w:rPr>
                <w:color w:val="000000"/>
                <w:kern w:val="0"/>
                <w:sz w:val="24"/>
                <w:szCs w:val="24"/>
              </w:rPr>
              <w:t>1.70</w:t>
            </w:r>
          </w:p>
        </w:tc>
      </w:tr>
    </w:tbl>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103,975.41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2,782,527.01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11,711,837.99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2,000.00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14,600,340.41</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750D48" w:rsidRPr="00264E55" w:rsidTr="00B05049">
        <w:tc>
          <w:tcPr>
            <w:tcW w:type="dxa" w:w="1083"/>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302"/>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股票代码</w:t>
            </w:r>
          </w:p>
        </w:tc>
        <w:tc>
          <w:tcPr>
            <w:tcW w:type="dxa" w:w="1301"/>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股票名称</w:t>
            </w:r>
          </w:p>
        </w:tc>
        <w:tc>
          <w:tcPr>
            <w:tcW w:type="dxa" w:w="180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流通受限部分的公允价值</w:t>
            </w:r>
            <w:r w:rsidR="005F7917" w:rsidRPr="00B227EA">
              <w:rPr>
                <w:color w:val="000000"/>
                <w:kern w:val="0"/>
                <w:sz w:val="24"/>
                <w:szCs w:val="24"/>
              </w:rPr>
              <w:t>（元）</w:t>
            </w:r>
          </w:p>
        </w:tc>
        <w:tc>
          <w:tcPr>
            <w:tcW w:type="dxa" w:w="165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c>
          <w:tcPr>
            <w:tcW w:type="dxa" w:w="1367"/>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流通受限情况说明</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601816</w:t>
            </w:r>
          </w:p>
        </w:tc>
        <w:tc>
          <w:tcPr>
            <w:vAlign w:val="center"/>
          </w:tcPr>
          <w:p>
            <w:pPr>
              <w:jc w:val="center"/>
            </w:pPr>
            <w:r>
              <w:rPr>
                <w:color w:val="000000"/>
                <w:kern w:val="0"/>
                <w:sz w:val="24"/>
                <w:szCs w:val="24"/>
              </w:rPr>
              <w:t>京沪高铁</w:t>
            </w:r>
          </w:p>
        </w:tc>
        <w:tc>
          <w:tcPr>
            <w:vAlign w:val="center"/>
          </w:tcPr>
          <w:p>
            <w:pPr>
              <w:jc w:val="right"/>
            </w:pPr>
            <w:r>
              <w:rPr>
                <w:color w:val="000000"/>
                <w:kern w:val="0"/>
                <w:sz w:val="24"/>
                <w:szCs w:val="24"/>
              </w:rPr>
              <w:t>5,593,327.12</w:t>
            </w:r>
          </w:p>
        </w:tc>
        <w:tc>
          <w:tcPr>
            <w:vAlign w:val="center"/>
          </w:tcPr>
          <w:p>
            <w:pPr>
              <w:jc w:val="right"/>
            </w:pPr>
            <w:r>
              <w:rPr>
                <w:color w:val="000000"/>
                <w:kern w:val="0"/>
                <w:sz w:val="24"/>
                <w:szCs w:val="24"/>
              </w:rPr>
              <w:t>0.95</w:t>
            </w:r>
          </w:p>
        </w:tc>
        <w:tc>
          <w:tcPr>
            <w:vAlign w:val="center"/>
          </w:tcPr>
          <w:p>
            <w:pPr>
              <w:jc w:val="right"/>
            </w:pPr>
            <w:r>
              <w:rPr>
                <w:color w:val="000000"/>
                <w:kern w:val="0"/>
                <w:sz w:val="24"/>
                <w:szCs w:val="24"/>
              </w:rPr>
              <w:t>新股流通受限</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507,176,722.46</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25,172.69</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388,720.31</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506,813,174.84</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8</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8.1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rFonts w:eastAsiaTheme="minorEastAsia"/>
                <w:bCs/>
                <w:color w:themeColor="text1" w:val="000000"/>
                <w:sz w:val="24"/>
                <w:szCs w:val="24"/>
              </w:rPr>
              <w:t>机构</w:t>
            </w:r>
          </w:p>
        </w:tc>
        <w:tc>
          <w:tcPr>
            <w:vAlign w:val="center"/>
          </w:tcPr>
          <w:p>
            <w:pPr>
              <w:jc w:val="center"/>
            </w:pPr>
            <w:r>
              <w:rPr>
                <w:sz w:val="24"/>
                <w:szCs w:val="24"/>
              </w:rPr>
              <w:t>1</w:t>
            </w:r>
          </w:p>
        </w:tc>
        <w:tc>
          <w:tcPr>
            <w:vAlign w:val="center"/>
          </w:tcPr>
          <w:p>
            <w:pPr>
              <w:jc w:val="center"/>
            </w:pPr>
            <w:r>
              <w:rPr>
                <w:sz w:val="24"/>
                <w:szCs w:val="24"/>
              </w:rPr>
              <w:t>2020年04月01日~2020年06月30日</w:t>
            </w:r>
          </w:p>
        </w:tc>
        <w:tc>
          <w:tcPr>
            <w:vAlign w:val="center"/>
          </w:tcPr>
          <w:p>
            <w:pPr>
              <w:jc w:val="center"/>
            </w:pPr>
            <w:r>
              <w:rPr>
                <w:sz w:val="24"/>
                <w:szCs w:val="24"/>
              </w:rPr>
              <w:t>500,110,000.00</w:t>
            </w:r>
          </w:p>
        </w:tc>
        <w:tc>
          <w:tcPr>
            <w:vAlign w:val="center"/>
          </w:tcPr>
          <w:p>
            <w:pPr>
              <w:jc w:val="center"/>
            </w:pPr>
            <w:r>
              <w:rPr>
                <w:sz w:val="24"/>
                <w:szCs w:val="24"/>
              </w:rPr>
              <w:t>-</w:t>
            </w:r>
          </w:p>
        </w:tc>
        <w:tc>
          <w:tcPr>
            <w:vAlign w:val="center"/>
          </w:tcPr>
          <w:p>
            <w:pPr>
              <w:jc w:val="center"/>
            </w:pPr>
            <w:r>
              <w:rPr>
                <w:sz w:val="24"/>
                <w:szCs w:val="24"/>
              </w:rPr>
              <w:t>-</w:t>
            </w:r>
          </w:p>
        </w:tc>
        <w:tc>
          <w:tcPr>
            <w:vAlign w:val="center"/>
          </w:tcPr>
          <w:p>
            <w:pPr>
              <w:jc w:val="center"/>
            </w:pPr>
            <w:r>
              <w:rPr>
                <w:sz w:val="24"/>
                <w:szCs w:val="24"/>
              </w:rPr>
              <w:t>500,110,000.00</w:t>
            </w:r>
          </w:p>
        </w:tc>
        <w:tc>
          <w:tcPr>
            <w:vAlign w:val="center"/>
          </w:tcPr>
          <w:p>
            <w:pPr>
              <w:jc w:val="center"/>
            </w:pPr>
            <w:r>
              <w:rPr>
                <w:sz w:val="24"/>
                <w:szCs w:val="24"/>
              </w:rPr>
              <w:t>98.68%</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1.中国证监会准予易方达裕如灵活配置混合型证券投资基金注册的文件；</w:t>
      </w:r>
    </w:p>
    <w:p>
      <w:pPr>
        <w:spacing w:line="360" w:lineRule="auto"/>
        <w:ind w:firstLine="480" w:firstLineChars="200"/>
        <w:rPr>
          <w:color w:val="000000"/>
          <w:sz w:val="24"/>
          <w:szCs w:val="24"/>
        </w:rPr>
      </w:pPr>
      <w:r>
        <w:rPr>
          <w:color w:val="000000"/>
          <w:sz w:val="24"/>
          <w:szCs w:val="24"/>
        </w:rPr>
        <w:t>2.《易方达裕如灵活配置混合型证券投资基金基金合同》；</w:t>
      </w:r>
    </w:p>
    <w:p>
      <w:pPr>
        <w:spacing w:line="360" w:lineRule="auto"/>
        <w:ind w:firstLine="480" w:firstLineChars="200"/>
        <w:rPr>
          <w:color w:val="000000"/>
          <w:sz w:val="24"/>
          <w:szCs w:val="24"/>
        </w:rPr>
      </w:pPr>
      <w:r>
        <w:rPr>
          <w:color w:val="000000"/>
          <w:sz w:val="24"/>
          <w:szCs w:val="24"/>
        </w:rPr>
        <w:t>3.《易方达裕如灵活配置混合型证券投资基金托管协议》；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易方达裕如灵活配置混合型证券投资基金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