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易方达改革红利混合型证券投资基金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中国邮政储蓄银行股份有限公司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易方达改革红利混合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001076</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001076</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2015年4月23日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833,344,303.58</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密切关注各项改革举措及其对相关产业和公司的影响，包括国企改革、财税金融改革、公用事业价格改革、土地改革、户籍制度改革以及逐步推进的各项经济、政治、社会、文化等方面的改革，捕捉改革红利释放带来的投资机会。基金将通过研究各类行业和公司受益于改革红利的程度，选择直接受益于改革红利、或在全面深化改革推动下预期盈利水平将显著提升的行业和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沪深300指数收益率×70%+一年期人民币定期存款利率（税后）×30%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中国邮政储蓄银行股份有限公司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94,549,229.81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248,591,438.06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0.2572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1,089,378,566.51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1.307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24.12%</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9.09%</w:t>
            </w:r>
          </w:p>
        </w:tc>
        <w:tc>
          <w:tcPr>
            <w:vAlign w:val="center"/>
          </w:tcPr>
          <w:p>
            <w:pPr>
              <w:jc w:val="center"/>
            </w:pPr>
            <w:r>
              <w:rPr>
                <w:color w:val="000000"/>
                <w:kern w:val="0"/>
                <w:sz w:val="24"/>
                <w:szCs w:val="24"/>
              </w:rPr>
              <w:t>0.63%</w:t>
            </w:r>
          </w:p>
        </w:tc>
        <w:tc>
          <w:tcPr>
            <w:vAlign w:val="center"/>
          </w:tcPr>
          <w:p>
            <w:pPr>
              <w:jc w:val="center"/>
            </w:pPr>
            <w:r>
              <w:rPr>
                <w:color w:val="000000"/>
                <w:kern w:val="0"/>
                <w:sz w:val="24"/>
                <w:szCs w:val="24"/>
              </w:rPr>
              <w:t>15.03%</w:t>
            </w:r>
          </w:p>
        </w:tc>
        <w:tc>
          <w:tcPr>
            <w:vAlign w:val="center"/>
          </w:tcPr>
          <w:p>
            <w:pPr>
              <w:jc w:val="center"/>
            </w:pPr>
            <w:r>
              <w:rPr>
                <w:color w:val="000000"/>
                <w:kern w:val="0"/>
                <w:sz w:val="24"/>
                <w:szCs w:val="24"/>
              </w:rPr>
              <w:t>0.51%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11.14%</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9.47%</w:t>
            </w:r>
          </w:p>
        </w:tc>
        <w:tc>
          <w:tcPr>
            <w:vAlign w:val="center"/>
          </w:tcPr>
          <w:p>
            <w:pPr>
              <w:jc w:val="center"/>
            </w:pPr>
            <w:r>
              <w:rPr>
                <w:color w:val="000000"/>
                <w:kern w:val="0"/>
                <w:sz w:val="24"/>
                <w:szCs w:val="24"/>
              </w:rPr>
              <w:t>0.60%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18.50%</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7.01%</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11.49%</w:t>
            </w:r>
          </w:p>
        </w:tc>
        <w:tc>
          <w:tcPr>
            <w:vAlign w:val="center"/>
          </w:tcPr>
          <w:p>
            <w:pPr>
              <w:jc w:val="center"/>
            </w:pPr>
            <w:r>
              <w:rPr>
                <w:color w:val="000000"/>
                <w:kern w:val="0"/>
                <w:sz w:val="24"/>
                <w:szCs w:val="24"/>
              </w:rPr>
              <w:t>0.52%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68.65%</w:t>
            </w:r>
          </w:p>
        </w:tc>
        <w:tc>
          <w:tcPr>
            <w:vAlign w:val="center"/>
          </w:tcPr>
          <w:p>
            <w:pPr>
              <w:jc w:val="center"/>
            </w:pPr>
            <w:r>
              <w:rPr>
                <w:color w:val="000000"/>
                <w:kern w:val="0"/>
                <w:sz w:val="24"/>
                <w:szCs w:val="24"/>
              </w:rPr>
              <w:t>1.56%</w:t>
            </w:r>
          </w:p>
        </w:tc>
        <w:tc>
          <w:tcPr>
            <w:vAlign w:val="center"/>
          </w:tcPr>
          <w:p>
            <w:pPr>
              <w:jc w:val="center"/>
            </w:pPr>
            <w:r>
              <w:rPr>
                <w:color w:val="000000"/>
                <w:kern w:val="0"/>
                <w:sz w:val="24"/>
                <w:szCs w:val="24"/>
              </w:rPr>
              <w:t>12.18%</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56.47%</w:t>
            </w:r>
          </w:p>
        </w:tc>
        <w:tc>
          <w:tcPr>
            <w:vAlign w:val="center"/>
          </w:tcPr>
          <w:p>
            <w:pPr>
              <w:jc w:val="center"/>
            </w:pPr>
            <w:r>
              <w:rPr>
                <w:color w:val="000000"/>
                <w:kern w:val="0"/>
                <w:sz w:val="24"/>
                <w:szCs w:val="24"/>
              </w:rPr>
              <w:t>0.68%</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25.07%</w:t>
            </w:r>
          </w:p>
        </w:tc>
        <w:tc>
          <w:tcPr>
            <w:vAlign w:val="center"/>
          </w:tcPr>
          <w:p>
            <w:pPr>
              <w:jc w:val="center"/>
            </w:pPr>
            <w:r>
              <w:rPr>
                <w:color w:val="000000"/>
                <w:kern w:val="0"/>
                <w:sz w:val="24"/>
                <w:szCs w:val="24"/>
              </w:rPr>
              <w:t>1.82%</w:t>
            </w:r>
          </w:p>
        </w:tc>
        <w:tc>
          <w:tcPr>
            <w:vAlign w:val="center"/>
          </w:tcPr>
          <w:p>
            <w:pPr>
              <w:jc w:val="center"/>
            </w:pPr>
            <w:r>
              <w:rPr>
                <w:color w:val="000000"/>
                <w:kern w:val="0"/>
                <w:sz w:val="24"/>
                <w:szCs w:val="24"/>
              </w:rPr>
              <w:t>0.05%</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25.02%</w:t>
            </w:r>
          </w:p>
        </w:tc>
        <w:tc>
          <w:tcPr>
            <w:vAlign w:val="center"/>
          </w:tcPr>
          <w:p>
            <w:pPr>
              <w:jc w:val="center"/>
            </w:pPr>
            <w:r>
              <w:rPr>
                <w:color w:val="000000"/>
                <w:kern w:val="0"/>
                <w:sz w:val="24"/>
                <w:szCs w:val="24"/>
              </w:rPr>
              <w:t>0.81%</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30.70%</w:t>
            </w:r>
          </w:p>
        </w:tc>
        <w:tc>
          <w:tcPr>
            <w:vAlign w:val="center"/>
          </w:tcPr>
          <w:p>
            <w:pPr>
              <w:jc w:val="center"/>
            </w:pPr>
            <w:r>
              <w:rPr>
                <w:color w:val="000000"/>
                <w:kern w:val="0"/>
                <w:sz w:val="24"/>
                <w:szCs w:val="24"/>
              </w:rPr>
              <w:t>1.86%</w:t>
            </w:r>
          </w:p>
        </w:tc>
        <w:tc>
          <w:tcPr>
            <w:vAlign w:val="center"/>
          </w:tcPr>
          <w:p>
            <w:pPr>
              <w:jc w:val="center"/>
            </w:pPr>
            <w:r>
              <w:rPr>
                <w:color w:val="000000"/>
                <w:kern w:val="0"/>
                <w:sz w:val="24"/>
                <w:szCs w:val="24"/>
              </w:rPr>
              <w:t>-3.42%</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34.12%</w:t>
            </w:r>
          </w:p>
        </w:tc>
        <w:tc>
          <w:tcPr>
            <w:vAlign w:val="center"/>
          </w:tcPr>
          <w:p>
            <w:pPr>
              <w:jc w:val="center"/>
            </w:pPr>
            <w:r>
              <w:rPr>
                <w:color w:val="000000"/>
                <w:kern w:val="0"/>
                <w:sz w:val="24"/>
                <w:szCs w:val="24"/>
              </w:rPr>
              <w:t>0.80%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易方达改革红利混合型证券投资基金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2015年4月23日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注：自基金合同生效至报告期末，基金份额净值增长率为30.70%，同期业绩比较基准收益率为-3.42%。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郭杰</w:t>
            </w:r>
          </w:p>
        </w:tc>
        <w:tc>
          <w:tcPr>
            <w:vAlign w:val="center"/>
          </w:tcPr>
          <w:p>
            <w:pPr>
              <w:jc w:val="left"/>
            </w:pPr>
            <w:r>
              <w:rPr>
                <w:color w:val="000000"/>
                <w:sz w:val="24"/>
              </w:rPr>
              <w:t>本基金的基金经理、易方达国企改革混合型证券投资基金的基金经理、易方达ESG责任投资股票型发起式证券投资基金的基金经理、研究部副总经理</w:t>
            </w:r>
          </w:p>
        </w:tc>
        <w:tc>
          <w:tcPr>
            <w:vAlign w:val="center"/>
          </w:tcPr>
          <w:p>
            <w:pPr>
              <w:jc w:val="center"/>
            </w:pPr>
            <w:r>
              <w:rPr>
                <w:color w:val="000000"/>
                <w:sz w:val="24"/>
              </w:rPr>
              <w:t>2015-04-23</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易方达基金管理有限公司行业研究员、基金经理助理、易方达资源行业股票型证券投资基金基金经理、易方达科汇灵活配置混合型证券投资基金基金经理、易方达新丝路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 xml:space="preserve">二季度海外的新冠病毒疫情仍然较为严峻，而国内疫情基本得到了控制。虽然市场预期经济会受到疫情的冲击，但是全球宽松的流动性有效化解了金融风险，预期经济也会随着疫情的趋缓而逐步复苏。股票市场的情绪从疫情的悲观中逐步恢复，在经济逐步复苏和市场流动性的助推下震荡上行。到二季末，沪深300指数收于4164点，上涨12.96%。稳定类的消费、医药、TMT行业内的个股表现明显好于与经济相关度高的行业个股。 </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一贯坚持选择好的生意并长期持有的投资策略。对于“好的生意”的理解仁者见仁，我们的核心标准是商业模型有明显的规模效应、企业有突出的竞争壁垒。我们通过分享这样优质企业的增长和盈利，实现资本的回报。</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截至报告期末，本基金份额净值为1.307元，本报告期份额净值增长率为24.12%，同期业绩比较基准收益率为9.09%。</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1,013,344,491.89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91.35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1,013,344,491.89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91.35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87,834,115.57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8,119,279.98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0.73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1,109,297,887.44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963,267,689.78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88.42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49,873,304.02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4.58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1,013,344,491.89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93.02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653,126</w:t>
            </w:r>
          </w:p>
        </w:tc>
        <w:tc>
          <w:tcPr>
            <w:vAlign w:val="center"/>
          </w:tcPr>
          <w:p>
            <w:pPr>
              <w:jc w:val="right"/>
            </w:pPr>
            <w:r>
              <w:rPr>
                <w:color w:val="000000"/>
                <w:kern w:val="0"/>
                <w:sz w:val="24"/>
                <w:szCs w:val="24"/>
              </w:rPr>
              <w:t>111,762,921.12</w:t>
            </w:r>
          </w:p>
        </w:tc>
        <w:tc>
          <w:tcPr>
            <w:vAlign w:val="center"/>
          </w:tcPr>
          <w:p>
            <w:pPr>
              <w:jc w:val="right"/>
            </w:pPr>
            <w:r>
              <w:rPr>
                <w:color w:val="000000"/>
                <w:kern w:val="0"/>
                <w:sz w:val="24"/>
                <w:szCs w:val="24"/>
              </w:rPr>
              <w:t>10.26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75,932</w:t>
            </w:r>
          </w:p>
        </w:tc>
        <w:tc>
          <w:tcPr>
            <w:vAlign w:val="center"/>
          </w:tcPr>
          <w:p>
            <w:pPr>
              <w:jc w:val="right"/>
            </w:pPr>
            <w:r>
              <w:rPr>
                <w:color w:val="000000"/>
                <w:kern w:val="0"/>
                <w:sz w:val="24"/>
                <w:szCs w:val="24"/>
              </w:rPr>
              <w:t>111,079,404.16</w:t>
            </w:r>
          </w:p>
        </w:tc>
        <w:tc>
          <w:tcPr>
            <w:vAlign w:val="center"/>
          </w:tcPr>
          <w:p>
            <w:pPr>
              <w:jc w:val="right"/>
            </w:pPr>
            <w:r>
              <w:rPr>
                <w:color w:val="000000"/>
                <w:kern w:val="0"/>
                <w:sz w:val="24"/>
                <w:szCs w:val="24"/>
              </w:rPr>
              <w:t>10.20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1,187,434</w:t>
            </w:r>
          </w:p>
        </w:tc>
        <w:tc>
          <w:tcPr>
            <w:vAlign w:val="center"/>
          </w:tcPr>
          <w:p>
            <w:pPr>
              <w:jc w:val="right"/>
            </w:pPr>
            <w:r>
              <w:rPr>
                <w:color w:val="000000"/>
                <w:kern w:val="0"/>
                <w:sz w:val="24"/>
                <w:szCs w:val="24"/>
              </w:rPr>
              <w:t>108,198,986.08</w:t>
            </w:r>
          </w:p>
        </w:tc>
        <w:tc>
          <w:tcPr>
            <w:vAlign w:val="center"/>
          </w:tcPr>
          <w:p>
            <w:pPr>
              <w:jc w:val="right"/>
            </w:pPr>
            <w:r>
              <w:rPr>
                <w:color w:val="000000"/>
                <w:kern w:val="0"/>
                <w:sz w:val="24"/>
                <w:szCs w:val="24"/>
              </w:rPr>
              <w:t>9.93</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1,854,478</w:t>
            </w:r>
          </w:p>
        </w:tc>
        <w:tc>
          <w:tcPr>
            <w:vAlign w:val="center"/>
          </w:tcPr>
          <w:p>
            <w:pPr>
              <w:jc w:val="right"/>
            </w:pPr>
            <w:r>
              <w:rPr>
                <w:color w:val="000000"/>
                <w:kern w:val="0"/>
                <w:sz w:val="24"/>
                <w:szCs w:val="24"/>
              </w:rPr>
              <w:t>104,907,820.46</w:t>
            </w:r>
          </w:p>
        </w:tc>
        <w:tc>
          <w:tcPr>
            <w:vAlign w:val="center"/>
          </w:tcPr>
          <w:p>
            <w:pPr>
              <w:jc w:val="right"/>
            </w:pPr>
            <w:r>
              <w:rPr>
                <w:color w:val="000000"/>
                <w:kern w:val="0"/>
                <w:sz w:val="24"/>
                <w:szCs w:val="24"/>
              </w:rPr>
              <w:t>9.63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600161</w:t>
            </w:r>
          </w:p>
        </w:tc>
        <w:tc>
          <w:tcPr>
            <w:vAlign w:val="center"/>
          </w:tcPr>
          <w:p>
            <w:pPr>
              <w:jc w:val="center"/>
            </w:pPr>
            <w:r>
              <w:rPr>
                <w:color w:val="000000"/>
                <w:kern w:val="0"/>
                <w:sz w:val="24"/>
                <w:szCs w:val="24"/>
              </w:rPr>
              <w:t>天坛生物</w:t>
            </w:r>
          </w:p>
        </w:tc>
        <w:tc>
          <w:tcPr>
            <w:vAlign w:val="center"/>
          </w:tcPr>
          <w:p>
            <w:pPr>
              <w:jc w:val="right"/>
            </w:pPr>
            <w:r>
              <w:rPr>
                <w:color w:val="000000"/>
                <w:kern w:val="0"/>
                <w:sz w:val="24"/>
                <w:szCs w:val="24"/>
              </w:rPr>
              <w:t>1,614,135</w:t>
            </w:r>
          </w:p>
        </w:tc>
        <w:tc>
          <w:tcPr>
            <w:vAlign w:val="center"/>
          </w:tcPr>
          <w:p>
            <w:pPr>
              <w:jc w:val="right"/>
            </w:pPr>
            <w:r>
              <w:rPr>
                <w:color w:val="000000"/>
                <w:kern w:val="0"/>
                <w:sz w:val="24"/>
                <w:szCs w:val="24"/>
              </w:rPr>
              <w:t>73,168,739.55</w:t>
            </w:r>
          </w:p>
        </w:tc>
        <w:tc>
          <w:tcPr>
            <w:vAlign w:val="center"/>
          </w:tcPr>
          <w:p>
            <w:pPr>
              <w:jc w:val="right"/>
            </w:pPr>
            <w:r>
              <w:rPr>
                <w:color w:val="000000"/>
                <w:kern w:val="0"/>
                <w:sz w:val="24"/>
                <w:szCs w:val="24"/>
              </w:rPr>
              <w:t>6.72</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002304</w:t>
            </w:r>
          </w:p>
        </w:tc>
        <w:tc>
          <w:tcPr>
            <w:vAlign w:val="center"/>
          </w:tcPr>
          <w:p>
            <w:pPr>
              <w:jc w:val="center"/>
            </w:pPr>
            <w:r>
              <w:rPr>
                <w:color w:val="000000"/>
                <w:kern w:val="0"/>
                <w:sz w:val="24"/>
                <w:szCs w:val="24"/>
              </w:rPr>
              <w:t>洋河股份</w:t>
            </w:r>
          </w:p>
        </w:tc>
        <w:tc>
          <w:tcPr>
            <w:vAlign w:val="center"/>
          </w:tcPr>
          <w:p>
            <w:pPr>
              <w:jc w:val="right"/>
            </w:pPr>
            <w:r>
              <w:rPr>
                <w:color w:val="000000"/>
                <w:kern w:val="0"/>
                <w:sz w:val="24"/>
                <w:szCs w:val="24"/>
              </w:rPr>
              <w:t>670,845</w:t>
            </w:r>
          </w:p>
        </w:tc>
        <w:tc>
          <w:tcPr>
            <w:vAlign w:val="center"/>
          </w:tcPr>
          <w:p>
            <w:pPr>
              <w:jc w:val="right"/>
            </w:pPr>
            <w:r>
              <w:rPr>
                <w:color w:val="000000"/>
                <w:kern w:val="0"/>
                <w:sz w:val="24"/>
                <w:szCs w:val="24"/>
              </w:rPr>
              <w:t>70,532,643.30</w:t>
            </w:r>
          </w:p>
        </w:tc>
        <w:tc>
          <w:tcPr>
            <w:vAlign w:val="center"/>
          </w:tcPr>
          <w:p>
            <w:pPr>
              <w:jc w:val="right"/>
            </w:pPr>
            <w:r>
              <w:rPr>
                <w:color w:val="000000"/>
                <w:kern w:val="0"/>
                <w:sz w:val="24"/>
                <w:szCs w:val="24"/>
              </w:rPr>
              <w:t>6.47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1,143,954</w:t>
            </w:r>
          </w:p>
        </w:tc>
        <w:tc>
          <w:tcPr>
            <w:vAlign w:val="center"/>
          </w:tcPr>
          <w:p>
            <w:pPr>
              <w:jc w:val="right"/>
            </w:pPr>
            <w:r>
              <w:rPr>
                <w:color w:val="000000"/>
                <w:kern w:val="0"/>
                <w:sz w:val="24"/>
                <w:szCs w:val="24"/>
              </w:rPr>
              <w:t>68,397,009.66</w:t>
            </w:r>
          </w:p>
        </w:tc>
        <w:tc>
          <w:tcPr>
            <w:vAlign w:val="center"/>
          </w:tcPr>
          <w:p>
            <w:pPr>
              <w:jc w:val="right"/>
            </w:pPr>
            <w:r>
              <w:rPr>
                <w:color w:val="000000"/>
                <w:kern w:val="0"/>
                <w:sz w:val="24"/>
                <w:szCs w:val="24"/>
              </w:rPr>
              <w:t>6.28</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000596</w:t>
            </w:r>
          </w:p>
        </w:tc>
        <w:tc>
          <w:tcPr>
            <w:vAlign w:val="center"/>
          </w:tcPr>
          <w:p>
            <w:pPr>
              <w:jc w:val="center"/>
            </w:pPr>
            <w:r>
              <w:rPr>
                <w:color w:val="000000"/>
                <w:kern w:val="0"/>
                <w:sz w:val="24"/>
                <w:szCs w:val="24"/>
              </w:rPr>
              <w:t>古井贡酒</w:t>
            </w:r>
          </w:p>
        </w:tc>
        <w:tc>
          <w:tcPr>
            <w:vAlign w:val="center"/>
          </w:tcPr>
          <w:p>
            <w:pPr>
              <w:jc w:val="right"/>
            </w:pPr>
            <w:r>
              <w:rPr>
                <w:color w:val="000000"/>
                <w:kern w:val="0"/>
                <w:sz w:val="24"/>
                <w:szCs w:val="24"/>
              </w:rPr>
              <w:t>443,831</w:t>
            </w:r>
          </w:p>
        </w:tc>
        <w:tc>
          <w:tcPr>
            <w:vAlign w:val="center"/>
          </w:tcPr>
          <w:p>
            <w:pPr>
              <w:jc w:val="right"/>
            </w:pPr>
            <w:r>
              <w:rPr>
                <w:color w:val="000000"/>
                <w:kern w:val="0"/>
                <w:sz w:val="24"/>
                <w:szCs w:val="24"/>
              </w:rPr>
              <w:t>66,681,169.44</w:t>
            </w:r>
          </w:p>
        </w:tc>
        <w:tc>
          <w:tcPr>
            <w:vAlign w:val="center"/>
          </w:tcPr>
          <w:p>
            <w:pPr>
              <w:jc w:val="right"/>
            </w:pPr>
            <w:r>
              <w:rPr>
                <w:color w:val="000000"/>
                <w:kern w:val="0"/>
                <w:sz w:val="24"/>
                <w:szCs w:val="24"/>
              </w:rPr>
              <w:t>6.12</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716,292</w:t>
            </w:r>
          </w:p>
        </w:tc>
        <w:tc>
          <w:tcPr>
            <w:vAlign w:val="center"/>
          </w:tcPr>
          <w:p>
            <w:pPr>
              <w:jc w:val="right"/>
            </w:pPr>
            <w:r>
              <w:rPr>
                <w:color w:val="000000"/>
                <w:kern w:val="0"/>
                <w:sz w:val="24"/>
                <w:szCs w:val="24"/>
              </w:rPr>
              <w:t>66,113,751.60</w:t>
            </w:r>
          </w:p>
        </w:tc>
        <w:tc>
          <w:tcPr>
            <w:vAlign w:val="center"/>
          </w:tcPr>
          <w:p>
            <w:pPr>
              <w:jc w:val="right"/>
            </w:pPr>
            <w:r>
              <w:rPr>
                <w:color w:val="000000"/>
                <w:kern w:val="0"/>
                <w:sz w:val="24"/>
                <w:szCs w:val="24"/>
              </w:rPr>
              <w:t>6.07</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600809</w:t>
            </w:r>
          </w:p>
        </w:tc>
        <w:tc>
          <w:tcPr>
            <w:vAlign w:val="center"/>
          </w:tcPr>
          <w:p>
            <w:pPr>
              <w:jc w:val="center"/>
            </w:pPr>
            <w:r>
              <w:rPr>
                <w:color w:val="000000"/>
                <w:kern w:val="0"/>
                <w:sz w:val="24"/>
                <w:szCs w:val="24"/>
              </w:rPr>
              <w:t>山西汾酒</w:t>
            </w:r>
          </w:p>
        </w:tc>
        <w:tc>
          <w:tcPr>
            <w:vAlign w:val="center"/>
          </w:tcPr>
          <w:p>
            <w:pPr>
              <w:jc w:val="right"/>
            </w:pPr>
            <w:r>
              <w:rPr>
                <w:color w:val="000000"/>
                <w:kern w:val="0"/>
                <w:sz w:val="24"/>
                <w:szCs w:val="24"/>
              </w:rPr>
              <w:t>402,600</w:t>
            </w:r>
          </w:p>
        </w:tc>
        <w:tc>
          <w:tcPr>
            <w:vAlign w:val="center"/>
          </w:tcPr>
          <w:p>
            <w:pPr>
              <w:jc w:val="right"/>
            </w:pPr>
            <w:r>
              <w:rPr>
                <w:color w:val="000000"/>
                <w:kern w:val="0"/>
                <w:sz w:val="24"/>
                <w:szCs w:val="24"/>
              </w:rPr>
              <w:t>58,377,000.00</w:t>
            </w:r>
          </w:p>
        </w:tc>
        <w:tc>
          <w:tcPr>
            <w:vAlign w:val="center"/>
          </w:tcPr>
          <w:p>
            <w:pPr>
              <w:jc w:val="right"/>
            </w:pPr>
            <w:r>
              <w:rPr>
                <w:color w:val="000000"/>
                <w:kern w:val="0"/>
                <w:sz w:val="24"/>
                <w:szCs w:val="24"/>
              </w:rPr>
              <w:t>5.36</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注：本报告期末本基金投资五粮液、贵州茅台占基金资产净值比例超过10%,属于被动超标。</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369,613.35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6,190,497.78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15,794.03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1,543,374.82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8,119,279.98</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1,036,368,904.49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40,879,657.67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243,904,258.58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833,344,303.58</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1.中国证监会准予易方达改革红利混合型证券投资基金注册的文件；</w:t>
      </w:r>
    </w:p>
    <w:p>
      <w:pPr>
        <w:spacing w:line="360" w:lineRule="auto"/>
        <w:ind w:firstLine="480" w:firstLineChars="200"/>
        <w:rPr>
          <w:color w:val="000000"/>
          <w:sz w:val="24"/>
          <w:szCs w:val="24"/>
        </w:rPr>
      </w:pPr>
      <w:r>
        <w:rPr>
          <w:color w:val="000000"/>
          <w:sz w:val="24"/>
          <w:szCs w:val="24"/>
        </w:rPr>
        <w:t>2.《易方达改革红利混合型证券投资基金基金合同》；</w:t>
      </w:r>
    </w:p>
    <w:p>
      <w:pPr>
        <w:spacing w:line="360" w:lineRule="auto"/>
        <w:ind w:firstLine="480" w:firstLineChars="200"/>
        <w:rPr>
          <w:color w:val="000000"/>
          <w:sz w:val="24"/>
          <w:szCs w:val="24"/>
        </w:rPr>
      </w:pPr>
      <w:r>
        <w:rPr>
          <w:color w:val="000000"/>
          <w:sz w:val="24"/>
          <w:szCs w:val="24"/>
        </w:rPr>
        <w:t>3.《易方达改革红利混合型证券投资基金托管协议》；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易方达改革红利混合型证券投资基金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