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易方达新经济灵活配置混合型证券投资基金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中国工商银行股份有限公司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易方达新经济混合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001018</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001018</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2015年2月12日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832,573,129.42</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本基金在严格控制风险的基础上，力争实现基金资产的稳健增值。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基于定量与定性相结合的宏观及市场分析，确定组合中股票、债券等资产类别的配置比例。本基金将重点考察并持续关注经济发展方向、产业政策及制度改革导向、科学技术、行业景气度及商业模式等因素，精选具有较高成长性和合理估值水平的个股，构建股票投资组合。</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中证800指数收益率×65%+一年期人民币定期存款利率（税后）×35%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本基金为混合型基金，理论上其预期风险收益水平低于股票型基金，高于债券型基金和货币市场基金。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中国工商银行股份有限公司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32,166,979.08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597,028,006.36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0.7653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2,321,669,503.08</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2.789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37.19%</w:t>
            </w:r>
          </w:p>
        </w:tc>
        <w:tc>
          <w:tcPr>
            <w:vAlign w:val="center"/>
          </w:tcPr>
          <w:p>
            <w:pPr>
              <w:jc w:val="center"/>
            </w:pPr>
            <w:r>
              <w:rPr>
                <w:color w:val="000000"/>
                <w:kern w:val="0"/>
                <w:sz w:val="24"/>
                <w:szCs w:val="24"/>
              </w:rPr>
              <w:t>1.21%</w:t>
            </w:r>
          </w:p>
        </w:tc>
        <w:tc>
          <w:tcPr>
            <w:vAlign w:val="center"/>
          </w:tcPr>
          <w:p>
            <w:pPr>
              <w:jc w:val="center"/>
            </w:pPr>
            <w:r>
              <w:rPr>
                <w:color w:val="000000"/>
                <w:kern w:val="0"/>
                <w:sz w:val="24"/>
                <w:szCs w:val="24"/>
              </w:rPr>
              <w:t>8.97%</w:t>
            </w:r>
          </w:p>
        </w:tc>
        <w:tc>
          <w:tcPr>
            <w:vAlign w:val="center"/>
          </w:tcPr>
          <w:p>
            <w:pPr>
              <w:jc w:val="center"/>
            </w:pPr>
            <w:r>
              <w:rPr>
                <w:color w:val="000000"/>
                <w:kern w:val="0"/>
                <w:sz w:val="24"/>
                <w:szCs w:val="24"/>
              </w:rPr>
              <w:t>0.60%</w:t>
            </w:r>
          </w:p>
        </w:tc>
        <w:tc>
          <w:tcPr>
            <w:vAlign w:val="center"/>
          </w:tcPr>
          <w:p>
            <w:pPr>
              <w:jc w:val="center"/>
            </w:pPr>
            <w:r>
              <w:rPr>
                <w:color w:val="000000"/>
                <w:kern w:val="0"/>
                <w:sz w:val="24"/>
                <w:szCs w:val="24"/>
              </w:rPr>
              <w:t>28.22%</w:t>
            </w:r>
          </w:p>
        </w:tc>
        <w:tc>
          <w:tcPr>
            <w:vAlign w:val="center"/>
          </w:tcPr>
          <w:p>
            <w:pPr>
              <w:jc w:val="center"/>
            </w:pPr>
            <w:r>
              <w:rPr>
                <w:color w:val="000000"/>
                <w:kern w:val="0"/>
                <w:sz w:val="24"/>
                <w:szCs w:val="24"/>
              </w:rPr>
              <w:t>0.61%</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41.00%</w:t>
            </w:r>
          </w:p>
        </w:tc>
        <w:tc>
          <w:tcPr>
            <w:vAlign w:val="center"/>
          </w:tcPr>
          <w:p>
            <w:pPr>
              <w:jc w:val="center"/>
            </w:pPr>
            <w:r>
              <w:rPr>
                <w:color w:val="000000"/>
                <w:kern w:val="0"/>
                <w:sz w:val="24"/>
                <w:szCs w:val="24"/>
              </w:rPr>
              <w:t>1.75%</w:t>
            </w:r>
          </w:p>
        </w:tc>
        <w:tc>
          <w:tcPr>
            <w:vAlign w:val="center"/>
          </w:tcPr>
          <w:p>
            <w:pPr>
              <w:jc w:val="center"/>
            </w:pPr>
            <w:r>
              <w:rPr>
                <w:color w:val="000000"/>
                <w:kern w:val="0"/>
                <w:sz w:val="24"/>
                <w:szCs w:val="24"/>
              </w:rPr>
              <w:t>3.16%</w:t>
            </w:r>
          </w:p>
        </w:tc>
        <w:tc>
          <w:tcPr>
            <w:vAlign w:val="center"/>
          </w:tcPr>
          <w:p>
            <w:pPr>
              <w:jc w:val="center"/>
            </w:pPr>
            <w:r>
              <w:rPr>
                <w:color w:val="000000"/>
                <w:kern w:val="0"/>
                <w:sz w:val="24"/>
                <w:szCs w:val="24"/>
              </w:rPr>
              <w:t>1.01%</w:t>
            </w:r>
          </w:p>
        </w:tc>
        <w:tc>
          <w:tcPr>
            <w:vAlign w:val="center"/>
          </w:tcPr>
          <w:p>
            <w:pPr>
              <w:jc w:val="center"/>
            </w:pPr>
            <w:r>
              <w:rPr>
                <w:color w:val="000000"/>
                <w:kern w:val="0"/>
                <w:sz w:val="24"/>
                <w:szCs w:val="24"/>
              </w:rPr>
              <w:t>37.84%</w:t>
            </w:r>
          </w:p>
        </w:tc>
        <w:tc>
          <w:tcPr>
            <w:vAlign w:val="center"/>
          </w:tcPr>
          <w:p>
            <w:pPr>
              <w:jc w:val="center"/>
            </w:pPr>
            <w:r>
              <w:rPr>
                <w:color w:val="000000"/>
                <w:kern w:val="0"/>
                <w:sz w:val="24"/>
                <w:szCs w:val="24"/>
              </w:rPr>
              <w:t>0.74%</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80.99%</w:t>
            </w:r>
          </w:p>
        </w:tc>
        <w:tc>
          <w:tcPr>
            <w:vAlign w:val="center"/>
          </w:tcPr>
          <w:p>
            <w:pPr>
              <w:jc w:val="center"/>
            </w:pPr>
            <w:r>
              <w:rPr>
                <w:color w:val="000000"/>
                <w:kern w:val="0"/>
                <w:sz w:val="24"/>
                <w:szCs w:val="24"/>
              </w:rPr>
              <w:t>1.50%</w:t>
            </w:r>
          </w:p>
        </w:tc>
        <w:tc>
          <w:tcPr>
            <w:vAlign w:val="center"/>
          </w:tcPr>
          <w:p>
            <w:pPr>
              <w:jc w:val="center"/>
            </w:pPr>
            <w:r>
              <w:rPr>
                <w:color w:val="000000"/>
                <w:kern w:val="0"/>
                <w:sz w:val="24"/>
                <w:szCs w:val="24"/>
              </w:rPr>
              <w:t>8.16%</w:t>
            </w:r>
          </w:p>
        </w:tc>
        <w:tc>
          <w:tcPr>
            <w:vAlign w:val="center"/>
          </w:tcPr>
          <w:p>
            <w:pPr>
              <w:jc w:val="center"/>
            </w:pPr>
            <w:r>
              <w:rPr>
                <w:color w:val="000000"/>
                <w:kern w:val="0"/>
                <w:sz w:val="24"/>
                <w:szCs w:val="24"/>
              </w:rPr>
              <w:t>0.81%</w:t>
            </w:r>
          </w:p>
        </w:tc>
        <w:tc>
          <w:tcPr>
            <w:vAlign w:val="center"/>
          </w:tcPr>
          <w:p>
            <w:pPr>
              <w:jc w:val="center"/>
            </w:pPr>
            <w:r>
              <w:rPr>
                <w:color w:val="000000"/>
                <w:kern w:val="0"/>
                <w:sz w:val="24"/>
                <w:szCs w:val="24"/>
              </w:rPr>
              <w:t>72.83%</w:t>
            </w:r>
          </w:p>
        </w:tc>
        <w:tc>
          <w:tcPr>
            <w:vAlign w:val="center"/>
          </w:tcPr>
          <w:p>
            <w:pPr>
              <w:jc w:val="center"/>
            </w:pPr>
            <w:r>
              <w:rPr>
                <w:color w:val="000000"/>
                <w:kern w:val="0"/>
                <w:sz w:val="24"/>
                <w:szCs w:val="24"/>
              </w:rPr>
              <w:t>0.69%</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96.27%</w:t>
            </w:r>
          </w:p>
        </w:tc>
        <w:tc>
          <w:tcPr>
            <w:vAlign w:val="center"/>
          </w:tcPr>
          <w:p>
            <w:pPr>
              <w:jc w:val="center"/>
            </w:pPr>
            <w:r>
              <w:rPr>
                <w:color w:val="000000"/>
                <w:kern w:val="0"/>
                <w:sz w:val="24"/>
                <w:szCs w:val="24"/>
              </w:rPr>
              <w:t>1.49%</w:t>
            </w:r>
          </w:p>
        </w:tc>
        <w:tc>
          <w:tcPr>
            <w:vAlign w:val="center"/>
          </w:tcPr>
          <w:p>
            <w:pPr>
              <w:jc w:val="center"/>
            </w:pPr>
            <w:r>
              <w:rPr>
                <w:color w:val="000000"/>
                <w:kern w:val="0"/>
                <w:sz w:val="24"/>
                <w:szCs w:val="24"/>
              </w:rPr>
              <w:t>8.72%</w:t>
            </w:r>
          </w:p>
        </w:tc>
        <w:tc>
          <w:tcPr>
            <w:vAlign w:val="center"/>
          </w:tcPr>
          <w:p>
            <w:pPr>
              <w:jc w:val="center"/>
            </w:pPr>
            <w:r>
              <w:rPr>
                <w:color w:val="000000"/>
                <w:kern w:val="0"/>
                <w:sz w:val="24"/>
                <w:szCs w:val="24"/>
              </w:rPr>
              <w:t>0.82%</w:t>
            </w:r>
          </w:p>
        </w:tc>
        <w:tc>
          <w:tcPr>
            <w:vAlign w:val="center"/>
          </w:tcPr>
          <w:p>
            <w:pPr>
              <w:jc w:val="center"/>
            </w:pPr>
            <w:r>
              <w:rPr>
                <w:color w:val="000000"/>
                <w:kern w:val="0"/>
                <w:sz w:val="24"/>
                <w:szCs w:val="24"/>
              </w:rPr>
              <w:t>87.55%</w:t>
            </w:r>
          </w:p>
        </w:tc>
        <w:tc>
          <w:tcPr>
            <w:vAlign w:val="center"/>
          </w:tcPr>
          <w:p>
            <w:pPr>
              <w:jc w:val="center"/>
            </w:pPr>
            <w:r>
              <w:rPr>
                <w:color w:val="000000"/>
                <w:kern w:val="0"/>
                <w:sz w:val="24"/>
                <w:szCs w:val="24"/>
              </w:rPr>
              <w:t>0.67%</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104.32%</w:t>
            </w:r>
          </w:p>
        </w:tc>
        <w:tc>
          <w:tcPr>
            <w:vAlign w:val="center"/>
          </w:tcPr>
          <w:p>
            <w:pPr>
              <w:jc w:val="center"/>
            </w:pPr>
            <w:r>
              <w:rPr>
                <w:color w:val="000000"/>
                <w:kern w:val="0"/>
                <w:sz w:val="24"/>
                <w:szCs w:val="24"/>
              </w:rPr>
              <w:t>1.76%</w:t>
            </w:r>
          </w:p>
        </w:tc>
        <w:tc>
          <w:tcPr>
            <w:vAlign w:val="center"/>
          </w:tcPr>
          <w:p>
            <w:pPr>
              <w:jc w:val="center"/>
            </w:pPr>
            <w:r>
              <w:rPr>
                <w:color w:val="000000"/>
                <w:kern w:val="0"/>
                <w:sz w:val="24"/>
                <w:szCs w:val="24"/>
              </w:rPr>
              <w:t>-4.80%</w:t>
            </w:r>
          </w:p>
        </w:tc>
        <w:tc>
          <w:tcPr>
            <w:vAlign w:val="center"/>
          </w:tcPr>
          <w:p>
            <w:pPr>
              <w:jc w:val="center"/>
            </w:pPr>
            <w:r>
              <w:rPr>
                <w:color w:val="000000"/>
                <w:kern w:val="0"/>
                <w:sz w:val="24"/>
                <w:szCs w:val="24"/>
              </w:rPr>
              <w:t>0.97%</w:t>
            </w:r>
          </w:p>
        </w:tc>
        <w:tc>
          <w:tcPr>
            <w:vAlign w:val="center"/>
          </w:tcPr>
          <w:p>
            <w:pPr>
              <w:jc w:val="center"/>
            </w:pPr>
            <w:r>
              <w:rPr>
                <w:color w:val="000000"/>
                <w:kern w:val="0"/>
                <w:sz w:val="24"/>
                <w:szCs w:val="24"/>
              </w:rPr>
              <w:t>109.12%</w:t>
            </w:r>
          </w:p>
        </w:tc>
        <w:tc>
          <w:tcPr>
            <w:vAlign w:val="center"/>
          </w:tcPr>
          <w:p>
            <w:pPr>
              <w:jc w:val="center"/>
            </w:pPr>
            <w:r>
              <w:rPr>
                <w:color w:val="000000"/>
                <w:kern w:val="0"/>
                <w:sz w:val="24"/>
                <w:szCs w:val="24"/>
              </w:rPr>
              <w:t>0.79%</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178.90%</w:t>
            </w:r>
          </w:p>
        </w:tc>
        <w:tc>
          <w:tcPr>
            <w:vAlign w:val="center"/>
          </w:tcPr>
          <w:p>
            <w:pPr>
              <w:jc w:val="center"/>
            </w:pPr>
            <w:r>
              <w:rPr>
                <w:color w:val="000000"/>
                <w:kern w:val="0"/>
                <w:sz w:val="24"/>
                <w:szCs w:val="24"/>
              </w:rPr>
              <w:t>1.84%</w:t>
            </w:r>
          </w:p>
        </w:tc>
        <w:tc>
          <w:tcPr>
            <w:vAlign w:val="center"/>
          </w:tcPr>
          <w:p>
            <w:pPr>
              <w:jc w:val="center"/>
            </w:pPr>
            <w:r>
              <w:rPr>
                <w:color w:val="000000"/>
                <w:kern w:val="0"/>
                <w:sz w:val="24"/>
                <w:szCs w:val="24"/>
              </w:rPr>
              <w:t>18.19%</w:t>
            </w:r>
          </w:p>
        </w:tc>
        <w:tc>
          <w:tcPr>
            <w:vAlign w:val="center"/>
          </w:tcPr>
          <w:p>
            <w:pPr>
              <w:jc w:val="center"/>
            </w:pPr>
            <w:r>
              <w:rPr>
                <w:color w:val="000000"/>
                <w:kern w:val="0"/>
                <w:sz w:val="24"/>
                <w:szCs w:val="24"/>
              </w:rPr>
              <w:t>1.01%</w:t>
            </w:r>
          </w:p>
        </w:tc>
        <w:tc>
          <w:tcPr>
            <w:vAlign w:val="center"/>
          </w:tcPr>
          <w:p>
            <w:pPr>
              <w:jc w:val="center"/>
            </w:pPr>
            <w:r>
              <w:rPr>
                <w:color w:val="000000"/>
                <w:kern w:val="0"/>
                <w:sz w:val="24"/>
                <w:szCs w:val="24"/>
              </w:rPr>
              <w:t>160.71%</w:t>
            </w:r>
          </w:p>
        </w:tc>
        <w:tc>
          <w:tcPr>
            <w:vAlign w:val="center"/>
          </w:tcPr>
          <w:p>
            <w:pPr>
              <w:jc w:val="center"/>
            </w:pPr>
            <w:r>
              <w:rPr>
                <w:color w:val="000000"/>
                <w:kern w:val="0"/>
                <w:sz w:val="24"/>
                <w:szCs w:val="24"/>
              </w:rPr>
              <w:t>0.83%</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易方达新经济灵活配置混合型证券投资基金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2015年2月12日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注：自基金合同生效至报告期末，基金份额净值增长率为178.90%，同期业绩比较基准收益率为18.19%。</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陈皓</w:t>
            </w:r>
          </w:p>
        </w:tc>
        <w:tc>
          <w:tcPr>
            <w:vAlign w:val="center"/>
          </w:tcPr>
          <w:p>
            <w:pPr>
              <w:jc w:val="left"/>
            </w:pPr>
            <w:r>
              <w:rPr>
                <w:color w:val="000000"/>
                <w:sz w:val="24"/>
              </w:rPr>
              <w:t>本基金的基金经理、易方达平稳增长证券投资基金的基金经理、易方达科翔混合型证券投资基金的基金经理、易方达国防军工混合型证券投资基金的基金经理（自2015年06月19日至2020年06月05日）、易方达科讯混合型证券投资基金的基金经理、易方达科融混合型证券投资基金的基金经理、易方达均衡成长股票型证券投资基金的基金经理、投资一部总经理</w:t>
            </w:r>
          </w:p>
        </w:tc>
        <w:tc>
          <w:tcPr>
            <w:vAlign w:val="center"/>
          </w:tcPr>
          <w:p>
            <w:pPr>
              <w:jc w:val="center"/>
            </w:pPr>
            <w:r>
              <w:rPr>
                <w:color w:val="000000"/>
                <w:sz w:val="24"/>
              </w:rPr>
              <w:t>2015-02-12</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易方达基金管理有限公司行业研究员、基金经理助理、基金投资部基金经理助理、投资一部总经理助理、投资一部副总经理、投资经理、易方达价值精选混合型证券投资基金基金经理、易方达供给改革灵活配置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上证综指上涨8.52%，创业板指数上涨30.25%，中证500指数上涨16.32%，市场整体涨幅较大，成长板块表现显著强于大盘蓝筹板块。新兴成长板块经过3月份的大幅调整下跌幅度较大，电子、新能源、计算机等领域的优质个股经过调整后投资风险收益比提升。二季度，疫情恐慌过后，新兴成长板块开始反弹，高新电子、云计算、新能源等代表未来成长方向的板块涨幅较大；同期医药生物板块涨幅也较大。</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本基金二季度采取了较为积极的投资策略，在成长板块经历大幅调整后加大了配置比例以及提升了组合整体仓位，并维持了组合较高股票仓位运行，取得了较好超额收益。</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截至报告期末，本基金份额净值为2.789元，本报告期份额净值增长率为37.19%，同期业绩比较基准收益率为8.97%。</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2,138,757,768.67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90.41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2,138,757,768.67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90.41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2,895,102.00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0.12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2,895,102.00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0.12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175,847,195.05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7.43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48,198,166.14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2,365,698,231.86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1,426,917,698.83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61.46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54,407,876.40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2.34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14,154,436.50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0.61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23,836,990.68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1.03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400,389,377.03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17.25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13,394,640.00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0.58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28,087,912.00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50,791,889.57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2.19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106,102,554.20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4.57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20,661,627.14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0.89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2,138,757,768.67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92.12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300476</w:t>
            </w:r>
          </w:p>
        </w:tc>
        <w:tc>
          <w:tcPr>
            <w:vAlign w:val="center"/>
          </w:tcPr>
          <w:p>
            <w:pPr>
              <w:jc w:val="center"/>
            </w:pPr>
            <w:r>
              <w:rPr>
                <w:color w:val="000000"/>
                <w:kern w:val="0"/>
                <w:sz w:val="24"/>
                <w:szCs w:val="24"/>
              </w:rPr>
              <w:t>胜宏科技</w:t>
            </w:r>
          </w:p>
        </w:tc>
        <w:tc>
          <w:tcPr>
            <w:vAlign w:val="center"/>
          </w:tcPr>
          <w:p>
            <w:pPr>
              <w:jc w:val="right"/>
            </w:pPr>
            <w:r>
              <w:rPr>
                <w:color w:val="000000"/>
                <w:kern w:val="0"/>
                <w:sz w:val="24"/>
                <w:szCs w:val="24"/>
              </w:rPr>
              <w:t>6,698,800</w:t>
            </w:r>
          </w:p>
        </w:tc>
        <w:tc>
          <w:tcPr>
            <w:vAlign w:val="center"/>
          </w:tcPr>
          <w:p>
            <w:pPr>
              <w:jc w:val="right"/>
            </w:pPr>
            <w:r>
              <w:rPr>
                <w:color w:val="000000"/>
                <w:kern w:val="0"/>
                <w:sz w:val="24"/>
                <w:szCs w:val="24"/>
              </w:rPr>
              <w:t>160,980,140.00</w:t>
            </w:r>
          </w:p>
        </w:tc>
        <w:tc>
          <w:tcPr>
            <w:vAlign w:val="center"/>
          </w:tcPr>
          <w:p>
            <w:pPr>
              <w:jc w:val="right"/>
            </w:pPr>
            <w:r>
              <w:rPr>
                <w:color w:val="000000"/>
                <w:kern w:val="0"/>
                <w:sz w:val="24"/>
                <w:szCs w:val="24"/>
              </w:rPr>
              <w:t>6.93</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600570</w:t>
            </w:r>
          </w:p>
        </w:tc>
        <w:tc>
          <w:tcPr>
            <w:vAlign w:val="center"/>
          </w:tcPr>
          <w:p>
            <w:pPr>
              <w:jc w:val="center"/>
            </w:pPr>
            <w:r>
              <w:rPr>
                <w:color w:val="000000"/>
                <w:kern w:val="0"/>
                <w:sz w:val="24"/>
                <w:szCs w:val="24"/>
              </w:rPr>
              <w:t>恒生电子</w:t>
            </w:r>
          </w:p>
        </w:tc>
        <w:tc>
          <w:tcPr>
            <w:vAlign w:val="center"/>
          </w:tcPr>
          <w:p>
            <w:pPr>
              <w:jc w:val="right"/>
            </w:pPr>
            <w:r>
              <w:rPr>
                <w:color w:val="000000"/>
                <w:kern w:val="0"/>
                <w:sz w:val="24"/>
                <w:szCs w:val="24"/>
              </w:rPr>
              <w:t>963,074</w:t>
            </w:r>
          </w:p>
        </w:tc>
        <w:tc>
          <w:tcPr>
            <w:vAlign w:val="center"/>
          </w:tcPr>
          <w:p>
            <w:pPr>
              <w:jc w:val="right"/>
            </w:pPr>
            <w:r>
              <w:rPr>
                <w:color w:val="000000"/>
                <w:kern w:val="0"/>
                <w:sz w:val="24"/>
                <w:szCs w:val="24"/>
              </w:rPr>
              <w:t>103,723,069.80</w:t>
            </w:r>
          </w:p>
        </w:tc>
        <w:tc>
          <w:tcPr>
            <w:vAlign w:val="center"/>
          </w:tcPr>
          <w:p>
            <w:pPr>
              <w:jc w:val="right"/>
            </w:pPr>
            <w:r>
              <w:rPr>
                <w:color w:val="000000"/>
                <w:kern w:val="0"/>
                <w:sz w:val="24"/>
                <w:szCs w:val="24"/>
              </w:rPr>
              <w:t>4.47</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300014</w:t>
            </w:r>
          </w:p>
        </w:tc>
        <w:tc>
          <w:tcPr>
            <w:vAlign w:val="center"/>
          </w:tcPr>
          <w:p>
            <w:pPr>
              <w:jc w:val="center"/>
            </w:pPr>
            <w:r>
              <w:rPr>
                <w:color w:val="000000"/>
                <w:kern w:val="0"/>
                <w:sz w:val="24"/>
                <w:szCs w:val="24"/>
              </w:rPr>
              <w:t>亿纬锂能</w:t>
            </w:r>
          </w:p>
        </w:tc>
        <w:tc>
          <w:tcPr>
            <w:vAlign w:val="center"/>
          </w:tcPr>
          <w:p>
            <w:pPr>
              <w:jc w:val="right"/>
            </w:pPr>
            <w:r>
              <w:rPr>
                <w:color w:val="000000"/>
                <w:kern w:val="0"/>
                <w:sz w:val="24"/>
                <w:szCs w:val="24"/>
              </w:rPr>
              <w:t>1,968,563</w:t>
            </w:r>
          </w:p>
        </w:tc>
        <w:tc>
          <w:tcPr>
            <w:vAlign w:val="center"/>
          </w:tcPr>
          <w:p>
            <w:pPr>
              <w:jc w:val="right"/>
            </w:pPr>
            <w:r>
              <w:rPr>
                <w:color w:val="000000"/>
                <w:kern w:val="0"/>
                <w:sz w:val="24"/>
                <w:szCs w:val="24"/>
              </w:rPr>
              <w:t>91,578,232.38</w:t>
            </w:r>
          </w:p>
        </w:tc>
        <w:tc>
          <w:tcPr>
            <w:vAlign w:val="center"/>
          </w:tcPr>
          <w:p>
            <w:pPr>
              <w:jc w:val="right"/>
            </w:pPr>
            <w:r>
              <w:rPr>
                <w:color w:val="000000"/>
                <w:kern w:val="0"/>
                <w:sz w:val="24"/>
                <w:szCs w:val="24"/>
              </w:rPr>
              <w:t>3.94</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479,657</w:t>
            </w:r>
          </w:p>
        </w:tc>
        <w:tc>
          <w:tcPr>
            <w:vAlign w:val="center"/>
          </w:tcPr>
          <w:p>
            <w:pPr>
              <w:jc w:val="right"/>
            </w:pPr>
            <w:r>
              <w:rPr>
                <w:color w:val="000000"/>
                <w:kern w:val="0"/>
                <w:sz w:val="24"/>
                <w:szCs w:val="24"/>
              </w:rPr>
              <w:t>82,078,905.84</w:t>
            </w:r>
          </w:p>
        </w:tc>
        <w:tc>
          <w:tcPr>
            <w:vAlign w:val="center"/>
          </w:tcPr>
          <w:p>
            <w:pPr>
              <w:jc w:val="right"/>
            </w:pPr>
            <w:r>
              <w:rPr>
                <w:color w:val="000000"/>
                <w:kern w:val="0"/>
                <w:sz w:val="24"/>
                <w:szCs w:val="24"/>
              </w:rPr>
              <w:t>3.54</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603520</w:t>
            </w:r>
          </w:p>
        </w:tc>
        <w:tc>
          <w:tcPr>
            <w:vAlign w:val="center"/>
          </w:tcPr>
          <w:p>
            <w:pPr>
              <w:jc w:val="center"/>
            </w:pPr>
            <w:r>
              <w:rPr>
                <w:color w:val="000000"/>
                <w:kern w:val="0"/>
                <w:sz w:val="24"/>
                <w:szCs w:val="24"/>
              </w:rPr>
              <w:t>司太立</w:t>
            </w:r>
          </w:p>
        </w:tc>
        <w:tc>
          <w:tcPr>
            <w:vAlign w:val="center"/>
          </w:tcPr>
          <w:p>
            <w:pPr>
              <w:jc w:val="right"/>
            </w:pPr>
            <w:r>
              <w:rPr>
                <w:color w:val="000000"/>
                <w:kern w:val="0"/>
                <w:sz w:val="24"/>
                <w:szCs w:val="24"/>
              </w:rPr>
              <w:t>950,257</w:t>
            </w:r>
          </w:p>
        </w:tc>
        <w:tc>
          <w:tcPr>
            <w:vAlign w:val="center"/>
          </w:tcPr>
          <w:p>
            <w:pPr>
              <w:jc w:val="right"/>
            </w:pPr>
            <w:r>
              <w:rPr>
                <w:color w:val="000000"/>
                <w:kern w:val="0"/>
                <w:sz w:val="24"/>
                <w:szCs w:val="24"/>
              </w:rPr>
              <w:t>79,878,603.42</w:t>
            </w:r>
          </w:p>
        </w:tc>
        <w:tc>
          <w:tcPr>
            <w:vAlign w:val="center"/>
          </w:tcPr>
          <w:p>
            <w:pPr>
              <w:jc w:val="right"/>
            </w:pPr>
            <w:r>
              <w:rPr>
                <w:color w:val="000000"/>
                <w:kern w:val="0"/>
                <w:sz w:val="24"/>
                <w:szCs w:val="24"/>
              </w:rPr>
              <w:t>3.44</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000403</w:t>
            </w:r>
          </w:p>
        </w:tc>
        <w:tc>
          <w:tcPr>
            <w:vAlign w:val="center"/>
          </w:tcPr>
          <w:p>
            <w:pPr>
              <w:jc w:val="center"/>
            </w:pPr>
            <w:r>
              <w:rPr>
                <w:color w:val="000000"/>
                <w:kern w:val="0"/>
                <w:sz w:val="24"/>
                <w:szCs w:val="24"/>
              </w:rPr>
              <w:t>双林生物</w:t>
            </w:r>
          </w:p>
        </w:tc>
        <w:tc>
          <w:tcPr>
            <w:vAlign w:val="center"/>
          </w:tcPr>
          <w:p>
            <w:pPr>
              <w:jc w:val="right"/>
            </w:pPr>
            <w:r>
              <w:rPr>
                <w:color w:val="000000"/>
                <w:kern w:val="0"/>
                <w:sz w:val="24"/>
                <w:szCs w:val="24"/>
              </w:rPr>
              <w:t>1,058,131</w:t>
            </w:r>
          </w:p>
        </w:tc>
        <w:tc>
          <w:tcPr>
            <w:vAlign w:val="center"/>
          </w:tcPr>
          <w:p>
            <w:pPr>
              <w:jc w:val="right"/>
            </w:pPr>
            <w:r>
              <w:rPr>
                <w:color w:val="000000"/>
                <w:kern w:val="0"/>
                <w:sz w:val="24"/>
                <w:szCs w:val="24"/>
              </w:rPr>
              <w:t>78,439,251.03</w:t>
            </w:r>
          </w:p>
        </w:tc>
        <w:tc>
          <w:tcPr>
            <w:vAlign w:val="center"/>
          </w:tcPr>
          <w:p>
            <w:pPr>
              <w:jc w:val="right"/>
            </w:pPr>
            <w:r>
              <w:rPr>
                <w:color w:val="000000"/>
                <w:kern w:val="0"/>
                <w:sz w:val="24"/>
                <w:szCs w:val="24"/>
              </w:rPr>
              <w:t>3.38</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603259</w:t>
            </w:r>
          </w:p>
        </w:tc>
        <w:tc>
          <w:tcPr>
            <w:vAlign w:val="center"/>
          </w:tcPr>
          <w:p>
            <w:pPr>
              <w:jc w:val="center"/>
            </w:pPr>
            <w:r>
              <w:rPr>
                <w:color w:val="000000"/>
                <w:kern w:val="0"/>
                <w:sz w:val="24"/>
                <w:szCs w:val="24"/>
              </w:rPr>
              <w:t>药明康德</w:t>
            </w:r>
          </w:p>
        </w:tc>
        <w:tc>
          <w:tcPr>
            <w:vAlign w:val="center"/>
          </w:tcPr>
          <w:p>
            <w:pPr>
              <w:jc w:val="right"/>
            </w:pPr>
            <w:r>
              <w:rPr>
                <w:color w:val="000000"/>
                <w:kern w:val="0"/>
                <w:sz w:val="24"/>
                <w:szCs w:val="24"/>
              </w:rPr>
              <w:t>808,257</w:t>
            </w:r>
          </w:p>
        </w:tc>
        <w:tc>
          <w:tcPr>
            <w:vAlign w:val="center"/>
          </w:tcPr>
          <w:p>
            <w:pPr>
              <w:jc w:val="right"/>
            </w:pPr>
            <w:r>
              <w:rPr>
                <w:color w:val="000000"/>
                <w:kern w:val="0"/>
                <w:sz w:val="24"/>
                <w:szCs w:val="24"/>
              </w:rPr>
              <w:t>78,077,626.20</w:t>
            </w:r>
          </w:p>
        </w:tc>
        <w:tc>
          <w:tcPr>
            <w:vAlign w:val="center"/>
          </w:tcPr>
          <w:p>
            <w:pPr>
              <w:jc w:val="right"/>
            </w:pPr>
            <w:r>
              <w:rPr>
                <w:color w:val="000000"/>
                <w:kern w:val="0"/>
                <w:sz w:val="24"/>
                <w:szCs w:val="24"/>
              </w:rPr>
              <w:t>3.36</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300628</w:t>
            </w:r>
          </w:p>
        </w:tc>
        <w:tc>
          <w:tcPr>
            <w:vAlign w:val="center"/>
          </w:tcPr>
          <w:p>
            <w:pPr>
              <w:jc w:val="center"/>
            </w:pPr>
            <w:r>
              <w:rPr>
                <w:color w:val="000000"/>
                <w:kern w:val="0"/>
                <w:sz w:val="24"/>
                <w:szCs w:val="24"/>
              </w:rPr>
              <w:t>亿联网络</w:t>
            </w:r>
          </w:p>
        </w:tc>
        <w:tc>
          <w:tcPr>
            <w:vAlign w:val="center"/>
          </w:tcPr>
          <w:p>
            <w:pPr>
              <w:jc w:val="right"/>
            </w:pPr>
            <w:r>
              <w:rPr>
                <w:color w:val="000000"/>
                <w:kern w:val="0"/>
                <w:sz w:val="24"/>
                <w:szCs w:val="24"/>
              </w:rPr>
              <w:t>898,743</w:t>
            </w:r>
          </w:p>
        </w:tc>
        <w:tc>
          <w:tcPr>
            <w:vAlign w:val="center"/>
          </w:tcPr>
          <w:p>
            <w:pPr>
              <w:jc w:val="right"/>
            </w:pPr>
            <w:r>
              <w:rPr>
                <w:color w:val="000000"/>
                <w:kern w:val="0"/>
                <w:sz w:val="24"/>
                <w:szCs w:val="24"/>
              </w:rPr>
              <w:t>61,348,197.18</w:t>
            </w:r>
          </w:p>
        </w:tc>
        <w:tc>
          <w:tcPr>
            <w:vAlign w:val="center"/>
          </w:tcPr>
          <w:p>
            <w:pPr>
              <w:jc w:val="right"/>
            </w:pPr>
            <w:r>
              <w:rPr>
                <w:color w:val="000000"/>
                <w:kern w:val="0"/>
                <w:sz w:val="24"/>
                <w:szCs w:val="24"/>
              </w:rPr>
              <w:t>2.64</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300033</w:t>
            </w:r>
          </w:p>
        </w:tc>
        <w:tc>
          <w:tcPr>
            <w:vAlign w:val="center"/>
          </w:tcPr>
          <w:p>
            <w:pPr>
              <w:jc w:val="center"/>
            </w:pPr>
            <w:r>
              <w:rPr>
                <w:color w:val="000000"/>
                <w:kern w:val="0"/>
                <w:sz w:val="24"/>
                <w:szCs w:val="24"/>
              </w:rPr>
              <w:t>同花顺</w:t>
            </w:r>
          </w:p>
        </w:tc>
        <w:tc>
          <w:tcPr>
            <w:vAlign w:val="center"/>
          </w:tcPr>
          <w:p>
            <w:pPr>
              <w:jc w:val="right"/>
            </w:pPr>
            <w:r>
              <w:rPr>
                <w:color w:val="000000"/>
                <w:kern w:val="0"/>
                <w:sz w:val="24"/>
                <w:szCs w:val="24"/>
              </w:rPr>
              <w:t>456,306</w:t>
            </w:r>
          </w:p>
        </w:tc>
        <w:tc>
          <w:tcPr>
            <w:vAlign w:val="center"/>
          </w:tcPr>
          <w:p>
            <w:pPr>
              <w:jc w:val="right"/>
            </w:pPr>
            <w:r>
              <w:rPr>
                <w:color w:val="000000"/>
                <w:kern w:val="0"/>
                <w:sz w:val="24"/>
                <w:szCs w:val="24"/>
              </w:rPr>
              <w:t>60,725,202.48</w:t>
            </w:r>
          </w:p>
        </w:tc>
        <w:tc>
          <w:tcPr>
            <w:vAlign w:val="center"/>
          </w:tcPr>
          <w:p>
            <w:pPr>
              <w:jc w:val="right"/>
            </w:pPr>
            <w:r>
              <w:rPr>
                <w:color w:val="000000"/>
                <w:kern w:val="0"/>
                <w:sz w:val="24"/>
                <w:szCs w:val="24"/>
              </w:rPr>
              <w:t>2.62</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39,000</w:t>
            </w:r>
          </w:p>
        </w:tc>
        <w:tc>
          <w:tcPr>
            <w:vAlign w:val="center"/>
          </w:tcPr>
          <w:p>
            <w:pPr>
              <w:jc w:val="right"/>
            </w:pPr>
            <w:r>
              <w:rPr>
                <w:color w:val="000000"/>
                <w:kern w:val="0"/>
                <w:sz w:val="24"/>
                <w:szCs w:val="24"/>
              </w:rPr>
              <w:t>57,052,320.00</w:t>
            </w:r>
          </w:p>
        </w:tc>
        <w:tc>
          <w:tcPr>
            <w:vAlign w:val="center"/>
          </w:tcPr>
          <w:p>
            <w:pPr>
              <w:jc w:val="right"/>
            </w:pPr>
            <w:r>
              <w:rPr>
                <w:color w:val="000000"/>
                <w:kern w:val="0"/>
                <w:sz w:val="24"/>
                <w:szCs w:val="24"/>
              </w:rPr>
              <w:t>2.46</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2,895,102.00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0.12</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2,895,102.00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0.12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113577</w:t>
            </w:r>
          </w:p>
        </w:tc>
        <w:tc>
          <w:tcPr>
            <w:vAlign w:val="center"/>
          </w:tcPr>
          <w:p>
            <w:pPr>
              <w:jc w:val="center"/>
            </w:pPr>
            <w:r>
              <w:rPr>
                <w:color w:val="000000"/>
                <w:kern w:val="0"/>
                <w:sz w:val="24"/>
                <w:szCs w:val="24"/>
              </w:rPr>
              <w:t>春秋转债</w:t>
            </w:r>
          </w:p>
        </w:tc>
        <w:tc>
          <w:tcPr>
            <w:vAlign w:val="center"/>
          </w:tcPr>
          <w:p>
            <w:pPr>
              <w:jc w:val="right"/>
            </w:pPr>
            <w:r>
              <w:rPr>
                <w:color w:val="000000"/>
                <w:kern w:val="0"/>
                <w:sz w:val="24"/>
                <w:szCs w:val="24"/>
              </w:rPr>
              <w:t>18,630</w:t>
            </w:r>
          </w:p>
        </w:tc>
        <w:tc>
          <w:tcPr>
            <w:vAlign w:val="center"/>
          </w:tcPr>
          <w:p>
            <w:pPr>
              <w:jc w:val="right"/>
            </w:pPr>
            <w:r>
              <w:rPr>
                <w:color w:val="000000"/>
                <w:kern w:val="0"/>
                <w:sz w:val="24"/>
                <w:szCs w:val="24"/>
              </w:rPr>
              <w:t>2,895,102.00</w:t>
            </w:r>
          </w:p>
        </w:tc>
        <w:tc>
          <w:tcPr>
            <w:vAlign w:val="center"/>
          </w:tcPr>
          <w:p>
            <w:pPr>
              <w:jc w:val="right"/>
            </w:pPr>
            <w:r>
              <w:rPr>
                <w:color w:val="000000"/>
                <w:kern w:val="0"/>
                <w:sz w:val="24"/>
                <w:szCs w:val="24"/>
              </w:rPr>
              <w:t>0.12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494,471.78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15,078.41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47,688,615.95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48,198,166.14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750D48" w:rsidRPr="00264E55" w:rsidTr="00B05049">
        <w:tc>
          <w:tcPr>
            <w:tcW w:type="dxa" w:w="1083"/>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302"/>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股票代码</w:t>
            </w:r>
          </w:p>
        </w:tc>
        <w:tc>
          <w:tcPr>
            <w:tcW w:type="dxa" w:w="1301"/>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股票名称</w:t>
            </w:r>
          </w:p>
        </w:tc>
        <w:tc>
          <w:tcPr>
            <w:tcW w:type="dxa" w:w="180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流通受限部分的公允价值</w:t>
            </w:r>
            <w:r w:rsidR="005F7917" w:rsidRPr="00B227EA">
              <w:rPr>
                <w:color w:val="000000"/>
                <w:kern w:val="0"/>
                <w:sz w:val="24"/>
                <w:szCs w:val="24"/>
              </w:rPr>
              <w:t>（元）</w:t>
            </w:r>
          </w:p>
        </w:tc>
        <w:tc>
          <w:tcPr>
            <w:tcW w:type="dxa" w:w="165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c>
          <w:tcPr>
            <w:tcW w:type="dxa" w:w="1367"/>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流通受限情况说明</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300014</w:t>
            </w:r>
          </w:p>
        </w:tc>
        <w:tc>
          <w:tcPr>
            <w:vAlign w:val="center"/>
          </w:tcPr>
          <w:p>
            <w:pPr>
              <w:jc w:val="center"/>
            </w:pPr>
            <w:r>
              <w:rPr>
                <w:color w:val="000000"/>
                <w:kern w:val="0"/>
                <w:sz w:val="24"/>
                <w:szCs w:val="24"/>
              </w:rPr>
              <w:t>亿纬锂能</w:t>
            </w:r>
          </w:p>
        </w:tc>
        <w:tc>
          <w:tcPr>
            <w:vAlign w:val="center"/>
          </w:tcPr>
          <w:p>
            <w:pPr>
              <w:jc w:val="right"/>
            </w:pPr>
            <w:r>
              <w:rPr>
                <w:color w:val="000000"/>
                <w:kern w:val="0"/>
                <w:sz w:val="24"/>
                <w:szCs w:val="24"/>
              </w:rPr>
              <w:t>24,669,577.38</w:t>
            </w:r>
          </w:p>
        </w:tc>
        <w:tc>
          <w:tcPr>
            <w:vAlign w:val="center"/>
          </w:tcPr>
          <w:p>
            <w:pPr>
              <w:jc w:val="right"/>
            </w:pPr>
            <w:r>
              <w:rPr>
                <w:color w:val="000000"/>
                <w:kern w:val="0"/>
                <w:sz w:val="24"/>
                <w:szCs w:val="24"/>
              </w:rPr>
              <w:t>1.06</w:t>
            </w:r>
          </w:p>
        </w:tc>
        <w:tc>
          <w:tcPr>
            <w:vAlign w:val="center"/>
          </w:tcPr>
          <w:p>
            <w:pPr>
              <w:jc w:val="right"/>
            </w:pPr>
            <w:r>
              <w:rPr>
                <w:color w:val="000000"/>
                <w:kern w:val="0"/>
                <w:sz w:val="24"/>
                <w:szCs w:val="24"/>
              </w:rPr>
              <w:t>大宗交易流通受限</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300476</w:t>
            </w:r>
          </w:p>
        </w:tc>
        <w:tc>
          <w:tcPr>
            <w:vAlign w:val="center"/>
          </w:tcPr>
          <w:p>
            <w:pPr>
              <w:jc w:val="center"/>
            </w:pPr>
            <w:r>
              <w:rPr>
                <w:color w:val="000000"/>
                <w:kern w:val="0"/>
                <w:sz w:val="24"/>
                <w:szCs w:val="24"/>
              </w:rPr>
              <w:t>胜宏科技</w:t>
            </w:r>
          </w:p>
        </w:tc>
        <w:tc>
          <w:tcPr>
            <w:vAlign w:val="center"/>
          </w:tcPr>
          <w:p>
            <w:pPr>
              <w:jc w:val="right"/>
            </w:pPr>
            <w:r>
              <w:rPr>
                <w:color w:val="000000"/>
                <w:kern w:val="0"/>
                <w:sz w:val="24"/>
                <w:szCs w:val="24"/>
              </w:rPr>
              <w:t>7,089,000.00</w:t>
            </w:r>
          </w:p>
        </w:tc>
        <w:tc>
          <w:tcPr>
            <w:vAlign w:val="center"/>
          </w:tcPr>
          <w:p>
            <w:pPr>
              <w:jc w:val="right"/>
            </w:pPr>
            <w:r>
              <w:rPr>
                <w:color w:val="000000"/>
                <w:kern w:val="0"/>
                <w:sz w:val="24"/>
                <w:szCs w:val="24"/>
              </w:rPr>
              <w:t>0.31</w:t>
            </w:r>
          </w:p>
        </w:tc>
        <w:tc>
          <w:tcPr>
            <w:vAlign w:val="center"/>
          </w:tcPr>
          <w:p>
            <w:pPr>
              <w:jc w:val="right"/>
            </w:pPr>
            <w:r>
              <w:rPr>
                <w:color w:val="000000"/>
                <w:kern w:val="0"/>
                <w:sz w:val="24"/>
                <w:szCs w:val="24"/>
              </w:rPr>
              <w:t>大宗交易流通受限</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注：根据《深圳/上海证券交易所上市公司股东及董事、监事、高级管理人员减持股份实施细则》，大股东减持或者特定股东减持，采取大宗交易方式的，在任意连续90日内，减持股份的总数不得超过公司股份总数的2%；前款交易的受让方在受让后6个月内，不得转让所受让的股份。</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769,590,601.82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241,342,126.82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178,359,599.22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832,573,129.42</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AC11B0" w:rsidR="00AC11B0" w:rsidRDefault="00AC11B0" w:rsidRPr="005A564A">
      <w:pPr>
        <w:autoSpaceDE w:val="0"/>
        <w:autoSpaceDN w:val="0"/>
        <w:adjustRightInd w:val="0"/>
        <w:spacing w:before="29" w:line="360" w:lineRule="auto"/>
        <w:ind w:left="15"/>
        <w:jc w:val="right"/>
        <w:rPr>
          <w:sz w:val="24"/>
        </w:rPr>
      </w:pPr>
      <w:r w:rsidRPr="005A564A">
        <w:rPr>
          <w:sz w:val="24"/>
        </w:rPr>
        <w:t/>
      </w:r>
      <w:proofErr w:type="spellStart"/>
      <w:r w:rsidRPr="005A564A">
        <w:rPr>
          <w:sz w:val="24"/>
        </w:rPr>
        <w:t/>
      </w:r>
      <w:proofErr w:type="spellEnd"/>
      <w:r w:rsidRPr="005A564A">
        <w:rPr>
          <w:sz w:val="24"/>
        </w:rPr>
        <w:t/>
      </w:r>
      <w:r w:rsidRPr="005A564A">
        <w:rPr>
          <w:sz w:val="24"/>
        </w:rPr>
        <w:t>单位：份</w:t>
      </w:r>
    </w:p>
    <w:tbl>
      <w:tblPr>
        <w:tblW w:type="dxa" w:w="8415"/>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5037"/>
        <w:gridCol w:w="3378"/>
      </w:tblGrid>
      <w:tr w:rsidR="00AC11B0" w:rsidRPr="003B42FF" w:rsidTr="003B5535">
        <w:tc>
          <w:tcPr>
            <w:tcW w:type="dxa" w:w="5037"/>
            <w:vAlign w:val="center"/>
            <w:hideMark/>
          </w:tcPr>
          <w:p w:rsidP="003328D9" w:rsidR="00AC11B0" w:rsidRDefault="00AC11B0" w:rsidRPr="003B42FF">
            <w:pPr>
              <w:pStyle w:val="ad"/>
              <w:adjustRightInd w:val="0"/>
              <w:snapToGrid w:val="0"/>
              <w:spacing w:line="360" w:lineRule="exact"/>
              <w:rPr>
                <w:rFonts w:eastAsiaTheme="minorEastAsia"/>
                <w:color w:themeColor="text1" w:val="000000"/>
              </w:rPr>
            </w:pPr>
            <w:r w:rsidRPr="003B42FF">
              <w:rPr>
                <w:rFonts w:eastAsiaTheme="minorEastAsia"/>
                <w:color w:themeColor="text1" w:val="000000"/>
              </w:rPr>
              <w:t>报告期期初管理人持有的本基金份额</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3B42FF">
              <w:rPr>
                <w:rFonts w:eastAsiaTheme="minorEastAsia"/>
                <w:color w:themeColor="text1" w:val="000000"/>
              </w:rPr>
              <w:t/>
            </w:r>
            <w:proofErr w:type="spellStart"/>
            <w:r w:rsidRPr="003B42FF">
              <w:rPr>
                <w:rFonts w:eastAsiaTheme="minorEastAsia"/>
                <w:color w:themeColor="text1" w:val="000000"/>
              </w:rPr>
              <w:t/>
            </w:r>
            <w:proofErr w:type="spellEnd"/>
            <w:r w:rsidRPr="003B42FF">
              <w:rPr>
                <w:rFonts w:eastAsiaTheme="minorEastAsia"/>
                <w:color w:themeColor="text1" w:val="000000"/>
              </w:rPr>
              <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49,602,678.57</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买入</w:t>
            </w:r>
            <w:r w:rsidRPr="003B42FF">
              <w:rPr>
                <w:rFonts w:eastAsiaTheme="minorEastAsia"/>
                <w:color w:themeColor="text1" w:val="000000"/>
                <w:sz w:val="24"/>
                <w:szCs w:val="24"/>
              </w:rPr>
              <w:t>/</w:t>
            </w:r>
            <w:r w:rsidRPr="003B42FF">
              <w:rPr>
                <w:rFonts w:eastAsiaTheme="minorEastAsia"/>
                <w:color w:themeColor="text1" w:val="000000"/>
                <w:sz w:val="24"/>
                <w:szCs w:val="24"/>
              </w:rPr>
              <w:t>申购总份额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卖出</w:t>
            </w:r>
            <w:r w:rsidRPr="003B42FF">
              <w:rPr>
                <w:rFonts w:eastAsiaTheme="minorEastAsia"/>
                <w:color w:themeColor="text1" w:val="000000"/>
                <w:sz w:val="24"/>
                <w:szCs w:val="24"/>
              </w:rPr>
              <w:t>/</w:t>
            </w:r>
            <w:r w:rsidRPr="003B42FF">
              <w:rPr>
                <w:rFonts w:eastAsiaTheme="minorEastAsia"/>
                <w:color w:themeColor="text1" w:val="000000"/>
                <w:sz w:val="24"/>
                <w:szCs w:val="24"/>
              </w:rPr>
              <w:t>赎回总份额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报告期期末管理人持有的本基金份额</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49,602,678.57</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报告期期末持有的本基金份额占基金总份额比例（</w:t>
            </w:r>
            <w:r w:rsidRPr="003B42FF">
              <w:rPr>
                <w:rFonts w:eastAsiaTheme="minorEastAsia"/>
                <w:color w:themeColor="text1" w:val="000000"/>
                <w:sz w:val="24"/>
                <w:szCs w:val="24"/>
              </w:rPr>
              <w:t>%</w:t>
            </w:r>
            <w:r w:rsidRPr="003B42FF">
              <w:rPr>
                <w:rFonts w:eastAsiaTheme="minorEastAsia"/>
                <w:color w:themeColor="text1" w:val="000000"/>
                <w:sz w:val="24"/>
                <w:szCs w:val="24"/>
              </w:rPr>
              <w:t>）</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5.9578</w:t>
            </w:r>
          </w:p>
        </w:tc>
      </w:tr>
    </w:tbl>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本报告期内基金管理人未运用固有资金申购、赎回、买卖本基金份额。 </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1.中国证监会准予易方达新经济灵活配置混合型证券投资基金注册的文件；</w:t>
      </w:r>
    </w:p>
    <w:p>
      <w:pPr>
        <w:spacing w:line="360" w:lineRule="auto"/>
        <w:ind w:firstLine="480" w:firstLineChars="200"/>
        <w:rPr>
          <w:color w:val="000000"/>
          <w:sz w:val="24"/>
          <w:szCs w:val="24"/>
        </w:rPr>
      </w:pPr>
      <w:r>
        <w:rPr>
          <w:color w:val="000000"/>
          <w:sz w:val="24"/>
          <w:szCs w:val="24"/>
        </w:rPr>
        <w:t>2.《易方达新经济灵活配置混合型证券投资基金基金合同》；</w:t>
      </w:r>
    </w:p>
    <w:p>
      <w:pPr>
        <w:spacing w:line="360" w:lineRule="auto"/>
        <w:ind w:firstLine="480" w:firstLineChars="200"/>
        <w:rPr>
          <w:color w:val="000000"/>
          <w:sz w:val="24"/>
          <w:szCs w:val="24"/>
        </w:rPr>
      </w:pPr>
      <w:r>
        <w:rPr>
          <w:color w:val="000000"/>
          <w:sz w:val="24"/>
          <w:szCs w:val="24"/>
        </w:rPr>
        <w:t>3.《易方达新经济灵活配置混合型证券投资基金托管协议》；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易方达新经济灵活配置混合型证券投资基金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