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814461" w:rsidR="00701DE9" w:rsidRDefault="00701DE9" w:rsidRPr="006662B2">
      <w:pPr>
        <w:spacing w:line="360" w:lineRule="auto"/>
        <w:jc w:val="center"/>
        <w:rPr>
          <w:rFonts w:ascii="宋体"/>
          <w:b/>
          <w:bCs/>
          <w:color w:val="000000"/>
          <w:sz w:val="24"/>
        </w:rPr>
      </w:pPr>
    </w:p>
    <w:p w:rsidP="00814461" w:rsidR="00701DE9" w:rsidRDefault="00701DE9" w:rsidRPr="006662B2">
      <w:pPr>
        <w:spacing w:line="360" w:lineRule="auto"/>
        <w:jc w:val="center"/>
        <w:rPr>
          <w:rFonts w:ascii="宋体"/>
          <w:b/>
          <w:bCs/>
          <w:color w:val="000000"/>
          <w:sz w:val="24"/>
        </w:rPr>
      </w:pPr>
    </w:p>
    <w:p w:rsidP="00814461" w:rsidR="00701DE9" w:rsidRDefault="00701DE9" w:rsidRPr="006662B2">
      <w:pPr>
        <w:spacing w:line="360" w:lineRule="auto"/>
        <w:jc w:val="center"/>
        <w:rPr>
          <w:rFonts w:ascii="宋体"/>
          <w:b/>
          <w:bCs/>
          <w:color w:val="000000"/>
          <w:sz w:val="24"/>
        </w:rPr>
      </w:pPr>
    </w:p>
    <w:p w:rsidP="000A22A2" w:rsidR="00701DE9" w:rsidRDefault="00701DE9" w:rsidRPr="006662B2">
      <w:pPr>
        <w:spacing w:line="360" w:lineRule="auto"/>
        <w:jc w:val="center"/>
        <w:rPr>
          <w:rFonts w:ascii="宋体" w:hAnsi="宋体"/>
          <w:b/>
          <w:sz w:val="36"/>
          <w:szCs w:val="36"/>
        </w:rPr>
      </w:pPr>
      <w:r w:rsidRPr="006662B2">
        <w:rPr>
          <w:rFonts w:ascii="宋体"/>
          <w:b/>
          <w:sz w:val="36"/>
          <w:szCs w:val="36"/>
        </w:rPr>
        <w:t/>
      </w:r>
      <w:proofErr w:type="spellStart"/>
      <w:proofErr w:type="gramStart"/>
      <w:r w:rsidRPr="006662B2">
        <w:rPr>
          <w:rFonts w:ascii="宋体" w:hAnsi="宋体"/>
          <w:b/>
          <w:sz w:val="36"/>
          <w:szCs w:val="36"/>
        </w:rPr>
        <w:t/>
      </w:r>
      <w:proofErr w:type="spellEnd"/>
      <w:proofErr w:type="gramEnd"/>
      <w:r w:rsidRPr="006662B2">
        <w:rPr>
          <w:rFonts w:ascii="宋体" w:hAnsi="宋体"/>
          <w:b/>
          <w:sz w:val="36"/>
          <w:szCs w:val="36"/>
        </w:rPr>
        <w:t>易方达增金宝货币市场基金</w:t>
      </w:r>
    </w:p>
    <w:p w:rsidP="000A22A2" w:rsidR="00701DE9" w:rsidRDefault="00701DE9" w:rsidRPr="006662B2">
      <w:pPr>
        <w:spacing w:line="360" w:lineRule="auto"/>
        <w:jc w:val="center"/>
        <w:rPr>
          <w:rFonts w:ascii="宋体" w:hAnsi="宋体"/>
          <w:b/>
          <w:sz w:val="36"/>
          <w:szCs w:val="36"/>
        </w:rPr>
      </w:pPr>
      <w:r w:rsidRPr="006662B2">
        <w:rPr>
          <w:rFonts w:ascii="宋体" w:hAnsi="宋体"/>
          <w:b/>
          <w:sz w:val="36"/>
          <w:szCs w:val="36"/>
        </w:rPr>
        <w:t/>
      </w:r>
      <w:proofErr w:type="spellStart"/>
      <w:r w:rsidRPr="006662B2">
        <w:rPr>
          <w:rFonts w:ascii="宋体" w:hAnsi="宋体"/>
          <w:b/>
          <w:sz w:val="36"/>
          <w:szCs w:val="36"/>
        </w:rPr>
        <w:t/>
      </w:r>
      <w:proofErr w:type="spellEnd"/>
      <w:r w:rsidRPr="006662B2">
        <w:rPr>
          <w:rFonts w:ascii="宋体" w:hAnsi="宋体"/>
          <w:b/>
          <w:sz w:val="36"/>
          <w:szCs w:val="36"/>
        </w:rPr>
        <w:t>2020年第2季度报告</w:t>
      </w:r>
    </w:p>
    <w:p w:rsidP="000A22A2" w:rsidR="00701DE9" w:rsidRDefault="00701DE9" w:rsidRPr="00447795">
      <w:pPr>
        <w:spacing w:line="360" w:lineRule="auto"/>
        <w:jc w:val="center"/>
        <w:rPr>
          <w:rFonts w:ascii="宋体" w:hAnsi="宋体"/>
          <w:b/>
          <w:sz w:val="24"/>
          <w:szCs w:val="36"/>
        </w:rPr>
      </w:pPr>
      <w:r w:rsidRPr="00447795">
        <w:rPr>
          <w:rFonts w:ascii="宋体"/>
          <w:b/>
          <w:sz w:val="24"/>
          <w:szCs w:val="36"/>
        </w:rPr>
        <w:t/>
      </w:r>
      <w:proofErr w:type="spellStart"/>
      <w:proofErr w:type="gramStart"/>
      <w:r w:rsidRPr="00447795">
        <w:rPr>
          <w:rFonts w:ascii="宋体" w:hAnsi="宋体"/>
          <w:b/>
          <w:sz w:val="24"/>
          <w:szCs w:val="36"/>
        </w:rPr>
        <w:t/>
      </w:r>
      <w:proofErr w:type="spellEnd"/>
      <w:proofErr w:type="gramEnd"/>
      <w:r w:rsidRPr="00447795">
        <w:rPr>
          <w:rFonts w:ascii="宋体" w:hAnsi="宋体"/>
          <w:b/>
          <w:sz w:val="24"/>
          <w:szCs w:val="36"/>
        </w:rPr>
        <w:t>2020年6月30日</w:t>
      </w:r>
    </w:p>
    <w:p w:rsidP="00814461" w:rsidR="00701DE9" w:rsidRDefault="00701DE9" w:rsidRPr="006662B2">
      <w:pPr>
        <w:spacing w:line="360" w:lineRule="auto"/>
        <w:jc w:val="center"/>
        <w:rPr>
          <w:rFonts w:ascii="宋体"/>
          <w:b/>
          <w:bCs/>
          <w:color w:val="000000"/>
          <w:sz w:val="24"/>
        </w:rPr>
      </w:pPr>
    </w:p>
    <w:p w:rsidP="00A147F8" w:rsidR="00701DE9" w:rsidRDefault="00701DE9" w:rsidRPr="006662B2">
      <w:pPr>
        <w:spacing w:line="360" w:lineRule="auto"/>
        <w:jc w:val="center"/>
        <w:rPr>
          <w:rFonts w:ascii="宋体" w:cs="宋体"/>
          <w:b/>
          <w:bCs/>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814461" w:rsidR="00701DE9" w:rsidRDefault="00701DE9" w:rsidRPr="006662B2">
      <w:pPr>
        <w:spacing w:line="360" w:lineRule="auto"/>
        <w:jc w:val="center"/>
        <w:rPr>
          <w:rFonts w:ascii="宋体"/>
          <w:b/>
          <w:color w:val="000000"/>
          <w:sz w:val="24"/>
        </w:rPr>
      </w:pPr>
    </w:p>
    <w:p w:rsidP="00EE29A9" w:rsidR="00701DE9" w:rsidRDefault="00701DE9" w:rsidRPr="006662B2">
      <w:pPr>
        <w:spacing w:line="360" w:lineRule="auto"/>
        <w:ind w:firstLine="2168" w:firstLineChars="900"/>
        <w:rPr>
          <w:rFonts w:ascii="宋体" w:hAnsi="宋体"/>
          <w:b/>
          <w:color w:val="000000"/>
          <w:sz w:val="24"/>
        </w:rPr>
      </w:pPr>
      <w:r w:rsidRPr="006662B2">
        <w:rPr>
          <w:rFonts w:ascii="宋体" w:hAnsi="宋体" w:hint="eastAsia"/>
          <w:b/>
          <w:color w:val="000000"/>
          <w:sz w:val="24"/>
        </w:rPr>
        <w:t>基金管理人：</w:t>
      </w:r>
      <w:r w:rsidRPr="006662B2">
        <w:rPr>
          <w:rFonts w:ascii="宋体"/>
          <w:b/>
          <w:color w:val="000000"/>
          <w:sz w:val="24"/>
        </w:rPr>
        <w:t/>
      </w:r>
      <w:proofErr w:type="spellStart"/>
      <w:proofErr w:type="gramStart"/>
      <w:r w:rsidRPr="006662B2">
        <w:rPr>
          <w:rFonts w:ascii="宋体" w:hAnsi="宋体"/>
          <w:b/>
          <w:color w:val="000000"/>
          <w:sz w:val="24"/>
        </w:rPr>
        <w:t/>
      </w:r>
      <w:proofErr w:type="spellEnd"/>
      <w:proofErr w:type="gramEnd"/>
      <w:r w:rsidRPr="006662B2">
        <w:rPr>
          <w:rFonts w:ascii="宋体" w:hAnsi="宋体"/>
          <w:b/>
          <w:color w:val="000000"/>
          <w:sz w:val="24"/>
        </w:rPr>
        <w:t>易方达基金管理有限公司</w:t>
      </w:r>
    </w:p>
    <w:p w:rsidP="00EE29A9" w:rsidR="00701DE9" w:rsidRDefault="00701DE9" w:rsidRPr="006662B2">
      <w:pPr>
        <w:spacing w:line="360" w:lineRule="auto"/>
        <w:ind w:firstLine="2168" w:firstLineChars="900"/>
        <w:rPr>
          <w:rFonts w:ascii="宋体" w:hAnsi="宋体"/>
          <w:b/>
          <w:color w:val="000000"/>
          <w:sz w:val="24"/>
        </w:rPr>
      </w:pPr>
      <w:r w:rsidRPr="006662B2">
        <w:rPr>
          <w:rFonts w:ascii="宋体" w:hAnsi="宋体" w:hint="eastAsia"/>
          <w:b/>
          <w:color w:val="000000"/>
          <w:sz w:val="24"/>
        </w:rPr>
        <w:t>基金托管人：</w:t>
      </w:r>
      <w:r w:rsidRPr="006662B2">
        <w:rPr>
          <w:rFonts w:ascii="宋体"/>
          <w:b/>
          <w:color w:val="000000"/>
          <w:sz w:val="24"/>
        </w:rPr>
        <w:t/>
      </w:r>
      <w:proofErr w:type="spellStart"/>
      <w:proofErr w:type="gramStart"/>
      <w:r w:rsidRPr="006662B2">
        <w:rPr>
          <w:rFonts w:ascii="宋体" w:hAnsi="宋体"/>
          <w:b/>
          <w:color w:val="000000"/>
          <w:sz w:val="24"/>
        </w:rPr>
        <w:t/>
      </w:r>
      <w:proofErr w:type="spellEnd"/>
      <w:proofErr w:type="gramEnd"/>
      <w:r w:rsidRPr="006662B2">
        <w:rPr>
          <w:rFonts w:ascii="宋体" w:hAnsi="宋体"/>
          <w:b/>
          <w:color w:val="000000"/>
          <w:sz w:val="24"/>
        </w:rPr>
        <w:t>浙商银行股份有限公司</w:t>
      </w:r>
    </w:p>
    <w:p w:rsidP="00EE29A9" w:rsidR="00701DE9" w:rsidRDefault="00701DE9" w:rsidRPr="006662B2">
      <w:pPr>
        <w:spacing w:line="360" w:lineRule="auto"/>
        <w:ind w:firstLine="2168" w:firstLineChars="900"/>
        <w:rPr>
          <w:rFonts w:ascii="宋体" w:hAnsi="宋体"/>
          <w:b/>
          <w:color w:val="000000"/>
          <w:sz w:val="24"/>
        </w:rPr>
        <w:sectPr w:rsidR="00701DE9" w:rsidRPr="006662B2" w:rsidSect="005633AD">
          <w:headerReference r:id="rId8" w:type="default"/>
          <w:footerReference r:id="rId9" w:type="default"/>
          <w:pgSz w:h="15840" w:w="11926"/>
          <w:pgMar w:bottom="851" w:footer="992" w:gutter="0" w:header="851" w:left="1418" w:right="1418" w:top="1418"/>
          <w:cols w:space="720"/>
          <w:noEndnote/>
        </w:sectPr>
      </w:pPr>
      <w:r w:rsidRPr="006662B2">
        <w:rPr>
          <w:rFonts w:ascii="宋体" w:hAnsi="宋体" w:hint="eastAsia"/>
          <w:b/>
          <w:color w:val="000000"/>
          <w:sz w:val="24"/>
        </w:rPr>
        <w:t>报告送出日期：</w:t>
      </w:r>
      <w:r w:rsidRPr="006662B2">
        <w:rPr>
          <w:rFonts w:ascii="宋体"/>
          <w:b/>
          <w:color w:val="000000"/>
          <w:sz w:val="24"/>
        </w:rPr>
        <w:t/>
      </w:r>
      <w:proofErr w:type="spellStart"/>
      <w:proofErr w:type="gramStart"/>
      <w:r w:rsidRPr="006662B2">
        <w:rPr>
          <w:rFonts w:ascii="宋体" w:hAnsi="宋体"/>
          <w:b/>
          <w:color w:val="000000"/>
          <w:sz w:val="24"/>
        </w:rPr>
        <w:t/>
      </w:r>
      <w:proofErr w:type="spellEnd"/>
      <w:proofErr w:type="gramEnd"/>
      <w:r w:rsidRPr="006662B2">
        <w:rPr>
          <w:rFonts w:ascii="宋体" w:hAnsi="宋体"/>
          <w:b/>
          <w:color w:val="000000"/>
          <w:sz w:val="24"/>
        </w:rPr>
        <w:t>二〇二〇年七月二十一日</w:t>
      </w:r>
    </w:p>
    <w:p w:rsidP="00305CB5" w:rsidR="00701DE9" w:rsidRDefault="00701DE9" w:rsidRPr="006662B2">
      <w:pPr>
        <w:pStyle w:val="1"/>
        <w:spacing w:after="312" w:afterLines="100" w:before="312" w:beforeLines="100" w:line="360" w:lineRule="auto"/>
        <w:jc w:val="center"/>
        <w:rPr>
          <w:rFonts w:ascii="宋体" w:cs="Arial"/>
          <w:b w:val="0"/>
          <w:color w:val="000000"/>
          <w:kern w:val="0"/>
          <w:sz w:val="24"/>
          <w:szCs w:val="24"/>
        </w:rPr>
      </w:pPr>
      <w:r w:rsidRPr="006662B2">
        <w:rPr>
          <w:rFonts w:ascii="宋体" w:cs="Arial" w:hAnsi="宋体" w:hint="eastAsia"/>
          <w:color w:val="000000"/>
          <w:kern w:val="0"/>
          <w:sz w:val="24"/>
          <w:szCs w:val="24"/>
        </w:rPr>
        <w:lastRenderedPageBreak/>
        <w:t>§</w:t>
      </w:r>
      <w:r w:rsidRPr="006662B2">
        <w:rPr>
          <w:rFonts w:ascii="宋体" w:cs="Arial" w:hAnsi="宋体"/>
          <w:color w:val="000000"/>
          <w:kern w:val="0"/>
          <w:sz w:val="24"/>
          <w:szCs w:val="24"/>
        </w:rPr>
        <w:t xml:space="preserve">1  </w:t>
      </w:r>
      <w:r w:rsidRPr="006662B2">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基金托管人浙商银行股份有限公司根据本基金合同规定，于2020年7月17日复核了本报告中的财务指标、净值表现和投资组合报告等内容，保证复核内容不存在虚假记载、误导性陈述或者重大遗漏。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EE29A9" w:rsidR="00701DE9" w:rsidRDefault="00701DE9" w:rsidRPr="009B5A25">
      <w:pPr>
        <w:spacing w:line="360" w:lineRule="auto"/>
        <w:ind w:firstLine="480" w:firstLineChars="200"/>
        <w:rPr>
          <w:color w:val="000000"/>
          <w:sz w:val="24"/>
        </w:rPr>
      </w:pPr>
      <w:r w:rsidRPr="009B5A25">
        <w:rPr>
          <w:color w:val="000000"/>
          <w:sz w:val="24"/>
        </w:rPr>
        <w:t/>
      </w:r>
      <w:proofErr w:type="spellStart"/>
      <w:proofErr w:type="gramStart"/>
      <w:r w:rsidRPr="009B5A25">
        <w:rPr>
          <w:color w:val="000000"/>
          <w:sz w:val="24"/>
        </w:rPr>
        <w:t/>
      </w:r>
      <w:proofErr w:type="spellEnd"/>
      <w:proofErr w:type="gramEnd"/>
      <w:r w:rsidRPr="009B5A25">
        <w:rPr>
          <w:color w:val="000000"/>
          <w:sz w:val="24"/>
        </w:rPr>
        <w:t>本报告期自2020年4月1日起至6月30日止。</w:t>
      </w:r>
    </w:p>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sidRPr="006662B2">
        <w:rPr>
          <w:rFonts w:ascii="宋体" w:cs="Arial" w:hAnsi="宋体"/>
          <w:color w:val="000000"/>
          <w:kern w:val="0"/>
          <w:sz w:val="24"/>
          <w:szCs w:val="24"/>
        </w:rPr>
        <w:t xml:space="preserve">2  </w:t>
      </w:r>
      <w:r w:rsidRPr="006662B2">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01DE9" w:rsidRPr="006662B2" w:rsidTr="00637395">
        <w:tc>
          <w:tcPr>
            <w:tcW w:type="dxa" w:w="2835"/>
          </w:tcPr>
          <w:p w:rsidP="00F03F87" w:rsidR="00701DE9" w:rsidRDefault="00701DE9" w:rsidRPr="009F4D34">
            <w:pPr>
              <w:adjustRightInd w:val="0"/>
              <w:spacing w:before="29" w:line="360" w:lineRule="auto"/>
              <w:ind w:left="17"/>
              <w:jc w:val="left"/>
              <w:rPr>
                <w:kern w:val="0"/>
                <w:sz w:val="24"/>
              </w:rPr>
            </w:pPr>
            <w:r w:rsidRPr="009F4D34">
              <w:rPr>
                <w:kern w:val="0"/>
                <w:sz w:val="24"/>
              </w:rPr>
              <w:t>基金简称</w:t>
            </w:r>
          </w:p>
        </w:tc>
        <w:tc>
          <w:tcPr>
            <w:tcW w:type="dxa" w:w="5479"/>
            <w:gridSpan w:val="2"/>
          </w:tcPr>
          <w:p w:rsidP="00F03F87" w:rsidR="00701DE9" w:rsidRDefault="00701DE9" w:rsidRPr="009F4D34">
            <w:pPr>
              <w:adjustRightInd w:val="0"/>
              <w:spacing w:before="29" w:line="360" w:lineRule="auto"/>
              <w:ind w:left="17"/>
              <w:jc w:val="lef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易方达增金宝货币</w:t>
            </w:r>
          </w:p>
        </w:tc>
      </w:tr>
      <w:tr w:rsidR="00701DE9" w:rsidRPr="006662B2" w:rsidTr="00637395">
        <w:tc>
          <w:tcPr>
            <w:tcW w:type="dxa" w:w="2835"/>
          </w:tcPr>
          <w:p w:rsidR="00701DE9" w:rsidRDefault="00701DE9" w:rsidRPr="009F4D34">
            <w:pPr>
              <w:adjustRightInd w:val="0"/>
              <w:spacing w:before="29" w:line="360" w:lineRule="auto"/>
              <w:ind w:left="17"/>
              <w:jc w:val="left"/>
              <w:rPr>
                <w:kern w:val="0"/>
                <w:sz w:val="24"/>
              </w:rPr>
            </w:pPr>
            <w:r w:rsidRPr="009F4D34">
              <w:rPr>
                <w:kern w:val="0"/>
                <w:sz w:val="24"/>
              </w:rPr>
              <w:t>基金主代码</w:t>
            </w:r>
          </w:p>
        </w:tc>
        <w:tc>
          <w:tcPr>
            <w:tcW w:type="dxa" w:w="5479"/>
            <w:gridSpan w:val="2"/>
          </w:tcPr>
          <w:p w:rsidR="00701DE9" w:rsidRDefault="00701DE9" w:rsidRPr="009F4D34">
            <w:pPr>
              <w:adjustRightInd w:val="0"/>
              <w:spacing w:before="29" w:line="360" w:lineRule="auto"/>
              <w:ind w:left="17"/>
              <w:jc w:val="lef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001010</w:t>
            </w:r>
          </w:p>
        </w:tc>
      </w:tr>
      <w:tr w:rsidR="00701DE9" w:rsidRPr="006662B2" w:rsidTr="00637395">
        <w:tc>
          <w:tcPr>
            <w:tcW w:type="dxa" w:w="2835"/>
          </w:tcPr>
          <w:p w:rsidR="00701DE9" w:rsidRDefault="00701DE9" w:rsidRPr="009F4D34">
            <w:pPr>
              <w:adjustRightInd w:val="0"/>
              <w:spacing w:before="29" w:line="360" w:lineRule="auto"/>
              <w:ind w:left="17"/>
              <w:jc w:val="left"/>
              <w:rPr>
                <w:kern w:val="0"/>
                <w:sz w:val="24"/>
              </w:rPr>
            </w:pPr>
            <w:r w:rsidRPr="009F4D34">
              <w:rPr>
                <w:kern w:val="0"/>
                <w:sz w:val="24"/>
              </w:rPr>
              <w:t>交易代码</w:t>
            </w:r>
          </w:p>
        </w:tc>
        <w:tc>
          <w:tcPr>
            <w:tcW w:type="dxa" w:w="5479"/>
            <w:gridSpan w:val="2"/>
          </w:tcPr>
          <w:p w:rsidR="00701DE9" w:rsidRDefault="00701DE9" w:rsidRPr="009F4D34">
            <w:pPr>
              <w:adjustRightInd w:val="0"/>
              <w:spacing w:before="29" w:line="360" w:lineRule="auto"/>
              <w:ind w:left="17"/>
              <w:jc w:val="left"/>
              <w:rPr>
                <w:color w:val="000000"/>
                <w:kern w:val="0"/>
                <w:sz w:val="24"/>
              </w:rPr>
            </w:pPr>
            <w:r w:rsidRPr="009F4D34">
              <w:rPr>
                <w:kern w:val="0"/>
                <w:sz w:val="24"/>
              </w:rPr>
              <w:t/>
            </w:r>
            <w:proofErr w:type="spellStart"/>
            <w:r w:rsidRPr="009F4D34">
              <w:rPr>
                <w:kern w:val="0"/>
                <w:sz w:val="24"/>
              </w:rPr>
              <w:t/>
            </w:r>
            <w:proofErr w:type="spellEnd"/>
            <w:r w:rsidRPr="009F4D34">
              <w:rPr>
                <w:kern w:val="0"/>
                <w:sz w:val="24"/>
              </w:rPr>
              <w:t/>
            </w:r>
            <w:proofErr w:type="spellStart"/>
            <w:r w:rsidRPr="009F4D34">
              <w:rPr>
                <w:kern w:val="0"/>
                <w:sz w:val="24"/>
              </w:rPr>
              <w:t/>
            </w:r>
            <w:proofErr w:type="spellEnd"/>
            <w:r w:rsidRPr="009F4D34">
              <w:rPr>
                <w:kern w:val="0"/>
                <w:sz w:val="24"/>
              </w:rPr>
              <w:t/>
            </w:r>
            <w:proofErr w:type="spellStart"/>
            <w:r w:rsidRPr="009F4D34">
              <w:rPr>
                <w:kern w:val="0"/>
                <w:sz w:val="24"/>
              </w:rPr>
              <w:t/>
            </w:r>
            <w:proofErr w:type="spellEnd"/>
            <w:r w:rsidRPr="009F4D34">
              <w:rPr>
                <w:kern w:val="0"/>
                <w:sz w:val="24"/>
              </w:rPr>
              <w:t>001010</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基金运作方式</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契约型开放式</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基金合同生效日</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2015年1月20日</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报告期末基金份额总额</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1,239,701,189.26</w:t>
            </w:r>
            <w:r w:rsidRPr="009F4D34">
              <w:rPr>
                <w:color w:val="000000"/>
                <w:kern w:val="0"/>
                <w:sz w:val="24"/>
              </w:rPr>
              <w:t>份</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投资目标</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在有效控制投资风险和保持高流动性的基础上，力争获得高于业绩比较基准的投资回报。</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投资策略</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本基金将对基金资产组合进行积极管理，在深入研究国内外的宏观经济走势、货币政策变化趋势、市场资金供求状况的基础上，综合考虑各类投资品种的收益性、流动性和风险特征，力争获得高于业绩比较基准的投资回报。</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业绩比较基准</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中国人民银行公布的七天通知存款利率（税后）</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风险收益特征</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本基金为货币市场基金，预期风险和预期收益低于股票型基金、混合型基金和债券型基金。</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基金管理人</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易方达基金管理有限公司</w:t>
            </w:r>
          </w:p>
        </w:tc>
      </w:tr>
      <w:tr w:rsidR="00701DE9" w:rsidRPr="006662B2" w:rsidTr="00637395">
        <w:tc>
          <w:tcPr>
            <w:tcW w:type="dxa" w:w="2835"/>
          </w:tcPr>
          <w:p w:rsidP="00F03F87" w:rsidR="00701DE9" w:rsidRDefault="00701DE9" w:rsidRPr="009F4D34">
            <w:pPr>
              <w:adjustRightInd w:val="0"/>
              <w:spacing w:before="29" w:line="360" w:lineRule="auto"/>
              <w:ind w:left="17"/>
              <w:jc w:val="left"/>
              <w:rPr>
                <w:sz w:val="24"/>
              </w:rPr>
            </w:pPr>
            <w:r w:rsidRPr="009F4D34">
              <w:rPr>
                <w:kern w:val="0"/>
                <w:sz w:val="24"/>
              </w:rPr>
              <w:t>基金托管人</w:t>
            </w:r>
          </w:p>
        </w:tc>
        <w:tc>
          <w:tcPr>
            <w:tcW w:type="dxa" w:w="5479"/>
            <w:gridSpan w:val="2"/>
          </w:tcPr>
          <w:p w:rsidP="00F03F87" w:rsidR="00701DE9" w:rsidRDefault="00701DE9" w:rsidRPr="009F4D34">
            <w:pPr>
              <w:adjustRightInd w:val="0"/>
              <w:spacing w:before="29" w:line="360" w:lineRule="auto"/>
              <w:ind w:left="17"/>
              <w:jc w:val="lef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浙商银行股份有限公司</w:t>
            </w:r>
          </w:p>
        </w:tc>
      </w:tr>
    </w:tbl>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sidRPr="006662B2">
        <w:rPr>
          <w:rFonts w:ascii="宋体" w:cs="Arial" w:hAnsi="宋体"/>
          <w:color w:val="000000"/>
          <w:kern w:val="0"/>
          <w:sz w:val="24"/>
          <w:szCs w:val="24"/>
        </w:rPr>
        <w:t xml:space="preserve">3  </w:t>
      </w:r>
      <w:r w:rsidRPr="006662B2">
        <w:rPr>
          <w:rFonts w:ascii="宋体" w:cs="Arial" w:hAnsi="宋体" w:hint="eastAsia"/>
          <w:color w:val="000000"/>
          <w:kern w:val="0"/>
          <w:sz w:val="24"/>
          <w:szCs w:val="24"/>
        </w:rPr>
        <w:t>主要财务指标和基金净值表现</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3.1 </w:t>
      </w:r>
      <w:r w:rsidRPr="006662B2">
        <w:rPr>
          <w:rFonts w:ascii="宋体" w:cs="Arial" w:hAnsi="宋体" w:hint="eastAsia"/>
          <w:b/>
          <w:color w:val="000000"/>
          <w:kern w:val="0"/>
          <w:sz w:val="24"/>
        </w:rPr>
        <w:t>主要财务指标</w:t>
      </w:r>
    </w:p>
    <w:p w:rsidP="00814461" w:rsidR="00701DE9" w:rsidRDefault="00701DE9" w:rsidRPr="006662B2">
      <w:pPr>
        <w:autoSpaceDE w:val="0"/>
        <w:autoSpaceDN w:val="0"/>
        <w:adjustRightInd w:val="0"/>
        <w:spacing w:before="29" w:line="360" w:lineRule="auto"/>
        <w:ind w:left="15"/>
        <w:jc w:val="right"/>
        <w:rPr>
          <w:rFonts w:ascii="宋体" w:cs="Arial"/>
          <w:color w:val="000000"/>
          <w:kern w:val="0"/>
          <w:sz w:val="24"/>
        </w:rPr>
      </w:pPr>
      <w:r w:rsidRPr="006662B2">
        <w:rPr>
          <w:rFonts w:ascii="宋体" w:cs="Arial" w:hAnsi="宋体" w:hint="eastAsia"/>
          <w:color w:val="000000"/>
          <w:kern w:val="0"/>
          <w:sz w:val="24"/>
        </w:rPr>
        <w:lastRenderedPageBreak/>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701DE9" w:rsidRPr="006662B2" w:rsidTr="00D43232">
        <w:tc>
          <w:tcPr>
            <w:tcW w:type="dxa" w:w="3402"/>
            <w:vAlign w:val="center"/>
          </w:tcPr>
          <w:p w:rsidP="00F03F87" w:rsidR="00701DE9" w:rsidRDefault="00701DE9" w:rsidRPr="009F4D34">
            <w:pPr>
              <w:adjustRightInd w:val="0"/>
              <w:spacing w:before="29" w:line="360" w:lineRule="auto"/>
              <w:ind w:left="17"/>
              <w:jc w:val="center"/>
              <w:rPr>
                <w:kern w:val="0"/>
                <w:sz w:val="24"/>
              </w:rPr>
            </w:pPr>
            <w:r w:rsidRPr="009F4D34">
              <w:rPr>
                <w:kern w:val="0"/>
                <w:sz w:val="24"/>
              </w:rPr>
              <w:t>主要财务指标</w:t>
            </w:r>
            <w:r w:rsidRPr="009F4D34">
              <w:rPr>
                <w:kern w:val="0"/>
                <w:sz w:val="24"/>
              </w:rPr>
              <w:t/>
            </w:r>
            <w:proofErr w:type="spellStart"/>
            <w:r w:rsidRPr="009F4D34">
              <w:rPr>
                <w:kern w:val="0"/>
                <w:sz w:val="24"/>
              </w:rPr>
              <w:t/>
            </w:r>
            <w:proofErr w:type="spellEnd"/>
            <w:r w:rsidRPr="009F4D34">
              <w:rPr>
                <w:kern w:val="0"/>
                <w:sz w:val="24"/>
              </w:rPr>
              <w:t/>
            </w:r>
          </w:p>
        </w:tc>
        <w:tc>
          <w:tcPr>
            <w:tcW w:type="dxa" w:w="4962"/>
            <w:hMerge w:val="restart"/>
            <w:vAlign w:val="center"/>
          </w:tcPr>
          <w:p w:rsidP="0004063B" w:rsidR="00701DE9" w:rsidRDefault="00701DE9" w:rsidRPr="009F4D34">
            <w:pPr>
              <w:adjustRightInd w:val="0"/>
              <w:snapToGrid w:val="0"/>
              <w:spacing w:line="400" w:lineRule="exact"/>
              <w:ind w:right="126"/>
              <w:jc w:val="center"/>
              <w:rPr>
                <w:color w:val="000000"/>
                <w:sz w:val="24"/>
              </w:rPr>
            </w:pPr>
            <w:r w:rsidRPr="009F4D34">
              <w:rPr>
                <w:rFonts w:eastAsia="方正仿宋简体"/>
                <w:color w:val="000000"/>
                <w:kern w:val="0"/>
                <w:sz w:val="24"/>
              </w:rPr>
              <w:t>报告期（</w:t>
            </w:r>
            <w:r w:rsidRPr="009F4D34">
              <w:rPr>
                <w:rFonts w:eastAsia="方正仿宋简体"/>
                <w:color w:val="000000"/>
                <w:kern w:val="0"/>
                <w:sz w:val="24"/>
              </w:rPr>
              <w:t/>
            </w:r>
            <w:proofErr w:type="spellStart"/>
            <w:r w:rsidRPr="009F4D34">
              <w:rPr>
                <w:rFonts w:eastAsia="方正仿宋简体"/>
                <w:color w:val="000000"/>
                <w:kern w:val="0"/>
                <w:sz w:val="24"/>
              </w:rPr>
              <w:t/>
            </w:r>
            <w:proofErr w:type="spellEnd"/>
            <w:r w:rsidRPr="009F4D34">
              <w:rPr>
                <w:rFonts w:eastAsia="方正仿宋简体"/>
                <w:color w:val="000000"/>
                <w:kern w:val="0"/>
                <w:sz w:val="24"/>
              </w:rPr>
              <w:t>2020年4月1日-</w:t>
            </w:r>
            <w:proofErr w:type="spellStart"/>
            <w:r w:rsidRPr="009F4D34">
              <w:rPr>
                <w:rFonts w:eastAsia="方正仿宋简体"/>
                <w:color w:val="000000"/>
                <w:kern w:val="0"/>
                <w:sz w:val="24"/>
              </w:rPr>
              <w:t/>
            </w:r>
            <w:proofErr w:type="spellEnd"/>
            <w:r w:rsidRPr="009F4D34">
              <w:rPr>
                <w:rFonts w:eastAsia="方正仿宋简体"/>
                <w:color w:val="000000"/>
                <w:kern w:val="0"/>
                <w:sz w:val="24"/>
              </w:rPr>
              <w:t>2020年6月30日</w:t>
            </w:r>
            <w:r w:rsidRPr="009F4D34">
              <w:rPr>
                <w:rFonts w:eastAsia="方正仿宋简体"/>
                <w:color w:val="000000"/>
                <w:kern w:val="0"/>
                <w:sz w:val="24"/>
              </w:rPr>
              <w:t>）</w:t>
            </w:r>
          </w:p>
        </w:tc>
        <w:tc>
          <w:tcPr>
            <w:tcW w:type="dxa" w:w="2410"/>
            <w:hMerge/>
          </w:tcPr>
          <w:p w:rsidP="00F03F87" w:rsidR="00701DE9" w:rsidRDefault="00701DE9" w:rsidRPr="009F4D34">
            <w:pPr>
              <w:adjustRightInd w:val="0"/>
              <w:spacing w:before="29" w:line="360" w:lineRule="auto"/>
              <w:ind w:left="17"/>
              <w:jc w:val="center"/>
              <w:rPr>
                <w:color w:val="000000"/>
                <w:sz w:val="24"/>
              </w:rPr>
            </w:pPr>
            <w:r w:rsidRPr="009F4D34">
              <w:rPr>
                <w:color w:val="000000"/>
                <w:sz w:val="24"/>
              </w:rPr>
              <w:t>上期金额</w:t>
            </w:r>
            <w:r w:rsidRPr="009F4D34">
              <w:rPr>
                <w:color w:val="000000"/>
                <w:sz w:val="24"/>
              </w:rPr>
              <w:t/>
            </w:r>
            <w:proofErr w:type="spellStart"/>
            <w:r w:rsidRPr="009F4D34">
              <w:rPr>
                <w:color w:val="000000"/>
                <w:sz w:val="24"/>
              </w:rPr>
              <w:t/>
            </w:r>
            <w:proofErr w:type="spellEnd"/>
            <w:r w:rsidRPr="009F4D34">
              <w:rPr>
                <w:color w:val="000000"/>
                <w:sz w:val="24"/>
              </w:rPr>
              <w:t/>
            </w:r>
          </w:p>
        </w:tc>
      </w:tr>
      <w:tr w:rsidR="00701DE9" w:rsidRPr="006662B2" w:rsidTr="00D43232">
        <w:tc>
          <w:tcPr>
            <w:tcW w:type="dxa" w:w="3402"/>
          </w:tcPr>
          <w:p w:rsidP="00F03F87" w:rsidR="00701DE9" w:rsidRDefault="00701DE9" w:rsidRPr="009F4D34">
            <w:pPr>
              <w:adjustRightInd w:val="0"/>
              <w:spacing w:before="29" w:line="360" w:lineRule="auto"/>
              <w:ind w:left="17"/>
              <w:rPr>
                <w:kern w:val="0"/>
                <w:sz w:val="24"/>
              </w:rPr>
            </w:pPr>
            <w:r w:rsidRPr="009F4D34">
              <w:rPr>
                <w:kern w:val="0"/>
                <w:sz w:val="24"/>
              </w:rPr>
              <w:t>1.</w:t>
            </w:r>
            <w:r w:rsidRPr="009F4D34">
              <w:rPr>
                <w:kern w:val="0"/>
                <w:sz w:val="24"/>
              </w:rPr>
              <w:t>本期已实现收益</w:t>
            </w:r>
          </w:p>
        </w:tc>
        <w:tc>
          <w:tcPr>
            <w:tcW w:type="dxa" w:w="4962"/>
            <w:hMerge w:val="restart"/>
            <w:vAlign w:val="bottom"/>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6,192,339.77</w:t>
            </w:r>
          </w:p>
        </w:tc>
        <w:tc>
          <w:tcPr>
            <w:tcW w:type="dxa" w:w="2410"/>
            <w:hMerge/>
            <w:vAlign w:val="bottom"/>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w:t>
            </w:r>
          </w:p>
        </w:tc>
      </w:tr>
      <w:tr w:rsidR="00701DE9" w:rsidRPr="006662B2" w:rsidTr="00D43232">
        <w:tc>
          <w:tcPr>
            <w:tcW w:type="dxa" w:w="3402"/>
          </w:tcPr>
          <w:p w:rsidP="00F03F87" w:rsidR="00701DE9" w:rsidRDefault="00701DE9" w:rsidRPr="009F4D34">
            <w:pPr>
              <w:adjustRightInd w:val="0"/>
              <w:spacing w:before="29" w:line="360" w:lineRule="auto"/>
              <w:ind w:left="17"/>
              <w:rPr>
                <w:kern w:val="0"/>
                <w:sz w:val="24"/>
              </w:rPr>
            </w:pPr>
            <w:r w:rsidRPr="009F4D34">
              <w:rPr>
                <w:kern w:val="0"/>
                <w:sz w:val="24"/>
              </w:rPr>
              <w:t>2.</w:t>
            </w:r>
            <w:r w:rsidRPr="009F4D34">
              <w:rPr>
                <w:kern w:val="0"/>
                <w:sz w:val="24"/>
              </w:rPr>
              <w:t>本期利润</w:t>
            </w:r>
          </w:p>
        </w:tc>
        <w:tc>
          <w:tcPr>
            <w:tcW w:type="dxa" w:w="4962"/>
            <w:hMerge w:val="restart"/>
            <w:vAlign w:val="bottom"/>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6,192,339.77</w:t>
            </w:r>
          </w:p>
        </w:tc>
        <w:tc>
          <w:tcPr>
            <w:tcW w:type="dxa" w:w="2410"/>
            <w:hMerge/>
            <w:vAlign w:val="bottom"/>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w:t>
            </w:r>
          </w:p>
        </w:tc>
      </w:tr>
      <w:tr w:rsidR="00701DE9" w:rsidRPr="006662B2" w:rsidTr="00D43232">
        <w:tc>
          <w:tcPr>
            <w:tcW w:type="dxa" w:w="3402"/>
          </w:tcPr>
          <w:p w:rsidP="00F03F87" w:rsidR="00701DE9" w:rsidRDefault="00701DE9" w:rsidRPr="009F4D34">
            <w:pPr>
              <w:adjustRightInd w:val="0"/>
              <w:spacing w:before="29" w:line="360" w:lineRule="auto"/>
              <w:ind w:left="17"/>
              <w:rPr>
                <w:kern w:val="0"/>
                <w:sz w:val="24"/>
              </w:rPr>
            </w:pPr>
            <w:r w:rsidRPr="009F4D34">
              <w:rPr>
                <w:kern w:val="0"/>
                <w:sz w:val="24"/>
              </w:rPr>
              <w:t>3.</w:t>
            </w:r>
            <w:r w:rsidRPr="009F4D34">
              <w:rPr>
                <w:kern w:val="0"/>
                <w:sz w:val="24"/>
              </w:rPr>
              <w:t>期末基金资产净值</w:t>
            </w:r>
          </w:p>
        </w:tc>
        <w:tc>
          <w:tcPr>
            <w:tcW w:type="dxa" w:w="4962"/>
            <w:hMerge w:val="restart"/>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1,239,701,189.26</w:t>
            </w:r>
          </w:p>
        </w:tc>
        <w:tc>
          <w:tcPr>
            <w:tcW w:type="dxa" w:w="2410"/>
            <w:hMerge/>
          </w:tcPr>
          <w:p w:rsidP="00F03F87" w:rsidR="00701DE9" w:rsidRDefault="00701DE9" w:rsidRPr="009F4D34">
            <w:pPr>
              <w:adjustRightInd w:val="0"/>
              <w:spacing w:before="29" w:line="360" w:lineRule="auto"/>
              <w:ind w:left="17"/>
              <w:jc w:val="right"/>
              <w:rPr>
                <w:color w:val="000000"/>
                <w:sz w:val="24"/>
              </w:rPr>
            </w:pPr>
            <w:r w:rsidRPr="009F4D34">
              <w:rPr>
                <w:color w:val="000000"/>
                <w:sz w:val="24"/>
              </w:rPr>
              <w:t>-</w:t>
            </w:r>
          </w:p>
        </w:tc>
      </w:tr>
    </w:tbl>
    <w:p>
      <w:pPr>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
      </w:r>
      <w:proofErr w:type="spellStart"/>
      <w:proofErr w:type="gramStart"/>
      <w:r w:rsidRPr="009B5A25">
        <w:rPr>
          <w:color w:val="000000"/>
          <w:sz w:val="24"/>
        </w:rPr>
        <w:t/>
      </w:r>
      <w:proofErr w:type="spellEnd"/>
      <w:proofErr w:type="gramEnd"/>
      <w:r w:rsidRPr="009B5A25">
        <w:rPr>
          <w:color w:val="000000"/>
          <w:sz w:val="24"/>
        </w:rPr>
        <w:t>2.本基金利润分配是按日结转份额。</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3.2 </w:t>
      </w:r>
      <w:r w:rsidRPr="006662B2">
        <w:rPr>
          <w:rFonts w:ascii="宋体" w:cs="Arial" w:hAnsi="宋体" w:hint="eastAsia"/>
          <w:b/>
          <w:color w:val="000000"/>
          <w:kern w:val="0"/>
          <w:sz w:val="24"/>
        </w:rPr>
        <w:t>基金净值表现</w:t>
      </w:r>
    </w:p>
    <w:p w:rsidP="00437706" w:rsidR="00701DE9" w:rsidRDefault="00701DE9" w:rsidRPr="006662B2">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cs="Arial" w:hAnsi="宋体"/>
            <w:b/>
            <w:color w:val="000000"/>
            <w:kern w:val="0"/>
            <w:sz w:val="24"/>
          </w:rPr>
          <w:t>3.2.1</w:t>
        </w:r>
      </w:smartTag>
      <w:r w:rsidRPr="006662B2">
        <w:rPr>
          <w:rFonts w:ascii="宋体" w:cs="Arial" w:hAnsi="宋体" w:hint="eastAsia"/>
          <w:b/>
          <w:color w:val="000000"/>
          <w:kern w:val="0"/>
          <w:sz w:val="24"/>
        </w:rPr>
        <w:t>本报告</w:t>
      </w:r>
      <w:proofErr w:type="gramStart"/>
      <w:r w:rsidRPr="006662B2">
        <w:rPr>
          <w:rFonts w:ascii="宋体" w:cs="Arial" w:hAnsi="宋体" w:hint="eastAsia"/>
          <w:b/>
          <w:color w:val="000000"/>
          <w:kern w:val="0"/>
          <w:sz w:val="24"/>
        </w:rPr>
        <w:t>期基金</w:t>
      </w:r>
      <w:proofErr w:type="gramEnd"/>
      <w:r w:rsidRPr="006662B2">
        <w:rPr>
          <w:rFonts w:ascii="宋体" w:cs="Arial" w:hAnsi="宋体" w:hint="eastAsia"/>
          <w:b/>
          <w:color w:val="000000"/>
          <w:kern w:val="0"/>
          <w:sz w:val="24"/>
        </w:rPr>
        <w:t>份额净值收益率及其与同期业绩比较基准收益率的比较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01DE9" w:rsidRPr="006662B2" w:rsidTr="00F03F87">
        <w:tc>
          <w:tcPr>
            <w:tcW w:type="dxa" w:w="1395"/>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ascii="Times New Roman" w:hAnsi="Times New Roman"/>
                <w:color w:val="000000"/>
                <w:szCs w:val="24"/>
              </w:rPr>
              <w:t>阶段</w:t>
            </w:r>
            <w:r w:rsidRPr="009F4D34">
              <w:rPr>
                <w:rFonts w:ascii="Times New Roman" w:hAnsi="Times New Roman"/>
                <w:color w:val="000000"/>
                <w:szCs w:val="24"/>
              </w:rPr>
              <w:t/>
            </w:r>
            <w:proofErr w:type="spellStart"/>
            <w:r w:rsidRPr="009F4D34">
              <w:rPr>
                <w:rFonts w:ascii="Times New Roman" w:hAnsi="Times New Roman"/>
                <w:color w:val="000000"/>
                <w:szCs w:val="24"/>
              </w:rPr>
              <w:t/>
            </w:r>
            <w:proofErr w:type="spellEnd"/>
            <w:r w:rsidRPr="009F4D34">
              <w:rPr>
                <w:rFonts w:ascii="Times New Roman" w:hAnsi="Times New Roman"/>
                <w:color w:val="000000"/>
                <w:szCs w:val="24"/>
              </w:rPr>
              <w:t/>
            </w:r>
          </w:p>
        </w:tc>
        <w:tc>
          <w:tcPr>
            <w:tcW w:type="dxa" w:w="1092"/>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ascii="Times New Roman" w:hAnsi="Times New Roman"/>
                <w:color w:val="000000"/>
                <w:szCs w:val="24"/>
              </w:rPr>
              <w:t>净值收益率</w:t>
            </w:r>
            <w:r w:rsidRPr="009F4D34">
              <w:rPr>
                <w:rFonts w:cs="宋体" w:hint="eastAsia"/>
                <w:color w:val="000000"/>
                <w:szCs w:val="24"/>
              </w:rPr>
              <w:t>①</w:t>
            </w:r>
          </w:p>
        </w:tc>
        <w:tc>
          <w:tcPr>
            <w:tcW w:type="dxa" w:w="1161"/>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ascii="Times New Roman" w:hAnsi="Times New Roman"/>
                <w:color w:val="000000"/>
                <w:szCs w:val="24"/>
              </w:rPr>
              <w:t>净值收益率标准差</w:t>
            </w:r>
            <w:r w:rsidRPr="009F4D34">
              <w:rPr>
                <w:rFonts w:cs="宋体" w:hint="eastAsia"/>
                <w:color w:val="000000"/>
                <w:szCs w:val="24"/>
              </w:rPr>
              <w:t>②</w:t>
            </w:r>
          </w:p>
        </w:tc>
        <w:tc>
          <w:tcPr>
            <w:tcW w:type="dxa" w:w="1181"/>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ascii="Times New Roman" w:hAnsi="Times New Roman"/>
                <w:color w:val="000000"/>
                <w:szCs w:val="24"/>
              </w:rPr>
              <w:t>业绩比较基准收益率</w:t>
            </w:r>
            <w:r w:rsidRPr="009F4D34">
              <w:rPr>
                <w:rFonts w:cs="宋体" w:hint="eastAsia"/>
                <w:color w:val="000000"/>
                <w:szCs w:val="24"/>
              </w:rPr>
              <w:t>③</w:t>
            </w:r>
          </w:p>
        </w:tc>
        <w:tc>
          <w:tcPr>
            <w:tcW w:type="dxa" w:w="1188"/>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ascii="Times New Roman" w:hAnsi="Times New Roman"/>
                <w:color w:val="000000"/>
                <w:szCs w:val="24"/>
              </w:rPr>
              <w:t>业绩比较基准收益率标准差</w:t>
            </w:r>
            <w:r w:rsidRPr="009F4D34">
              <w:rPr>
                <w:rFonts w:cs="宋体" w:hint="eastAsia"/>
                <w:color w:val="000000"/>
                <w:szCs w:val="24"/>
              </w:rPr>
              <w:t>④</w:t>
            </w:r>
          </w:p>
        </w:tc>
        <w:tc>
          <w:tcPr>
            <w:tcW w:type="dxa" w:w="1199"/>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cs="宋体" w:hint="eastAsia"/>
                <w:color w:val="000000"/>
                <w:szCs w:val="24"/>
              </w:rPr>
              <w:t>①</w:t>
            </w:r>
            <w:r w:rsidRPr="009F4D34">
              <w:rPr>
                <w:rFonts w:ascii="Times New Roman" w:hAnsi="Times New Roman"/>
                <w:color w:val="000000"/>
                <w:szCs w:val="24"/>
              </w:rPr>
              <w:t>-</w:t>
            </w:r>
            <w:r w:rsidRPr="009F4D34">
              <w:rPr>
                <w:rFonts w:cs="宋体" w:hint="eastAsia"/>
                <w:color w:val="000000"/>
                <w:szCs w:val="24"/>
              </w:rPr>
              <w:t>③</w:t>
            </w:r>
          </w:p>
        </w:tc>
        <w:tc>
          <w:tcPr>
            <w:tcW w:type="dxa" w:w="1204"/>
            <w:vAlign w:val="center"/>
          </w:tcPr>
          <w:p w:rsidP="00BE384A" w:rsidR="00701DE9" w:rsidRDefault="00701DE9" w:rsidRPr="009F4D34">
            <w:pPr>
              <w:pStyle w:val="ac"/>
              <w:adjustRightInd w:val="0"/>
              <w:snapToGrid w:val="0"/>
              <w:spacing w:after="0" w:afterAutospacing="0" w:before="0" w:beforeAutospacing="0" w:line="380" w:lineRule="exact"/>
              <w:jc w:val="center"/>
              <w:rPr>
                <w:rFonts w:ascii="Times New Roman" w:hAnsi="Times New Roman"/>
                <w:color w:val="000000"/>
                <w:szCs w:val="24"/>
              </w:rPr>
            </w:pPr>
            <w:r w:rsidRPr="009F4D34">
              <w:rPr>
                <w:rFonts w:cs="宋体" w:hint="eastAsia"/>
                <w:color w:val="000000"/>
                <w:szCs w:val="24"/>
              </w:rPr>
              <w:t>②</w:t>
            </w:r>
            <w:r w:rsidRPr="009F4D34">
              <w:rPr>
                <w:rFonts w:ascii="Times New Roman" w:hAnsi="Times New Roman"/>
                <w:color w:val="000000"/>
                <w:szCs w:val="24"/>
              </w:rPr>
              <w:t>-</w:t>
            </w:r>
            <w:r w:rsidRPr="009F4D34">
              <w:rPr>
                <w:rFonts w:cs="宋体" w:hint="eastAsia"/>
                <w:color w:val="000000"/>
                <w:szCs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0.4540%</w:t>
            </w:r>
          </w:p>
        </w:tc>
        <w:tc>
          <w:tcPr>
            <w:vAlign w:val="center"/>
          </w:tcPr>
          <w:p>
            <w:pPr>
              <w:jc w:val="center"/>
            </w:pPr>
            <w:r>
              <w:rPr>
                <w:color w:val="000000"/>
                <w:sz w:val="24"/>
              </w:rPr>
              <w:t>0.0007%</w:t>
            </w:r>
          </w:p>
        </w:tc>
        <w:tc>
          <w:tcPr>
            <w:vAlign w:val="center"/>
          </w:tcPr>
          <w:p>
            <w:pPr>
              <w:jc w:val="center"/>
            </w:pPr>
            <w:r>
              <w:rPr>
                <w:color w:val="000000"/>
                <w:sz w:val="24"/>
              </w:rPr>
              <w:t>0.3418%</w:t>
            </w:r>
          </w:p>
        </w:tc>
        <w:tc>
          <w:tcPr>
            <w:vAlign w:val="center"/>
          </w:tcPr>
          <w:p>
            <w:pPr>
              <w:jc w:val="center"/>
            </w:pPr>
            <w:r>
              <w:rPr>
                <w:color w:val="000000"/>
                <w:sz w:val="24"/>
              </w:rPr>
              <w:t>0.0000%</w:t>
            </w:r>
          </w:p>
        </w:tc>
        <w:tc>
          <w:tcPr>
            <w:vAlign w:val="center"/>
          </w:tcPr>
          <w:p>
            <w:pPr>
              <w:jc w:val="center"/>
            </w:pPr>
            <w:r>
              <w:rPr>
                <w:color w:val="000000"/>
                <w:sz w:val="24"/>
              </w:rPr>
              <w:t>0.1122%</w:t>
            </w:r>
          </w:p>
        </w:tc>
        <w:tc>
          <w:tcPr>
            <w:vAlign w:val="center"/>
          </w:tcPr>
          <w:p>
            <w:pPr>
              <w:jc w:val="center"/>
            </w:pPr>
            <w:r>
              <w:rPr>
                <w:color w:val="000000"/>
                <w:sz w:val="24"/>
              </w:rPr>
              <w:t>0.0007%</w:t>
            </w:r>
          </w:p>
        </w:tc>
      </w:tr>
      <w:tr>
        <w:tc>
          <w:tcPr>
            <w:vAlign w:val="center"/>
          </w:tcPr>
          <w:p>
            <w:pPr>
              <w:jc w:val="left"/>
            </w:pPr>
            <w:r>
              <w:rPr>
                <w:color w:val="000000"/>
                <w:sz w:val="24"/>
              </w:rPr>
              <w:t>过去六个月</w:t>
            </w:r>
          </w:p>
        </w:tc>
        <w:tc>
          <w:tcPr>
            <w:vAlign w:val="center"/>
          </w:tcPr>
          <w:p>
            <w:pPr>
              <w:jc w:val="center"/>
            </w:pPr>
            <w:r>
              <w:rPr>
                <w:color w:val="000000"/>
                <w:sz w:val="24"/>
              </w:rPr>
              <w:t>1.0991%</w:t>
            </w:r>
          </w:p>
        </w:tc>
        <w:tc>
          <w:tcPr>
            <w:vAlign w:val="center"/>
          </w:tcPr>
          <w:p>
            <w:pPr>
              <w:jc w:val="center"/>
            </w:pPr>
            <w:r>
              <w:rPr>
                <w:color w:val="000000"/>
                <w:sz w:val="24"/>
              </w:rPr>
              <w:t>0.0021%</w:t>
            </w:r>
          </w:p>
        </w:tc>
        <w:tc>
          <w:tcPr>
            <w:vAlign w:val="center"/>
          </w:tcPr>
          <w:p>
            <w:pPr>
              <w:jc w:val="center"/>
            </w:pPr>
            <w:r>
              <w:rPr>
                <w:color w:val="000000"/>
                <w:sz w:val="24"/>
              </w:rPr>
              <w:t>0.6848%</w:t>
            </w:r>
          </w:p>
        </w:tc>
        <w:tc>
          <w:tcPr>
            <w:vAlign w:val="center"/>
          </w:tcPr>
          <w:p>
            <w:pPr>
              <w:jc w:val="center"/>
            </w:pPr>
            <w:r>
              <w:rPr>
                <w:color w:val="000000"/>
                <w:sz w:val="24"/>
              </w:rPr>
              <w:t>0.0000%</w:t>
            </w:r>
          </w:p>
        </w:tc>
        <w:tc>
          <w:tcPr>
            <w:vAlign w:val="center"/>
          </w:tcPr>
          <w:p>
            <w:pPr>
              <w:jc w:val="center"/>
            </w:pPr>
            <w:r>
              <w:rPr>
                <w:color w:val="000000"/>
                <w:sz w:val="24"/>
              </w:rPr>
              <w:t>0.4143%</w:t>
            </w:r>
          </w:p>
        </w:tc>
        <w:tc>
          <w:tcPr>
            <w:vAlign w:val="center"/>
          </w:tcPr>
          <w:p>
            <w:pPr>
              <w:jc w:val="center"/>
            </w:pPr>
            <w:r>
              <w:rPr>
                <w:color w:val="000000"/>
                <w:sz w:val="24"/>
              </w:rPr>
              <w:t>0.0021%</w:t>
            </w:r>
          </w:p>
        </w:tc>
      </w:tr>
      <w:tr>
        <w:tc>
          <w:tcPr>
            <w:vAlign w:val="center"/>
          </w:tcPr>
          <w:p>
            <w:pPr>
              <w:jc w:val="left"/>
            </w:pPr>
            <w:r>
              <w:rPr>
                <w:color w:val="000000"/>
                <w:sz w:val="24"/>
              </w:rPr>
              <w:t>过去一年</w:t>
            </w:r>
          </w:p>
        </w:tc>
        <w:tc>
          <w:tcPr>
            <w:vAlign w:val="center"/>
          </w:tcPr>
          <w:p>
            <w:pPr>
              <w:jc w:val="center"/>
            </w:pPr>
            <w:r>
              <w:rPr>
                <w:color w:val="000000"/>
                <w:sz w:val="24"/>
              </w:rPr>
              <w:t>2.3517%</w:t>
            </w:r>
          </w:p>
        </w:tc>
        <w:tc>
          <w:tcPr>
            <w:vAlign w:val="center"/>
          </w:tcPr>
          <w:p>
            <w:pPr>
              <w:jc w:val="center"/>
            </w:pPr>
            <w:r>
              <w:rPr>
                <w:color w:val="000000"/>
                <w:sz w:val="24"/>
              </w:rPr>
              <w:t>0.0016%</w:t>
            </w:r>
          </w:p>
        </w:tc>
        <w:tc>
          <w:tcPr>
            <w:vAlign w:val="center"/>
          </w:tcPr>
          <w:p>
            <w:pPr>
              <w:jc w:val="center"/>
            </w:pPr>
            <w:r>
              <w:rPr>
                <w:color w:val="000000"/>
                <w:sz w:val="24"/>
              </w:rPr>
              <w:t>1.3819%</w:t>
            </w:r>
          </w:p>
        </w:tc>
        <w:tc>
          <w:tcPr>
            <w:vAlign w:val="center"/>
          </w:tcPr>
          <w:p>
            <w:pPr>
              <w:jc w:val="center"/>
            </w:pPr>
            <w:r>
              <w:rPr>
                <w:color w:val="000000"/>
                <w:sz w:val="24"/>
              </w:rPr>
              <w:t>0.0000%</w:t>
            </w:r>
          </w:p>
        </w:tc>
        <w:tc>
          <w:tcPr>
            <w:vAlign w:val="center"/>
          </w:tcPr>
          <w:p>
            <w:pPr>
              <w:jc w:val="center"/>
            </w:pPr>
            <w:r>
              <w:rPr>
                <w:color w:val="000000"/>
                <w:sz w:val="24"/>
              </w:rPr>
              <w:t>0.9698%</w:t>
            </w:r>
          </w:p>
        </w:tc>
        <w:tc>
          <w:tcPr>
            <w:vAlign w:val="center"/>
          </w:tcPr>
          <w:p>
            <w:pPr>
              <w:jc w:val="center"/>
            </w:pPr>
            <w:r>
              <w:rPr>
                <w:color w:val="000000"/>
                <w:sz w:val="24"/>
              </w:rPr>
              <w:t>0.0016%</w:t>
            </w:r>
          </w:p>
        </w:tc>
      </w:tr>
      <w:tr>
        <w:tc>
          <w:tcPr>
            <w:vAlign w:val="center"/>
          </w:tcPr>
          <w:p>
            <w:pPr>
              <w:jc w:val="left"/>
            </w:pPr>
            <w:r>
              <w:rPr>
                <w:color w:val="000000"/>
                <w:sz w:val="24"/>
              </w:rPr>
              <w:t>过去三年</w:t>
            </w:r>
          </w:p>
        </w:tc>
        <w:tc>
          <w:tcPr>
            <w:vAlign w:val="center"/>
          </w:tcPr>
          <w:p>
            <w:pPr>
              <w:jc w:val="center"/>
            </w:pPr>
            <w:r>
              <w:rPr>
                <w:color w:val="000000"/>
                <w:sz w:val="24"/>
              </w:rPr>
              <w:t>10.1304%</w:t>
            </w:r>
          </w:p>
        </w:tc>
        <w:tc>
          <w:tcPr>
            <w:vAlign w:val="center"/>
          </w:tcPr>
          <w:p>
            <w:pPr>
              <w:jc w:val="center"/>
            </w:pPr>
            <w:r>
              <w:rPr>
                <w:color w:val="000000"/>
                <w:sz w:val="24"/>
              </w:rPr>
              <w:t>0.0024%</w:t>
            </w:r>
          </w:p>
        </w:tc>
        <w:tc>
          <w:tcPr>
            <w:vAlign w:val="center"/>
          </w:tcPr>
          <w:p>
            <w:pPr>
              <w:jc w:val="center"/>
            </w:pPr>
            <w:r>
              <w:rPr>
                <w:color w:val="000000"/>
                <w:sz w:val="24"/>
              </w:rPr>
              <w:t>4.1955%</w:t>
            </w:r>
          </w:p>
        </w:tc>
        <w:tc>
          <w:tcPr>
            <w:vAlign w:val="center"/>
          </w:tcPr>
          <w:p>
            <w:pPr>
              <w:jc w:val="center"/>
            </w:pPr>
            <w:r>
              <w:rPr>
                <w:color w:val="000000"/>
                <w:sz w:val="24"/>
              </w:rPr>
              <w:t>0.0000%</w:t>
            </w:r>
          </w:p>
        </w:tc>
        <w:tc>
          <w:tcPr>
            <w:vAlign w:val="center"/>
          </w:tcPr>
          <w:p>
            <w:pPr>
              <w:jc w:val="center"/>
            </w:pPr>
            <w:r>
              <w:rPr>
                <w:color w:val="000000"/>
                <w:sz w:val="24"/>
              </w:rPr>
              <w:t>5.9349%</w:t>
            </w:r>
          </w:p>
        </w:tc>
        <w:tc>
          <w:tcPr>
            <w:vAlign w:val="center"/>
          </w:tcPr>
          <w:p>
            <w:pPr>
              <w:jc w:val="center"/>
            </w:pPr>
            <w:r>
              <w:rPr>
                <w:color w:val="000000"/>
                <w:sz w:val="24"/>
              </w:rPr>
              <w:t>0.0024%</w:t>
            </w:r>
          </w:p>
        </w:tc>
      </w:tr>
      <w:tr>
        <w:tc>
          <w:tcPr>
            <w:vAlign w:val="center"/>
          </w:tcPr>
          <w:p>
            <w:pPr>
              <w:jc w:val="left"/>
            </w:pPr>
            <w:r>
              <w:rPr>
                <w:color w:val="000000"/>
                <w:sz w:val="24"/>
              </w:rPr>
              <w:t>过去五年</w:t>
            </w:r>
          </w:p>
        </w:tc>
        <w:tc>
          <w:tcPr>
            <w:vAlign w:val="center"/>
          </w:tcPr>
          <w:p>
            <w:pPr>
              <w:jc w:val="center"/>
            </w:pPr>
            <w:r>
              <w:rPr>
                <w:color w:val="000000"/>
                <w:sz w:val="24"/>
              </w:rPr>
              <w:t>17.7695%</w:t>
            </w:r>
          </w:p>
        </w:tc>
        <w:tc>
          <w:tcPr>
            <w:vAlign w:val="center"/>
          </w:tcPr>
          <w:p>
            <w:pPr>
              <w:jc w:val="center"/>
            </w:pPr>
            <w:r>
              <w:rPr>
                <w:color w:val="000000"/>
                <w:sz w:val="24"/>
              </w:rPr>
              <w:t>0.0025%</w:t>
            </w:r>
          </w:p>
        </w:tc>
        <w:tc>
          <w:tcPr>
            <w:vAlign w:val="center"/>
          </w:tcPr>
          <w:p>
            <w:pPr>
              <w:jc w:val="center"/>
            </w:pPr>
            <w:r>
              <w:rPr>
                <w:color w:val="000000"/>
                <w:sz w:val="24"/>
              </w:rPr>
              <w:t>7.0913%</w:t>
            </w:r>
          </w:p>
        </w:tc>
        <w:tc>
          <w:tcPr>
            <w:vAlign w:val="center"/>
          </w:tcPr>
          <w:p>
            <w:pPr>
              <w:jc w:val="center"/>
            </w:pPr>
            <w:r>
              <w:rPr>
                <w:color w:val="000000"/>
                <w:sz w:val="24"/>
              </w:rPr>
              <w:t>0.0000%</w:t>
            </w:r>
          </w:p>
        </w:tc>
        <w:tc>
          <w:tcPr>
            <w:vAlign w:val="center"/>
          </w:tcPr>
          <w:p>
            <w:pPr>
              <w:jc w:val="center"/>
            </w:pPr>
            <w:r>
              <w:rPr>
                <w:color w:val="000000"/>
                <w:sz w:val="24"/>
              </w:rPr>
              <w:t>10.6782%</w:t>
            </w:r>
          </w:p>
        </w:tc>
        <w:tc>
          <w:tcPr>
            <w:vAlign w:val="center"/>
          </w:tcPr>
          <w:p>
            <w:pPr>
              <w:jc w:val="center"/>
            </w:pPr>
            <w:r>
              <w:rPr>
                <w:color w:val="000000"/>
                <w:sz w:val="24"/>
              </w:rPr>
              <w:t>0.0025%</w:t>
            </w:r>
          </w:p>
        </w:tc>
      </w:tr>
      <w:tr>
        <w:tc>
          <w:tcPr>
            <w:vAlign w:val="center"/>
          </w:tcPr>
          <w:p>
            <w:pPr>
              <w:jc w:val="left"/>
            </w:pPr>
            <w:r>
              <w:rPr>
                <w:color w:val="000000"/>
                <w:sz w:val="24"/>
              </w:rPr>
              <w:t>自基金合同生效起至今</w:t>
            </w:r>
          </w:p>
        </w:tc>
        <w:tc>
          <w:tcPr>
            <w:vAlign w:val="center"/>
          </w:tcPr>
          <w:p>
            <w:pPr>
              <w:jc w:val="center"/>
            </w:pPr>
            <w:r>
              <w:rPr>
                <w:color w:val="000000"/>
                <w:sz w:val="24"/>
              </w:rPr>
              <w:t>20.3322%</w:t>
            </w:r>
          </w:p>
        </w:tc>
        <w:tc>
          <w:tcPr>
            <w:vAlign w:val="center"/>
          </w:tcPr>
          <w:p>
            <w:pPr>
              <w:jc w:val="center"/>
            </w:pPr>
            <w:r>
              <w:rPr>
                <w:color w:val="000000"/>
                <w:sz w:val="24"/>
              </w:rPr>
              <w:t>0.0027%</w:t>
            </w:r>
          </w:p>
        </w:tc>
        <w:tc>
          <w:tcPr>
            <w:vAlign w:val="center"/>
          </w:tcPr>
          <w:p>
            <w:pPr>
              <w:jc w:val="center"/>
            </w:pPr>
            <w:r>
              <w:rPr>
                <w:color w:val="000000"/>
                <w:sz w:val="24"/>
              </w:rPr>
              <w:t>7.7438%</w:t>
            </w:r>
          </w:p>
        </w:tc>
        <w:tc>
          <w:tcPr>
            <w:vAlign w:val="center"/>
          </w:tcPr>
          <w:p>
            <w:pPr>
              <w:jc w:val="center"/>
            </w:pPr>
            <w:r>
              <w:rPr>
                <w:color w:val="000000"/>
                <w:sz w:val="24"/>
              </w:rPr>
              <w:t>0.0000%</w:t>
            </w:r>
          </w:p>
        </w:tc>
        <w:tc>
          <w:tcPr>
            <w:vAlign w:val="center"/>
          </w:tcPr>
          <w:p>
            <w:pPr>
              <w:jc w:val="center"/>
            </w:pPr>
            <w:r>
              <w:rPr>
                <w:color w:val="000000"/>
                <w:sz w:val="24"/>
              </w:rPr>
              <w:t>12.5884%</w:t>
            </w:r>
          </w:p>
        </w:tc>
        <w:tc>
          <w:tcPr>
            <w:vAlign w:val="center"/>
          </w:tcPr>
          <w:p>
            <w:pPr>
              <w:jc w:val="center"/>
            </w:pPr>
            <w:r>
              <w:rPr>
                <w:color w:val="000000"/>
                <w:sz w:val="24"/>
              </w:rPr>
              <w:t>0.0027%</w:t>
            </w:r>
          </w:p>
        </w:tc>
      </w:tr>
    </w:tbl>
    <w:p w:rsidP="00437706" w:rsidR="00701DE9" w:rsidRDefault="00701DE9" w:rsidRPr="006662B2">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cs="Arial" w:hAnsi="宋体"/>
            <w:b/>
            <w:color w:val="000000"/>
            <w:kern w:val="0"/>
            <w:sz w:val="24"/>
          </w:rPr>
          <w:t>3.2.2</w:t>
        </w:r>
        <w:r w:rsidR="00011307" w:rsidRPr="00370BEA">
          <w:rPr>
            <w:rStyle w:val="ae"/>
            <w:rFonts w:hint="eastAsia"/>
            <w:color w:val="000000"/>
            <w:sz w:val="24"/>
            <w:shd w:color="auto" w:fill="FFFFFF" w:val="clear"/>
          </w:rPr>
          <w:t/>
        </w:r>
        <w:proofErr w:type="spellStart"/>
        <w:r w:rsidR="00011307" w:rsidRPr="00370BEA">
          <w:rPr>
            <w:rStyle w:val="ae"/>
            <w:rFonts w:hint="eastAsia"/>
            <w:color w:val="000000"/>
            <w:sz w:val="24"/>
            <w:shd w:color="auto" w:fill="FFFFFF" w:val="clear"/>
          </w:rPr>
          <w:t/>
        </w:r>
        <w:proofErr w:type="spellEnd"/>
        <w:r w:rsidR="00011307" w:rsidRPr="00370BEA">
          <w:rPr>
            <w:rStyle w:val="ae"/>
            <w:rFonts w:hint="eastAsia"/>
            <w:color w:val="000000"/>
            <w:sz w:val="24"/>
            <w:shd w:color="auto" w:fill="FFFFFF" w:val="clear"/>
          </w:rPr>
          <w:t>自基金合同生效以来</w:t>
        </w:r>
      </w:smartTag>
      <w:r w:rsidRPr="006662B2">
        <w:rPr>
          <w:rFonts w:ascii="宋体" w:cs="Arial" w:hAnsi="宋体" w:hint="eastAsia"/>
          <w:b/>
          <w:color w:val="000000"/>
          <w:kern w:val="0"/>
          <w:sz w:val="24"/>
        </w:rPr>
        <w:t>基金累计净值收益率变动及其与同期业绩比较基准收益率变动的比较</w:t>
      </w:r>
    </w:p>
    <w:p w:rsidP="00437706" w:rsidR="00701DE9" w:rsidRDefault="00701DE9" w:rsidRPr="009F4D34">
      <w:pPr>
        <w:spacing w:line="360" w:lineRule="auto"/>
        <w:jc w:val="center"/>
        <w:rPr>
          <w:sz w:val="24"/>
        </w:rPr>
      </w:pPr>
      <w:r w:rsidRPr="009F4D34">
        <w:rPr>
          <w:sz w:val="24"/>
        </w:rPr>
        <w:t/>
      </w:r>
      <w:proofErr w:type="spellStart"/>
      <w:r w:rsidRPr="009F4D34">
        <w:rPr>
          <w:sz w:val="24"/>
        </w:rPr>
        <w:t/>
      </w:r>
      <w:proofErr w:type="spellEnd"/>
      <w:r w:rsidRPr="009F4D34">
        <w:rPr>
          <w:sz w:val="24"/>
        </w:rPr>
        <w:t>易方达增金宝货币市场基金</w:t>
      </w:r>
    </w:p>
    <w:p w:rsidP="00437706" w:rsidR="00701DE9" w:rsidRDefault="00701DE9" w:rsidRPr="009F4D34">
      <w:pPr>
        <w:pStyle w:val="a6"/>
        <w:snapToGrid w:val="0"/>
        <w:spacing w:line="360" w:lineRule="auto"/>
        <w:jc w:val="center"/>
        <w:rPr>
          <w:rFonts w:ascii="Times New Roman" w:hAnsi="Times New Roman"/>
          <w:sz w:val="24"/>
          <w:szCs w:val="24"/>
        </w:rPr>
      </w:pPr>
      <w:r w:rsidRPr="009F4D34">
        <w:rPr>
          <w:rFonts w:ascii="Times New Roman" w:hAnsi="Times New Roman"/>
          <w:sz w:val="24"/>
          <w:szCs w:val="24"/>
        </w:rPr>
        <w:t>累计净值收益率与业绩比较基准收益率的历史走势对比图</w:t>
      </w:r>
    </w:p>
    <w:p w:rsidP="00437706" w:rsidR="00701DE9" w:rsidRDefault="0031581B" w:rsidRPr="006662B2">
      <w:pPr>
        <w:spacing w:line="360" w:lineRule="auto"/>
        <w:jc w:val="center"/>
        <w:rPr>
          <w:rFonts w:ascii="宋体"/>
          <w:sz w:val="24"/>
        </w:rPr>
      </w:pPr>
      <w:r w:rsidRPr="009F4D34">
        <w:rPr>
          <w:color w:val="000000"/>
          <w:kern w:val="0"/>
          <w:sz w:val="24"/>
        </w:rPr>
        <w:t>（</w:t>
      </w:r>
      <w:r w:rsidR="00701DE9" w:rsidRPr="009F4D34">
        <w:rPr>
          <w:color w:val="000000"/>
          <w:kern w:val="0"/>
          <w:sz w:val="24"/>
        </w:rPr>
        <w:t/>
      </w:r>
      <w:proofErr w:type="spellStart"/>
      <w:r w:rsidR="00701DE9" w:rsidRPr="009F4D34">
        <w:rPr>
          <w:color w:val="000000"/>
          <w:kern w:val="0"/>
          <w:sz w:val="24"/>
        </w:rPr>
        <w:t/>
      </w:r>
      <w:proofErr w:type="spellEnd"/>
      <w:r w:rsidR="00701DE9" w:rsidRPr="009F4D34">
        <w:rPr>
          <w:color w:val="000000"/>
          <w:kern w:val="0"/>
          <w:sz w:val="24"/>
        </w:rPr>
        <w:t>2015年1月20日</w:t>
      </w:r>
      <w:r w:rsidR="00701DE9" w:rsidRPr="009F4D34">
        <w:rPr>
          <w:color w:val="000000"/>
          <w:kern w:val="0"/>
          <w:sz w:val="24"/>
        </w:rPr>
        <w:t>至</w:t>
      </w:r>
      <w:r w:rsidR="00701DE9" w:rsidRPr="009F4D34">
        <w:rPr>
          <w:color w:val="000000"/>
          <w:kern w:val="0"/>
          <w:sz w:val="24"/>
        </w:rPr>
        <w:t/>
      </w:r>
      <w:proofErr w:type="spellStart"/>
      <w:r w:rsidR="00701DE9" w:rsidRPr="009F4D34">
        <w:rPr>
          <w:color w:val="000000"/>
          <w:kern w:val="0"/>
          <w:sz w:val="24"/>
        </w:rPr>
        <w:t/>
      </w:r>
      <w:proofErr w:type="spellEnd"/>
      <w:r w:rsidR="00701DE9" w:rsidRPr="009F4D34">
        <w:rPr>
          <w:color w:val="000000"/>
          <w:kern w:val="0"/>
          <w:sz w:val="24"/>
        </w:rPr>
        <w:t>2020年6月30日</w:t>
      </w:r>
      <w:r w:rsidRPr="009F4D34">
        <w:rPr>
          <w:color w:val="000000"/>
          <w:kern w:val="0"/>
          <w:sz w:val="24"/>
        </w:rPr>
        <w:t>）</w:t>
      </w:r>
    </w:p>
    <w:p w:rsidP="009D0796" w:rsidR="00701DE9" w:rsidRDefault="00DD3003" w:rsidRPr="006662B2">
      <w:pPr>
        <w:tabs>
          <w:tab w:pos="180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51.5pt;height:267pt;visibility:visible" type="#_x0000_t75">
            <v:imagedata o:title="" r:id="rId10"/>
          </v:shape>
        </w:pict>
      </w:r>
    </w:p>
    <w:p w:rsidP="009B5A25"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
      </w:r>
      <w:proofErr w:type="spellStart"/>
      <w:r w:rsidRPr="009B5A25">
        <w:rPr>
          <w:color w:val="000000"/>
          <w:sz w:val="24"/>
        </w:rPr>
        <w:t/>
      </w:r>
      <w:proofErr w:type="spellEnd"/>
      <w:r w:rsidRPr="009B5A25">
        <w:rPr>
          <w:color w:val="000000"/>
          <w:sz w:val="24"/>
        </w:rPr>
        <w:t>注：自基金合同生效至报告期末，基金份额净值收益率为20.3322%，同期业绩比较基准收益率为7.7438%。</w:t>
      </w:r>
    </w:p>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sidRPr="006662B2">
        <w:rPr>
          <w:rFonts w:ascii="宋体" w:cs="Arial" w:hAnsi="宋体"/>
          <w:color w:val="000000"/>
          <w:kern w:val="0"/>
          <w:sz w:val="24"/>
          <w:szCs w:val="24"/>
        </w:rPr>
        <w:t xml:space="preserve">4  </w:t>
      </w:r>
      <w:r w:rsidRPr="006662B2">
        <w:rPr>
          <w:rFonts w:ascii="宋体" w:cs="Arial" w:hAnsi="宋体" w:hint="eastAsia"/>
          <w:color w:val="000000"/>
          <w:kern w:val="0"/>
          <w:sz w:val="24"/>
          <w:szCs w:val="24"/>
        </w:rPr>
        <w:t>管理人报告</w:t>
      </w:r>
    </w:p>
    <w:p w:rsidP="00305CB5" w:rsidR="00305CB5" w:rsidRDefault="00701DE9" w:rsidRPr="0078105B">
      <w:pPr>
        <w:autoSpaceDE w:val="0"/>
        <w:autoSpaceDN w:val="0"/>
        <w:adjustRightInd w:val="0"/>
        <w:spacing w:line="360" w:lineRule="auto"/>
        <w:jc w:val="left"/>
        <w:rPr>
          <w:rFonts w:ascii="宋体" w:cs="Arial"/>
          <w:b/>
          <w:color w:val="000000"/>
          <w:kern w:val="0"/>
          <w:sz w:val="24"/>
        </w:rPr>
      </w:pPr>
      <w:r w:rsidRPr="006662B2">
        <w:rPr>
          <w:rFonts w:ascii="宋体" w:cs="Arial" w:hAnsi="宋体"/>
          <w:b/>
          <w:color w:val="000000"/>
          <w:kern w:val="0"/>
          <w:sz w:val="24"/>
        </w:rPr>
        <w:t xml:space="preserve">4.1 </w:t>
      </w:r>
      <w:r w:rsidRPr="006662B2">
        <w:rPr>
          <w:rFonts w:ascii="宋体" w:cs="Arial" w:hAnsi="宋体" w:hint="eastAsia"/>
          <w:b/>
          <w:color w:val="000000"/>
          <w:kern w:val="0"/>
          <w:sz w:val="24"/>
        </w:rPr>
        <w:t>基金经理</w:t>
      </w:r>
      <w:r w:rsidR="00C833B2">
        <w:rPr>
          <w:rFonts w:ascii="宋体" w:cs="Arial" w:hAnsi="宋体" w:hint="eastAsia"/>
          <w:b/>
          <w:color w:val="000000"/>
          <w:kern w:val="0"/>
          <w:sz w:val="24"/>
        </w:rPr>
        <w:t>（或基金经理小组）</w:t>
      </w:r>
      <w:r w:rsidRPr="006662B2">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305CB5" w:rsidRPr="0078105B" w:rsidTr="00B7074C">
        <w:trPr>
          <w:cantSplit/>
        </w:trPr>
        <w:tc>
          <w:tcPr>
            <w:tcW w:type="dxa" w:w="567"/>
            <w:vMerge w:val="restart"/>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305CB5" w:rsidRPr="0078105B" w:rsidTr="00B7074C">
        <w:trPr>
          <w:cantSplit/>
        </w:trPr>
        <w:tc>
          <w:tcPr>
            <w:tcW w:type="dxa" w:w="567"/>
            <w:vMerge/>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p>
        </w:tc>
        <w:tc>
          <w:tcPr>
            <w:tcW w:type="dxa" w:w="2835"/>
            <w:vMerge/>
          </w:tcPr>
          <w:p w:rsidP="00B7074C" w:rsidR="00305CB5" w:rsidRDefault="00305CB5"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B7074C" w:rsidR="00305CB5" w:rsidRDefault="00305CB5"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财富快线货币市场基金的基金经理、易方达天天增利货币市场基金的基金经理、易方达龙宝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2015-01-20</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305CB5" w:rsidR="00C75FCF" w:rsidRDefault="00305CB5" w:rsidRPr="00232B03">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C75FCF" w:rsidR="00701DE9" w:rsidRDefault="00701DE9" w:rsidRPr="006662B2">
      <w:pPr>
        <w:autoSpaceDE w:val="0"/>
        <w:autoSpaceDN w:val="0"/>
        <w:adjustRightInd w:val="0"/>
        <w:spacing w:line="360" w:lineRule="auto"/>
        <w:jc w:val="left"/>
        <w:rPr>
          <w:rFonts w:ascii="宋体" w:cs="Arial"/>
          <w:b/>
          <w:color w:val="000000"/>
          <w:kern w:val="0"/>
          <w:sz w:val="24"/>
        </w:rPr>
      </w:pPr>
      <w:r w:rsidRPr="006662B2">
        <w:rPr>
          <w:rFonts w:ascii="宋体" w:cs="Arial" w:hAnsi="宋体"/>
          <w:b/>
          <w:color w:val="000000"/>
          <w:kern w:val="0"/>
          <w:sz w:val="24"/>
        </w:rPr>
        <w:t>4.2</w:t>
      </w:r>
      <w:r>
        <w:rPr>
          <w:rFonts w:cs="Arial" w:hint="eastAsia"/>
          <w:b/>
          <w:color w:val="000000"/>
          <w:kern w:val="0"/>
          <w:sz w:val="24"/>
        </w:rPr>
        <w:t>管理人对</w:t>
      </w:r>
      <w:r w:rsidRPr="00F54568">
        <w:rPr>
          <w:rFonts w:cs="Arial" w:hint="eastAsia"/>
          <w:b/>
          <w:color w:val="000000"/>
          <w:kern w:val="0"/>
          <w:sz w:val="24"/>
        </w:rPr>
        <w:t>报告期内本基金运作遵规守信情况</w:t>
      </w:r>
      <w:r>
        <w:rPr>
          <w:rFonts w:cs="Arial" w:hint="eastAsia"/>
          <w:b/>
          <w:color w:val="000000"/>
          <w:kern w:val="0"/>
          <w:sz w:val="24"/>
        </w:rPr>
        <w:t>的</w:t>
      </w:r>
      <w:r w:rsidRPr="00F54568">
        <w:rPr>
          <w:rFonts w:cs="Arial" w:hint="eastAsia"/>
          <w:b/>
          <w:color w:val="000000"/>
          <w:kern w:val="0"/>
          <w:sz w:val="24"/>
        </w:rPr>
        <w:t>说明</w:t>
      </w:r>
    </w:p>
    <w:p w:rsidP="00EE29A9"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437706" w:rsidR="00701DE9" w:rsidRDefault="00701DE9" w:rsidRPr="006662B2">
      <w:pPr>
        <w:autoSpaceDE w:val="0"/>
        <w:autoSpaceDN w:val="0"/>
        <w:adjustRightInd w:val="0"/>
        <w:spacing w:line="360" w:lineRule="auto"/>
        <w:jc w:val="left"/>
        <w:rPr>
          <w:rFonts w:ascii="宋体" w:cs="Arial"/>
          <w:b/>
          <w:color w:val="000000"/>
          <w:kern w:val="0"/>
          <w:sz w:val="24"/>
        </w:rPr>
      </w:pPr>
      <w:r w:rsidRPr="006662B2">
        <w:rPr>
          <w:rFonts w:ascii="宋体" w:cs="Arial" w:hAnsi="宋体"/>
          <w:b/>
          <w:color w:val="000000"/>
          <w:kern w:val="0"/>
          <w:sz w:val="24"/>
        </w:rPr>
        <w:t xml:space="preserve">4.3 </w:t>
      </w:r>
      <w:r w:rsidRPr="006662B2">
        <w:rPr>
          <w:rFonts w:ascii="宋体" w:cs="Arial" w:hAnsi="宋体" w:hint="eastAsia"/>
          <w:b/>
          <w:color w:val="000000"/>
          <w:kern w:val="0"/>
          <w:sz w:val="24"/>
        </w:rPr>
        <w:t>公平交易专项说明</w:t>
      </w:r>
    </w:p>
    <w:p w:rsidP="00437706" w:rsidR="00701DE9" w:rsidRDefault="00701DE9" w:rsidRPr="006662B2">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hAnsi="宋体"/>
            <w:sz w:val="24"/>
          </w:rPr>
          <w:t>4.3.1</w:t>
        </w:r>
      </w:smartTag>
      <w:r w:rsidRPr="006662B2">
        <w:rPr>
          <w:rFonts w:ascii="宋体" w:hAnsi="宋体" w:hint="eastAsia"/>
          <w:sz w:val="24"/>
        </w:rPr>
        <w:t>公平交易制度的执行情况</w:t>
      </w:r>
    </w:p>
    <w:p w:rsidP="00EE29A9"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437706" w:rsidR="00701DE9" w:rsidRDefault="00701DE9" w:rsidRPr="006662B2">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hAnsi="宋体"/>
            <w:sz w:val="24"/>
          </w:rPr>
          <w:t>4.3.2</w:t>
        </w:r>
      </w:smartTag>
      <w:r w:rsidRPr="006662B2">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本报告期内，未发现本基金有可能导致不公平交易和利益输送的异常交易。</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4.4 </w:t>
      </w:r>
      <w:r w:rsidRPr="006662B2">
        <w:rPr>
          <w:rFonts w:ascii="宋体" w:cs="Arial" w:hAnsi="宋体" w:hint="eastAsia"/>
          <w:b/>
          <w:color w:val="000000"/>
          <w:kern w:val="0"/>
          <w:sz w:val="24"/>
        </w:rPr>
        <w:t>报告期内基金的投资策略和业绩表现说明</w:t>
      </w:r>
    </w:p>
    <w:p w:rsidP="00437706" w:rsidR="00701DE9" w:rsidRDefault="00701DE9" w:rsidRPr="006662B2">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hAnsi="宋体"/>
            <w:sz w:val="24"/>
          </w:rPr>
          <w:t>4.4.1</w:t>
        </w:r>
      </w:smartTag>
      <w:r w:rsidRPr="006662B2">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呈现边际企稳复苏的态势。4月工业增加值同比增长3.9%，5月工业增加值同比增长4.4%，显示虽然经济回升的速度在放缓，但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波动较大。季初，受海内外疫情继续发酵的持续影响，市场风险偏好仍处于相对低位。清明节期间，央行实行了定向降准，同时将超额准备金利率从0.72%下调到0.35%，资金面整体更加宽松，债券市场各期限收益率快速下行。5月上旬，货币政策进一步宽松的程度不及市场预期，随着央行开始打击资金空转套利，货币市场各资产收益率出现小幅上行，货币市场在5月底呈现短期紧张。在此期间，叠加经济修复延续，债券市场长端收益率开始上行。随后，社融放量强化了经济修复预期，债券收益率进一步大幅上行，货币市场上行幅度更大，收益率曲线呈现出熊平趋势。进入6月，货币环境仍未好转，在此期间，地方债巨量发行，债券市场市场情绪进一步悲观，一级市场发行利率不断上行，推动二级市场各期限债券收益率持续大幅上行。直到半年末，央行开启公开市场逆回购操作呵护半年末流动性后，市场情绪有所恢复，债券市场和货币市场收益率趋于稳定。信用债走势与利率债类似，全季来看收益率整体大幅上行。</w:t>
      </w:r>
    </w:p>
    <w:p w:rsidP="00EE29A9"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操作方面，报告期内基金以同业存单、同业存款、短期逆回购为主要配置资产，同时根据自身的客户结构特性进行了资产配置，维持了适当的剩余期限和杠杆率。总体来看，组合在二季度保持了较好的流动性和稳定的收益率。</w:t>
      </w:r>
    </w:p>
    <w:p w:rsidP="00437706" w:rsidR="00701DE9" w:rsidRDefault="00701DE9" w:rsidRPr="006662B2">
      <w:pPr>
        <w:spacing w:line="360" w:lineRule="auto"/>
        <w:rPr>
          <w:rFonts w:ascii="宋体"/>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hAnsi="宋体"/>
            <w:sz w:val="24"/>
          </w:rPr>
          <w:t>4.4.2</w:t>
        </w:r>
      </w:smartTag>
      <w:r w:rsidRPr="006662B2">
        <w:rPr>
          <w:rFonts w:ascii="宋体" w:hAnsi="宋体" w:hint="eastAsia"/>
          <w:sz w:val="24"/>
        </w:rPr>
        <w:t>报告期内基金的业绩表现</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本基金本报告期内基金份额净值收益率为0.4540%；同期业绩比较基准收益率为0.3418%。</w:t>
      </w:r>
    </w:p>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sidRPr="006662B2">
        <w:rPr>
          <w:rFonts w:ascii="宋体" w:cs="Arial" w:hAnsi="宋体"/>
          <w:color w:val="000000"/>
          <w:kern w:val="0"/>
          <w:sz w:val="24"/>
          <w:szCs w:val="24"/>
        </w:rPr>
        <w:t xml:space="preserve">5  </w:t>
      </w:r>
      <w:r w:rsidRPr="006662B2">
        <w:rPr>
          <w:rFonts w:ascii="宋体" w:cs="Arial" w:hAnsi="宋体" w:hint="eastAsia"/>
          <w:color w:val="000000"/>
          <w:kern w:val="0"/>
          <w:sz w:val="24"/>
          <w:szCs w:val="24"/>
        </w:rPr>
        <w:t>投资组合报告</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5.1 </w:t>
      </w:r>
      <w:r w:rsidRPr="006662B2">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2649"/>
        <w:gridCol w:w="3827"/>
        <w:gridCol w:w="1701"/>
      </w:tblGrid>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r w:rsidRPr="009F4D34">
              <w:rPr>
                <w:color w:val="000000"/>
                <w:sz w:val="24"/>
              </w:rPr>
              <w:t>序号</w:t>
            </w:r>
          </w:p>
        </w:tc>
        <w:tc>
          <w:tcPr>
            <w:tcW w:type="dxa" w:w="2649"/>
            <w:vAlign w:val="center"/>
          </w:tcPr>
          <w:p w:rsidP="00F03F87" w:rsidR="00701DE9" w:rsidRDefault="00701DE9" w:rsidRPr="009F4D34">
            <w:pPr>
              <w:spacing w:before="29" w:line="360" w:lineRule="auto"/>
              <w:ind w:left="17"/>
              <w:jc w:val="center"/>
              <w:rPr>
                <w:color w:val="000000"/>
                <w:sz w:val="24"/>
              </w:rPr>
            </w:pPr>
            <w:r w:rsidRPr="009F4D34">
              <w:rPr>
                <w:color w:val="000000"/>
                <w:sz w:val="24"/>
              </w:rPr>
              <w:t>项目</w:t>
            </w:r>
          </w:p>
        </w:tc>
        <w:tc>
          <w:tcPr>
            <w:tcW w:type="dxa" w:w="3827"/>
            <w:vAlign w:val="center"/>
          </w:tcPr>
          <w:p w:rsidP="00F34E9B" w:rsidR="00701DE9" w:rsidRDefault="00701DE9" w:rsidRPr="009F4D34">
            <w:pPr>
              <w:spacing w:before="29" w:line="360" w:lineRule="auto"/>
              <w:ind w:left="17"/>
              <w:jc w:val="center"/>
              <w:rPr>
                <w:color w:val="000000"/>
                <w:sz w:val="24"/>
              </w:rPr>
            </w:pPr>
            <w:r w:rsidRPr="009F4D34">
              <w:rPr>
                <w:color w:val="000000"/>
                <w:sz w:val="24"/>
              </w:rPr>
              <w:t>金额</w:t>
            </w:r>
            <w:r w:rsidR="00F34E9B" w:rsidRPr="009F4D34">
              <w:rPr>
                <w:color w:val="000000"/>
                <w:sz w:val="24"/>
              </w:rPr>
              <w:t>（</w:t>
            </w:r>
            <w:r w:rsidRPr="009F4D34">
              <w:rPr>
                <w:color w:val="000000"/>
                <w:sz w:val="24"/>
              </w:rPr>
              <w:t>元</w:t>
            </w:r>
            <w:r w:rsidR="00F34E9B" w:rsidRPr="009F4D34">
              <w:rPr>
                <w:color w:val="000000"/>
                <w:sz w:val="24"/>
              </w:rPr>
              <w:t>）</w:t>
            </w:r>
          </w:p>
        </w:tc>
        <w:tc>
          <w:tcPr>
            <w:tcW w:type="dxa" w:w="1701"/>
            <w:vAlign w:val="center"/>
          </w:tcPr>
          <w:p w:rsidP="00E753E4" w:rsidR="00701DE9" w:rsidRDefault="00701DE9" w:rsidRPr="009F4D34">
            <w:pPr>
              <w:spacing w:before="29" w:line="360" w:lineRule="auto"/>
              <w:ind w:left="17"/>
              <w:jc w:val="center"/>
              <w:rPr>
                <w:color w:val="000000"/>
                <w:sz w:val="24"/>
              </w:rPr>
            </w:pPr>
            <w:r w:rsidRPr="009F4D34">
              <w:rPr>
                <w:color w:val="000000"/>
                <w:sz w:val="24"/>
              </w:rPr>
              <w:t>占基金总资产的比例</w:t>
            </w:r>
            <w:r w:rsidR="00E753E4" w:rsidRPr="009F4D34">
              <w:rPr>
                <w:color w:val="000000"/>
                <w:sz w:val="24"/>
              </w:rPr>
              <w:t>（</w:t>
            </w:r>
            <w:r w:rsidR="00E753E4" w:rsidRPr="009F4D34">
              <w:rPr>
                <w:color w:val="000000"/>
                <w:sz w:val="24"/>
              </w:rPr>
              <w:t>%</w:t>
            </w:r>
            <w:r w:rsidR="00E753E4" w:rsidRPr="009F4D34">
              <w:rPr>
                <w:color w:val="000000"/>
                <w:sz w:val="24"/>
              </w:rPr>
              <w:t>）</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r w:rsidRPr="009F4D34">
              <w:rPr>
                <w:color w:val="000000"/>
                <w:sz w:val="24"/>
              </w:rPr>
              <w:t>1</w:t>
            </w:r>
          </w:p>
        </w:tc>
        <w:tc>
          <w:tcPr>
            <w:tcW w:type="dxa" w:w="2649"/>
            <w:vAlign w:val="center"/>
          </w:tcPr>
          <w:p w:rsidP="00F03F87" w:rsidR="00701DE9" w:rsidRDefault="00701DE9" w:rsidRPr="009F4D34">
            <w:pPr>
              <w:spacing w:before="29" w:line="360" w:lineRule="auto"/>
              <w:ind w:left="17"/>
              <w:jc w:val="left"/>
              <w:rPr>
                <w:sz w:val="24"/>
              </w:rPr>
            </w:pPr>
            <w:r w:rsidRPr="009F4D34">
              <w:rPr>
                <w:color w:val="000000"/>
                <w:sz w:val="24"/>
              </w:rPr>
              <w:t>固定收益投资</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407,162,249.46</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r w:rsidRPr="009F4D34">
              <w:rPr>
                <w:color w:val="000000"/>
                <w:sz w:val="24"/>
              </w:rPr>
              <w:lastRenderedPageBreak/>
              <w:t>32.19</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p>
        </w:tc>
        <w:tc>
          <w:tcPr>
            <w:tcW w:type="dxa" w:w="2649"/>
            <w:vAlign w:val="center"/>
          </w:tcPr>
          <w:p w:rsidP="00F03F87" w:rsidR="00701DE9" w:rsidRDefault="00701DE9" w:rsidRPr="009F4D34">
            <w:pPr>
              <w:spacing w:before="29" w:line="360" w:lineRule="auto"/>
              <w:ind w:left="17"/>
              <w:jc w:val="left"/>
              <w:rPr>
                <w:sz w:val="24"/>
              </w:rPr>
            </w:pPr>
            <w:r w:rsidRPr="009F4D34">
              <w:rPr>
                <w:color w:val="000000"/>
                <w:sz w:val="24"/>
              </w:rPr>
              <w:t>其中：债券</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407,162,249.46</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32.19</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p>
        </w:tc>
        <w:tc>
          <w:tcPr>
            <w:tcW w:type="dxa" w:w="2649"/>
            <w:vAlign w:val="center"/>
          </w:tcPr>
          <w:p w:rsidP="00EE29A9" w:rsidR="00701DE9" w:rsidRDefault="00701DE9" w:rsidRPr="009F4D34">
            <w:pPr>
              <w:autoSpaceDE w:val="0"/>
              <w:autoSpaceDN w:val="0"/>
              <w:adjustRightInd w:val="0"/>
              <w:spacing w:before="29" w:line="360" w:lineRule="auto"/>
              <w:ind w:firstLine="720" w:firstLineChars="300"/>
              <w:jc w:val="left"/>
              <w:rPr>
                <w:color w:val="000000"/>
                <w:sz w:val="24"/>
              </w:rPr>
            </w:pPr>
            <w:r w:rsidRPr="009F4D34">
              <w:rPr>
                <w:color w:val="000000"/>
                <w:sz w:val="24"/>
              </w:rPr>
              <w:t>资产支持证券</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r w:rsidRPr="009F4D34">
              <w:rPr>
                <w:color w:val="000000"/>
                <w:sz w:val="24"/>
              </w:rPr>
              <w:t>2</w:t>
            </w:r>
          </w:p>
        </w:tc>
        <w:tc>
          <w:tcPr>
            <w:tcW w:type="dxa" w:w="2649"/>
            <w:vAlign w:val="center"/>
          </w:tcPr>
          <w:p w:rsidP="00F03F87" w:rsidR="00701DE9" w:rsidRDefault="00701DE9" w:rsidRPr="009F4D34">
            <w:pPr>
              <w:spacing w:before="29" w:line="360" w:lineRule="auto"/>
              <w:ind w:left="17"/>
              <w:jc w:val="left"/>
              <w:rPr>
                <w:sz w:val="24"/>
              </w:rPr>
            </w:pPr>
            <w:r w:rsidRPr="009F4D34">
              <w:rPr>
                <w:color w:val="000000"/>
                <w:sz w:val="24"/>
              </w:rPr>
              <w:t>买入返售金融资产</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571,564,945.35</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45.19</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p>
        </w:tc>
        <w:tc>
          <w:tcPr>
            <w:tcW w:type="dxa" w:w="2649"/>
            <w:vAlign w:val="center"/>
          </w:tcPr>
          <w:p w:rsidP="00F03F87" w:rsidR="00701DE9" w:rsidRDefault="00701DE9" w:rsidRPr="009F4D34">
            <w:pPr>
              <w:spacing w:before="29" w:line="360" w:lineRule="auto"/>
              <w:ind w:left="17"/>
              <w:jc w:val="left"/>
              <w:rPr>
                <w:sz w:val="24"/>
              </w:rPr>
            </w:pPr>
            <w:r w:rsidRPr="009F4D34">
              <w:rPr>
                <w:color w:val="000000"/>
                <w:sz w:val="24"/>
              </w:rPr>
              <w:t>其中：买断式回购的买入返售金融资产</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r w:rsidRPr="009F4D34">
              <w:rPr>
                <w:color w:val="000000"/>
                <w:sz w:val="24"/>
              </w:rPr>
              <w:lastRenderedPageBreak/>
              <w:t>-</w:t>
            </w:r>
          </w:p>
        </w:tc>
      </w:tr>
      <w:tr w:rsidR="00701DE9" w:rsidRPr="006662B2" w:rsidTr="002E65E3">
        <w:tc>
          <w:tcPr>
            <w:tcW w:type="dxa" w:w="720"/>
            <w:vAlign w:val="center"/>
          </w:tcPr>
          <w:p w:rsidP="00F03F87" w:rsidR="00701DE9" w:rsidRDefault="00701DE9" w:rsidRPr="009F4D34">
            <w:pPr>
              <w:spacing w:before="29" w:line="360" w:lineRule="auto"/>
              <w:ind w:left="17"/>
              <w:jc w:val="center"/>
              <w:rPr>
                <w:color w:val="000000"/>
                <w:sz w:val="24"/>
              </w:rPr>
            </w:pPr>
            <w:r w:rsidRPr="009F4D34">
              <w:rPr>
                <w:color w:val="000000"/>
                <w:sz w:val="24"/>
              </w:rPr>
              <w:lastRenderedPageBreak/>
              <w:t>3</w:t>
            </w:r>
          </w:p>
        </w:tc>
        <w:tc>
          <w:tcPr>
            <w:tcW w:type="dxa" w:w="2649"/>
            <w:vAlign w:val="center"/>
          </w:tcPr>
          <w:p w:rsidP="00F03F87" w:rsidR="00701DE9" w:rsidRDefault="00701DE9" w:rsidRPr="009F4D34">
            <w:pPr>
              <w:spacing w:before="29" w:line="360" w:lineRule="auto"/>
              <w:ind w:left="17"/>
              <w:jc w:val="left"/>
              <w:rPr>
                <w:sz w:val="24"/>
              </w:rPr>
            </w:pPr>
            <w:r w:rsidRPr="009F4D34">
              <w:rPr>
                <w:color w:val="000000"/>
                <w:sz w:val="24"/>
              </w:rPr>
              <w:t>银行存款和结算备付金合计</w:t>
            </w:r>
          </w:p>
        </w:tc>
        <w:tc>
          <w:tcPr>
            <w:tcW w:type="dxa" w:w="3827"/>
            <w:vAlign w:val="center"/>
          </w:tcPr>
          <w:p w:rsidP="00F03F87" w:rsidR="00701DE9" w:rsidRDefault="00701DE9" w:rsidRPr="009F4D34">
            <w:pPr>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283,266,703.13</w:t>
            </w:r>
          </w:p>
        </w:tc>
        <w:tc>
          <w:tcPr>
            <w:tcW w:type="dxa" w:w="1701"/>
            <w:vAlign w:val="center"/>
          </w:tcPr>
          <w:p w:rsidP="00F03F87" w:rsidR="00701DE9" w:rsidRDefault="00701DE9" w:rsidRPr="009F4D34">
            <w:pPr>
              <w:spacing w:before="29" w:line="360" w:lineRule="auto"/>
              <w:ind w:left="17"/>
              <w:jc w:val="right"/>
              <w:rPr>
                <w:color w:val="000000"/>
                <w:sz w:val="24"/>
              </w:rPr>
            </w:pPr>
            <w:r w:rsidRPr="009F4D34">
              <w:rPr>
                <w:color w:val="000000"/>
                <w:sz w:val="24"/>
              </w:rPr>
              <w:t>22.40</w:t>
            </w:r>
          </w:p>
        </w:tc>
      </w:tr>
      <w:tr w:rsidR="00701DE9" w:rsidRPr="006662B2" w:rsidTr="002E65E3">
        <w:tc>
          <w:tcPr>
            <w:tcW w:type="dxa" w:w="720"/>
            <w:vAlign w:val="center"/>
          </w:tcPr>
          <w:p w:rsidP="00926A13" w:rsidR="00701DE9" w:rsidRDefault="00701DE9" w:rsidRPr="009F4D34">
            <w:pPr>
              <w:spacing w:before="29" w:line="360" w:lineRule="auto"/>
              <w:ind w:left="17"/>
              <w:jc w:val="center"/>
              <w:rPr>
                <w:color w:val="000000"/>
                <w:sz w:val="24"/>
              </w:rPr>
            </w:pPr>
            <w:r w:rsidRPr="009F4D34">
              <w:rPr>
                <w:color w:val="000000"/>
                <w:sz w:val="24"/>
              </w:rPr>
              <w:t>4</w:t>
            </w:r>
          </w:p>
        </w:tc>
        <w:tc>
          <w:tcPr>
            <w:tcW w:type="dxa" w:w="2649"/>
            <w:vAlign w:val="center"/>
          </w:tcPr>
          <w:p w:rsidP="00F03F87" w:rsidR="00701DE9" w:rsidRDefault="00701DE9" w:rsidRPr="009F4D34">
            <w:pPr>
              <w:jc w:val="left"/>
              <w:rPr>
                <w:sz w:val="24"/>
              </w:rPr>
            </w:pPr>
            <w:r w:rsidRPr="009F4D34">
              <w:rPr>
                <w:color w:val="000000"/>
                <w:sz w:val="24"/>
              </w:rPr>
              <w:t>其他资产</w:t>
            </w:r>
          </w:p>
        </w:tc>
        <w:tc>
          <w:tcPr>
            <w:tcW w:type="dxa" w:w="3827"/>
            <w:vAlign w:val="center"/>
          </w:tcPr>
          <w:p w:rsidP="00F03F87" w:rsidR="00701DE9" w:rsidRDefault="00701DE9" w:rsidRPr="009F4D34">
            <w:pPr>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2,847,281.31</w:t>
            </w:r>
          </w:p>
        </w:tc>
        <w:tc>
          <w:tcPr>
            <w:tcW w:type="dxa" w:w="1701"/>
            <w:vAlign w:val="center"/>
          </w:tcPr>
          <w:p w:rsidP="00F03F87" w:rsidR="00701DE9" w:rsidRDefault="00701DE9" w:rsidRPr="009F4D34">
            <w:pPr>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0.23</w:t>
            </w:r>
          </w:p>
        </w:tc>
      </w:tr>
      <w:tr w:rsidR="00701DE9" w:rsidRPr="006662B2" w:rsidTr="002E65E3">
        <w:tc>
          <w:tcPr>
            <w:tcW w:type="dxa" w:w="720"/>
            <w:vAlign w:val="center"/>
          </w:tcPr>
          <w:p w:rsidP="00926A13" w:rsidR="00701DE9" w:rsidRDefault="00701DE9" w:rsidRPr="009F4D34">
            <w:pPr>
              <w:spacing w:before="29" w:line="360" w:lineRule="auto"/>
              <w:ind w:left="17"/>
              <w:jc w:val="center"/>
              <w:rPr>
                <w:color w:val="000000"/>
                <w:sz w:val="24"/>
              </w:rPr>
            </w:pPr>
            <w:r w:rsidRPr="009F4D34">
              <w:rPr>
                <w:color w:val="000000"/>
                <w:sz w:val="24"/>
              </w:rPr>
              <w:t>5</w:t>
            </w:r>
          </w:p>
        </w:tc>
        <w:tc>
          <w:tcPr>
            <w:tcW w:type="dxa" w:w="2649"/>
            <w:vAlign w:val="center"/>
          </w:tcPr>
          <w:p w:rsidP="00F03F87" w:rsidR="00701DE9" w:rsidRDefault="00701DE9" w:rsidRPr="009F4D34">
            <w:pPr>
              <w:jc w:val="left"/>
              <w:rPr>
                <w:sz w:val="24"/>
              </w:rPr>
            </w:pPr>
            <w:r w:rsidRPr="009F4D34">
              <w:rPr>
                <w:color w:val="000000"/>
                <w:sz w:val="24"/>
              </w:rPr>
              <w:t>合计</w:t>
            </w:r>
          </w:p>
        </w:tc>
        <w:tc>
          <w:tcPr>
            <w:tcW w:type="dxa" w:w="3827"/>
            <w:vAlign w:val="center"/>
          </w:tcPr>
          <w:p w:rsidP="00F03F87" w:rsidR="00701DE9" w:rsidRDefault="00701DE9" w:rsidRPr="009F4D34">
            <w:pPr>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1,264,841,179.25</w:t>
            </w:r>
          </w:p>
        </w:tc>
        <w:tc>
          <w:tcPr>
            <w:tcW w:type="dxa" w:w="1701"/>
            <w:vAlign w:val="center"/>
          </w:tcPr>
          <w:p w:rsidP="00F03F87" w:rsidR="00701DE9" w:rsidRDefault="00701DE9" w:rsidRPr="009F4D34">
            <w:pPr>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100.00</w:t>
            </w:r>
          </w:p>
        </w:tc>
      </w:tr>
    </w:tbl>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5.2 </w:t>
      </w:r>
      <w:r w:rsidRPr="006662B2">
        <w:rPr>
          <w:rFonts w:ascii="宋体" w:cs="Arial" w:hAnsi="宋体" w:hint="eastAsia"/>
          <w:b/>
          <w:color w:val="000000"/>
          <w:kern w:val="0"/>
          <w:sz w:val="24"/>
        </w:rPr>
        <w:t>报告期债券回购融资情况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61"/>
        <w:gridCol w:w="3108"/>
        <w:gridCol w:w="2977"/>
        <w:gridCol w:w="2126"/>
      </w:tblGrid>
      <w:tr w:rsidR="00701DE9" w:rsidRPr="006662B2" w:rsidTr="00FB4E7D">
        <w:tc>
          <w:tcPr>
            <w:tcW w:type="dxa" w:w="861"/>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序号</w:t>
            </w:r>
          </w:p>
        </w:tc>
        <w:tc>
          <w:tcPr>
            <w:tcW w:type="dxa" w:w="3108"/>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项目</w:t>
            </w:r>
          </w:p>
        </w:tc>
        <w:tc>
          <w:tcPr>
            <w:tcW w:type="dxa" w:w="5103"/>
            <w:gridSpan w:val="2"/>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占基金资产净值的比例（％）</w:t>
            </w:r>
          </w:p>
        </w:tc>
      </w:tr>
      <w:tr w:rsidR="00701DE9" w:rsidRPr="006662B2" w:rsidTr="00FB4E7D">
        <w:tc>
          <w:tcPr>
            <w:tcW w:type="dxa" w:w="861"/>
            <w:vMerge w:val="restart"/>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1</w:t>
            </w:r>
          </w:p>
        </w:tc>
        <w:tc>
          <w:tcPr>
            <w:tcW w:type="dxa" w:w="3108"/>
          </w:tcPr>
          <w:p w:rsidP="00F03F87" w:rsidR="00701DE9" w:rsidRDefault="00701DE9" w:rsidRPr="009F4D34">
            <w:pPr>
              <w:rPr>
                <w:sz w:val="24"/>
              </w:rPr>
            </w:pPr>
            <w:r w:rsidRPr="009F4D34">
              <w:rPr>
                <w:sz w:val="24"/>
              </w:rPr>
              <w:t>报告期内债券回购融资余额</w:t>
            </w:r>
          </w:p>
        </w:tc>
        <w:tc>
          <w:tcPr>
            <w:tcW w:type="dxa" w:w="5103"/>
            <w:gridSpan w:val="2"/>
            <w:vAlign w:val="center"/>
          </w:tcPr>
          <w:p w:rsidP="00F048DE" w:rsidR="00701DE9" w:rsidRDefault="00701DE9" w:rsidRPr="009F4D34">
            <w:pPr>
              <w:jc w:val="right"/>
              <w:rPr>
                <w:sz w:val="24"/>
              </w:rPr>
            </w:pPr>
            <w:r w:rsidRPr="009F4D34">
              <w:rPr>
                <w:sz w:val="24"/>
              </w:rPr>
              <w:t>6.21</w:t>
            </w:r>
          </w:p>
        </w:tc>
      </w:tr>
      <w:tr w:rsidR="00701DE9" w:rsidRPr="006662B2" w:rsidTr="00FB4E7D">
        <w:trPr>
          <w:trHeight w:val="712"/>
        </w:trPr>
        <w:tc>
          <w:tcPr>
            <w:tcW w:type="dxa" w:w="861"/>
            <w:vMerge/>
            <w:vAlign w:val="center"/>
          </w:tcPr>
          <w:p w:rsidP="00F03F87" w:rsidR="00701DE9" w:rsidRDefault="00701DE9" w:rsidRPr="009F4D34">
            <w:pPr>
              <w:autoSpaceDE w:val="0"/>
              <w:autoSpaceDN w:val="0"/>
              <w:adjustRightInd w:val="0"/>
              <w:spacing w:before="29" w:line="360" w:lineRule="auto"/>
              <w:ind w:left="15"/>
              <w:jc w:val="center"/>
              <w:rPr>
                <w:color w:val="000000"/>
                <w:sz w:val="24"/>
              </w:rPr>
            </w:pPr>
          </w:p>
        </w:tc>
        <w:tc>
          <w:tcPr>
            <w:tcW w:type="dxa" w:w="3108"/>
          </w:tcPr>
          <w:p w:rsidP="00F03F87" w:rsidR="00701DE9" w:rsidRDefault="00701DE9" w:rsidRPr="009F4D34">
            <w:pPr>
              <w:rPr>
                <w:sz w:val="24"/>
              </w:rPr>
            </w:pPr>
            <w:r w:rsidRPr="009F4D34">
              <w:rPr>
                <w:sz w:val="24"/>
              </w:rPr>
              <w:t>其中：买断式回购融资</w:t>
            </w:r>
          </w:p>
        </w:tc>
        <w:tc>
          <w:tcPr>
            <w:tcW w:type="dxa" w:w="5103"/>
            <w:gridSpan w:val="2"/>
            <w:vAlign w:val="center"/>
          </w:tcPr>
          <w:p w:rsidP="00BC63DF" w:rsidR="00701DE9" w:rsidRDefault="00701DE9" w:rsidRPr="009F4D34">
            <w:pPr>
              <w:jc w:val="right"/>
              <w:rPr>
                <w:sz w:val="24"/>
              </w:rPr>
            </w:pPr>
            <w:r w:rsidRPr="009F4D34">
              <w:rPr>
                <w:sz w:val="24"/>
              </w:rPr>
              <w:t>-</w:t>
            </w:r>
          </w:p>
        </w:tc>
      </w:tr>
      <w:tr w:rsidR="00701DE9" w:rsidRPr="006662B2" w:rsidTr="00FB4E7D">
        <w:tc>
          <w:tcPr>
            <w:tcW w:type="dxa" w:w="861"/>
            <w:vAlign w:val="center"/>
          </w:tcPr>
          <w:p w:rsidP="00F03F87" w:rsidR="00701DE9" w:rsidRDefault="00701DE9" w:rsidRPr="009F4D34">
            <w:pPr>
              <w:autoSpaceDE w:val="0"/>
              <w:autoSpaceDN w:val="0"/>
              <w:adjustRightInd w:val="0"/>
              <w:spacing w:before="29" w:line="360" w:lineRule="auto"/>
              <w:ind w:left="15"/>
              <w:jc w:val="center"/>
              <w:rPr>
                <w:color w:val="000000"/>
                <w:sz w:val="24"/>
              </w:rPr>
            </w:pPr>
            <w:r w:rsidRPr="009F4D34">
              <w:rPr>
                <w:color w:val="000000"/>
                <w:kern w:val="0"/>
                <w:sz w:val="24"/>
              </w:rPr>
              <w:t>序号</w:t>
            </w:r>
          </w:p>
        </w:tc>
        <w:tc>
          <w:tcPr>
            <w:tcW w:type="dxa" w:w="3108"/>
          </w:tcPr>
          <w:p w:rsidP="00E9312A" w:rsidR="00701DE9" w:rsidRDefault="00701DE9" w:rsidRPr="009F4D34">
            <w:pPr>
              <w:jc w:val="center"/>
              <w:rPr>
                <w:sz w:val="24"/>
              </w:rPr>
            </w:pPr>
            <w:r w:rsidRPr="009F4D34">
              <w:rPr>
                <w:sz w:val="24"/>
              </w:rPr>
              <w:t>项目</w:t>
            </w:r>
          </w:p>
        </w:tc>
        <w:tc>
          <w:tcPr>
            <w:tcW w:type="dxa" w:w="2977"/>
            <w:vAlign w:val="center"/>
          </w:tcPr>
          <w:p w:rsidP="00E9312A" w:rsidR="00701DE9" w:rsidRDefault="00701DE9" w:rsidRPr="009F4D34">
            <w:pPr>
              <w:jc w:val="center"/>
              <w:rPr>
                <w:sz w:val="24"/>
              </w:rPr>
            </w:pPr>
            <w:r w:rsidRPr="009F4D34">
              <w:rPr>
                <w:sz w:val="24"/>
              </w:rPr>
              <w:t>金额</w:t>
            </w:r>
          </w:p>
        </w:tc>
        <w:tc>
          <w:tcPr>
            <w:tcW w:type="dxa" w:w="2126"/>
            <w:vAlign w:val="center"/>
          </w:tcPr>
          <w:p w:rsidP="00F03F87" w:rsidR="00701DE9" w:rsidRDefault="00701DE9" w:rsidRPr="009F4D34">
            <w:pPr>
              <w:jc w:val="right"/>
              <w:rPr>
                <w:sz w:val="24"/>
              </w:rPr>
            </w:pPr>
            <w:r w:rsidRPr="009F4D34">
              <w:rPr>
                <w:color w:val="000000"/>
                <w:kern w:val="0"/>
                <w:sz w:val="24"/>
              </w:rPr>
              <w:t>占基金资产净值的比例（％）</w:t>
            </w:r>
          </w:p>
        </w:tc>
      </w:tr>
      <w:tr w:rsidR="00701DE9" w:rsidRPr="006662B2" w:rsidTr="00FB4E7D">
        <w:tc>
          <w:tcPr>
            <w:tcW w:type="dxa" w:w="861"/>
            <w:vMerge w:val="restart"/>
            <w:vAlign w:val="center"/>
          </w:tcPr>
          <w:p w:rsidP="00F03F87"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2</w:t>
            </w:r>
          </w:p>
        </w:tc>
        <w:tc>
          <w:tcPr>
            <w:tcW w:type="dxa" w:w="3108"/>
          </w:tcPr>
          <w:p w:rsidP="00F03F87" w:rsidR="00701DE9" w:rsidRDefault="00701DE9" w:rsidRPr="009F4D34">
            <w:pPr>
              <w:rPr>
                <w:sz w:val="24"/>
              </w:rPr>
            </w:pPr>
            <w:r w:rsidRPr="009F4D34">
              <w:rPr>
                <w:sz w:val="24"/>
              </w:rPr>
              <w:t>报告期末债券回购融资余额</w:t>
            </w:r>
          </w:p>
        </w:tc>
        <w:tc>
          <w:tcPr>
            <w:tcW w:type="dxa" w:w="2977"/>
            <w:vAlign w:val="center"/>
          </w:tcPr>
          <w:p w:rsidP="00F03F87" w:rsidR="00701DE9" w:rsidRDefault="00701DE9" w:rsidRPr="009F4D34">
            <w:pPr>
              <w:jc w:val="right"/>
              <w:rPr>
                <w:sz w:val="24"/>
              </w:rPr>
            </w:pPr>
            <w:r w:rsidRPr="009F4D34">
              <w:rPr>
                <w:sz w:val="24"/>
              </w:rPr>
              <w:t/>
            </w:r>
            <w:proofErr w:type="spellStart"/>
            <w:r w:rsidRPr="009F4D34">
              <w:rPr>
                <w:sz w:val="24"/>
              </w:rPr>
              <w:t/>
            </w:r>
            <w:proofErr w:type="spellEnd"/>
            <w:r w:rsidRPr="009F4D34">
              <w:rPr>
                <w:sz w:val="24"/>
              </w:rPr>
              <w:t>12,179,873.91</w:t>
            </w:r>
          </w:p>
        </w:tc>
        <w:tc>
          <w:tcPr>
            <w:tcW w:type="dxa" w:w="2126"/>
            <w:vAlign w:val="center"/>
          </w:tcPr>
          <w:p w:rsidP="00F03F87" w:rsidR="00701DE9" w:rsidRDefault="00701DE9" w:rsidRPr="009F4D34">
            <w:pPr>
              <w:jc w:val="right"/>
              <w:rPr>
                <w:sz w:val="24"/>
              </w:rPr>
            </w:pPr>
            <w:r w:rsidRPr="009F4D34">
              <w:rPr>
                <w:sz w:val="24"/>
              </w:rPr>
              <w:t>0.98</w:t>
            </w:r>
          </w:p>
        </w:tc>
      </w:tr>
      <w:tr w:rsidR="00701DE9" w:rsidRPr="006662B2" w:rsidTr="00FB4E7D">
        <w:tc>
          <w:tcPr>
            <w:tcW w:type="dxa" w:w="861"/>
            <w:vMerge/>
            <w:vAlign w:val="center"/>
          </w:tcPr>
          <w:p w:rsidP="00F03F87" w:rsidR="00701DE9" w:rsidRDefault="00701DE9" w:rsidRPr="009F4D34">
            <w:pPr>
              <w:autoSpaceDE w:val="0"/>
              <w:autoSpaceDN w:val="0"/>
              <w:adjustRightInd w:val="0"/>
              <w:spacing w:before="29" w:line="360" w:lineRule="auto"/>
              <w:ind w:left="15"/>
              <w:jc w:val="center"/>
              <w:rPr>
                <w:color w:val="000000"/>
                <w:sz w:val="24"/>
              </w:rPr>
            </w:pPr>
          </w:p>
        </w:tc>
        <w:tc>
          <w:tcPr>
            <w:tcW w:type="dxa" w:w="3108"/>
          </w:tcPr>
          <w:p w:rsidP="00F03F87" w:rsidR="00701DE9" w:rsidRDefault="00701DE9" w:rsidRPr="009F4D34">
            <w:pPr>
              <w:rPr>
                <w:sz w:val="24"/>
              </w:rPr>
            </w:pPr>
            <w:r w:rsidRPr="009F4D34">
              <w:rPr>
                <w:sz w:val="24"/>
              </w:rPr>
              <w:t>其中：买断式回购融资</w:t>
            </w:r>
          </w:p>
        </w:tc>
        <w:tc>
          <w:tcPr>
            <w:tcW w:type="dxa" w:w="2977"/>
            <w:vAlign w:val="center"/>
          </w:tcPr>
          <w:p w:rsidP="00F03F87" w:rsidR="00701DE9" w:rsidRDefault="00701DE9" w:rsidRPr="009F4D34">
            <w:pPr>
              <w:jc w:val="right"/>
              <w:rPr>
                <w:sz w:val="24"/>
              </w:rPr>
            </w:pPr>
            <w:r w:rsidRPr="009F4D34">
              <w:rPr>
                <w:sz w:val="24"/>
              </w:rPr>
              <w:t/>
            </w:r>
            <w:proofErr w:type="spellStart"/>
            <w:r w:rsidRPr="009F4D34">
              <w:rPr>
                <w:sz w:val="24"/>
              </w:rPr>
              <w:t/>
            </w:r>
            <w:proofErr w:type="spellEnd"/>
            <w:r w:rsidRPr="009F4D34">
              <w:rPr>
                <w:sz w:val="24"/>
              </w:rPr>
              <w:t>-</w:t>
            </w:r>
          </w:p>
        </w:tc>
        <w:tc>
          <w:tcPr>
            <w:tcW w:type="dxa" w:w="2126"/>
            <w:vAlign w:val="center"/>
          </w:tcPr>
          <w:p w:rsidP="00F03F87" w:rsidR="00701DE9" w:rsidRDefault="00701DE9" w:rsidRPr="009F4D34">
            <w:pPr>
              <w:jc w:val="right"/>
              <w:rPr>
                <w:sz w:val="24"/>
              </w:rPr>
            </w:pPr>
            <w:r w:rsidRPr="009F4D34">
              <w:rPr>
                <w:sz w:val="24"/>
              </w:rPr>
              <w:t>-</w:t>
            </w:r>
          </w:p>
        </w:tc>
      </w:tr>
    </w:tbl>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
      </w:r>
      <w:proofErr w:type="spellStart"/>
      <w:r w:rsidRPr="009B5A25">
        <w:rPr>
          <w:color w:val="000000"/>
          <w:sz w:val="24"/>
        </w:rPr>
        <w:t/>
      </w:r>
      <w:proofErr w:type="spellEnd"/>
      <w:r w:rsidRPr="009B5A25">
        <w:rPr>
          <w:color w:val="000000"/>
          <w:sz w:val="24"/>
        </w:rPr>
        <w:t>注：上表中报告期内债券回购融资余额占基金资产净值的比例为报告期内每个交易日融资余额占基金资产净值比例的简单平均值。</w:t>
      </w:r>
    </w:p>
    <w:p w:rsidP="00437706" w:rsidR="00701DE9" w:rsidRDefault="00701DE9" w:rsidRPr="00437706">
      <w:pPr>
        <w:spacing w:line="360" w:lineRule="auto"/>
        <w:rPr>
          <w:rFonts w:ascii="宋体" w:cs="Arial"/>
          <w:b/>
          <w:color w:val="000000"/>
          <w:kern w:val="0"/>
          <w:sz w:val="24"/>
        </w:rPr>
      </w:pPr>
      <w:r w:rsidRPr="00437706">
        <w:rPr>
          <w:rFonts w:ascii="宋体" w:cs="Arial"/>
          <w:b/>
          <w:color w:val="000000"/>
          <w:kern w:val="0"/>
          <w:sz w:val="24"/>
        </w:rPr>
        <w:t/>
      </w:r>
      <w:r w:rsidRPr="00437706">
        <w:rPr>
          <w:rFonts w:ascii="宋体" w:cs="Arial" w:hAnsi="宋体"/>
          <w:b/>
          <w:color w:val="000000"/>
          <w:kern w:val="0"/>
          <w:sz w:val="24"/>
        </w:rPr>
        <w:t/>
      </w:r>
      <w:r w:rsidRPr="00437706">
        <w:rPr>
          <w:rFonts w:ascii="宋体" w:cs="Arial" w:hAnsi="宋体" w:hint="eastAsia"/>
          <w:b/>
          <w:color w:val="000000"/>
          <w:kern w:val="0"/>
          <w:sz w:val="24"/>
        </w:rPr>
        <w:t>债券正回购的资金余额超过基金资产净值的</w:t>
      </w:r>
      <w:r w:rsidRPr="00437706">
        <w:rPr>
          <w:rFonts w:ascii="宋体" w:cs="Arial" w:hAnsi="宋体"/>
          <w:b/>
          <w:color w:val="000000"/>
          <w:kern w:val="0"/>
          <w:sz w:val="24"/>
        </w:rPr>
        <w:t>20</w:t>
      </w:r>
      <w:r w:rsidRPr="00437706">
        <w:rPr>
          <w:rFonts w:ascii="宋体" w:cs="Arial" w:hAnsi="宋体" w:hint="eastAsia"/>
          <w:b/>
          <w:color w:val="000000"/>
          <w:kern w:val="0"/>
          <w:sz w:val="24"/>
        </w:rPr>
        <w:t>％的说明</w:t>
      </w:r>
    </w:p>
    <w:p w:rsidP="009F4D34" w:rsidR="00701DE9" w:rsidRDefault="00701DE9" w:rsidRPr="009F4D34">
      <w:pPr>
        <w:spacing w:line="360" w:lineRule="auto"/>
        <w:ind w:firstLine="480" w:firstLineChars="200"/>
        <w:rPr>
          <w:color w:val="000000"/>
          <w:sz w:val="24"/>
        </w:rPr>
      </w:pPr>
      <w:r w:rsidRPr="009B5A25">
        <w:rPr>
          <w:color w:val="000000"/>
          <w:sz w:val="24"/>
        </w:rPr>
        <w:t>在本报告期内本货币市场基金债券正回购的资金余额未超过资产净值的20%。</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 xml:space="preserve">5.3 </w:t>
      </w:r>
      <w:r w:rsidRPr="006662B2">
        <w:rPr>
          <w:rFonts w:ascii="宋体" w:cs="Arial" w:hAnsi="宋体" w:hint="eastAsia"/>
          <w:b/>
          <w:color w:val="000000"/>
          <w:kern w:val="0"/>
          <w:sz w:val="24"/>
        </w:rPr>
        <w:t>基金投资组合平均剩余期限</w:t>
      </w:r>
    </w:p>
    <w:p w:rsidP="00437706" w:rsidR="00701DE9" w:rsidRDefault="00701DE9" w:rsidRPr="006662B2">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cs="Arial" w:hAnsi="宋体"/>
            <w:b/>
            <w:color w:val="000000"/>
            <w:kern w:val="0"/>
            <w:sz w:val="24"/>
          </w:rPr>
          <w:t>5.3.1</w:t>
        </w:r>
      </w:smartTag>
      <w:r w:rsidRPr="006662B2">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686"/>
        <w:gridCol w:w="5386"/>
      </w:tblGrid>
      <w:tr w:rsidR="00701DE9" w:rsidRPr="006662B2" w:rsidTr="00FB4E7D">
        <w:tc>
          <w:tcPr>
            <w:tcW w:type="dxa" w:w="3686"/>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项目</w:t>
            </w:r>
          </w:p>
        </w:tc>
        <w:tc>
          <w:tcPr>
            <w:tcW w:type="dxa" w:w="5386"/>
            <w:vAlign w:val="center"/>
          </w:tcPr>
          <w:p w:rsidP="00F03F87"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天数</w:t>
            </w:r>
          </w:p>
        </w:tc>
      </w:tr>
      <w:tr w:rsidR="00701DE9" w:rsidRPr="006662B2" w:rsidTr="00FB4E7D">
        <w:tc>
          <w:tcPr>
            <w:tcW w:type="dxa" w:w="3686"/>
            <w:vAlign w:val="center"/>
          </w:tcPr>
          <w:p w:rsidP="00F03F87"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报告期末投资组合平均剩余期限</w:t>
            </w:r>
          </w:p>
        </w:tc>
        <w:tc>
          <w:tcPr>
            <w:tcW w:type="dxa" w:w="5386"/>
            <w:vAlign w:val="center"/>
          </w:tcPr>
          <w:p w:rsidP="00EA1C82" w:rsidR="00701DE9" w:rsidRDefault="00701DE9" w:rsidRPr="009F4D34">
            <w:pPr>
              <w:spacing w:line="360" w:lineRule="auto"/>
              <w:ind w:right="120"/>
              <w:jc w:val="right"/>
              <w:rPr>
                <w:sz w:val="24"/>
              </w:rPr>
            </w:pPr>
            <w:r w:rsidRPr="009F4D34">
              <w:rPr>
                <w:color w:val="000000"/>
                <w:sz w:val="24"/>
              </w:rPr>
              <w:t/>
            </w:r>
            <w:proofErr w:type="spellStart"/>
            <w:r w:rsidRPr="009F4D34">
              <w:rPr>
                <w:color w:val="000000"/>
                <w:sz w:val="24"/>
              </w:rPr>
              <w:t/>
            </w:r>
            <w:proofErr w:type="spellEnd"/>
            <w:r w:rsidRPr="009F4D34">
              <w:rPr>
                <w:sz w:val="24"/>
              </w:rPr>
              <w:t>90</w:t>
            </w:r>
          </w:p>
        </w:tc>
      </w:tr>
      <w:tr w:rsidR="00701DE9" w:rsidRPr="006662B2" w:rsidTr="00FB4E7D">
        <w:tc>
          <w:tcPr>
            <w:tcW w:type="dxa" w:w="3686"/>
            <w:vAlign w:val="center"/>
          </w:tcPr>
          <w:p w:rsidP="00F03F87"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报告期内投资组合平均剩余期限</w:t>
            </w:r>
            <w:r w:rsidRPr="009F4D34">
              <w:rPr>
                <w:color w:val="000000"/>
                <w:kern w:val="0"/>
                <w:sz w:val="24"/>
              </w:rPr>
              <w:lastRenderedPageBreak/>
              <w:t>最高值</w:t>
            </w:r>
          </w:p>
        </w:tc>
        <w:tc>
          <w:tcPr>
            <w:tcW w:type="dxa" w:w="5386"/>
            <w:vAlign w:val="center"/>
          </w:tcPr>
          <w:p w:rsidP="0067106E" w:rsidR="00701DE9" w:rsidRDefault="00701DE9" w:rsidRPr="009F4D34">
            <w:pPr>
              <w:jc w:val="right"/>
              <w:rPr>
                <w:sz w:val="24"/>
              </w:rPr>
            </w:pPr>
            <w:r w:rsidRPr="009F4D34">
              <w:rPr>
                <w:color w:val="000000"/>
                <w:sz w:val="24"/>
              </w:rPr>
              <w:lastRenderedPageBreak/>
              <w:t/>
            </w:r>
            <w:proofErr w:type="spellStart"/>
            <w:r w:rsidRPr="009F4D34">
              <w:rPr>
                <w:color w:val="000000"/>
                <w:sz w:val="24"/>
              </w:rPr>
              <w:t/>
            </w:r>
            <w:r w:rsidRPr="009F4D34">
              <w:rPr>
                <w:color w:val="000000"/>
                <w:sz w:val="24"/>
              </w:rPr>
              <w:lastRenderedPageBreak/>
              <w:t/>
            </w:r>
            <w:proofErr w:type="spellEnd"/>
            <w:r w:rsidRPr="009F4D34">
              <w:rPr>
                <w:sz w:val="24"/>
              </w:rPr>
              <w:t>94</w:t>
            </w:r>
          </w:p>
        </w:tc>
      </w:tr>
      <w:tr w:rsidR="00701DE9" w:rsidRPr="006662B2" w:rsidTr="00FB4E7D">
        <w:tc>
          <w:tcPr>
            <w:tcW w:type="dxa" w:w="3686"/>
            <w:vAlign w:val="center"/>
          </w:tcPr>
          <w:p w:rsidP="00F03F87"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lastRenderedPageBreak/>
              <w:t>报告期内投资组合平均剩余期限最低值</w:t>
            </w:r>
          </w:p>
        </w:tc>
        <w:tc>
          <w:tcPr>
            <w:tcW w:type="dxa" w:w="5386"/>
            <w:vAlign w:val="center"/>
          </w:tcPr>
          <w:p w:rsidP="00114310" w:rsidR="00701DE9" w:rsidRDefault="00701DE9" w:rsidRPr="009F4D34">
            <w:pPr>
              <w:spacing w:line="360" w:lineRule="auto"/>
              <w:ind w:right="120"/>
              <w:jc w:val="right"/>
              <w:rPr>
                <w:sz w:val="24"/>
              </w:rPr>
            </w:pPr>
            <w:r w:rsidRPr="009F4D34">
              <w:rPr>
                <w:color w:val="000000"/>
                <w:sz w:val="24"/>
              </w:rPr>
              <w:t/>
            </w:r>
            <w:proofErr w:type="spellStart"/>
            <w:r w:rsidRPr="009F4D34">
              <w:rPr>
                <w:color w:val="000000"/>
                <w:sz w:val="24"/>
              </w:rPr>
              <w:t/>
            </w:r>
            <w:proofErr w:type="spellEnd"/>
            <w:r w:rsidRPr="009F4D34">
              <w:rPr>
                <w:sz w:val="24"/>
              </w:rPr>
              <w:t>65</w:t>
            </w:r>
          </w:p>
        </w:tc>
      </w:tr>
    </w:tbl>
    <w:p w:rsidP="00437706" w:rsidR="00701DE9" w:rsidRDefault="00701DE9" w:rsidRPr="00437706">
      <w:pPr>
        <w:spacing w:line="360" w:lineRule="auto"/>
        <w:rPr>
          <w:rFonts w:ascii="宋体" w:cs="Arial"/>
          <w:b/>
          <w:color w:val="000000"/>
          <w:kern w:val="0"/>
          <w:sz w:val="24"/>
        </w:rPr>
      </w:pPr>
      <w:r w:rsidRPr="00437706">
        <w:rPr>
          <w:rFonts w:ascii="宋体" w:cs="Arial"/>
          <w:b/>
          <w:color w:val="000000"/>
          <w:kern w:val="0"/>
          <w:sz w:val="24"/>
        </w:rPr>
        <w:t/>
      </w:r>
      <w:r w:rsidRPr="00437706">
        <w:rPr>
          <w:rFonts w:ascii="宋体" w:cs="Arial" w:hAnsi="宋体"/>
          <w:b/>
          <w:color w:val="000000"/>
          <w:kern w:val="0"/>
          <w:sz w:val="24"/>
        </w:rPr>
        <w:t/>
      </w:r>
      <w:r w:rsidRPr="00437706">
        <w:rPr>
          <w:rFonts w:ascii="宋体" w:cs="Arial" w:hAnsi="宋体" w:hint="eastAsia"/>
          <w:b/>
          <w:color w:val="000000"/>
          <w:kern w:val="0"/>
          <w:sz w:val="24"/>
        </w:rPr>
        <w:t>报告期内投资组合平均剩余期限超过</w:t>
      </w:r>
      <w:r w:rsidRPr="00437706">
        <w:rPr>
          <w:rFonts w:ascii="宋体" w:cs="Arial" w:hAnsi="宋体"/>
          <w:b/>
          <w:color w:val="000000"/>
          <w:kern w:val="0"/>
          <w:sz w:val="24"/>
        </w:rPr>
        <w:t>1</w:t>
      </w:r>
      <w:r w:rsidR="0024072D">
        <w:rPr>
          <w:rFonts w:ascii="宋体" w:cs="Arial" w:hAnsi="宋体" w:hint="eastAsia"/>
          <w:b/>
          <w:color w:val="000000"/>
          <w:kern w:val="0"/>
          <w:sz w:val="24"/>
        </w:rPr>
        <w:t>2</w:t>
      </w:r>
      <w:r w:rsidRPr="00437706">
        <w:rPr>
          <w:rFonts w:ascii="宋体" w:cs="Arial" w:hAnsi="宋体"/>
          <w:b/>
          <w:color w:val="000000"/>
          <w:kern w:val="0"/>
          <w:sz w:val="24"/>
        </w:rPr>
        <w:t>0</w:t>
      </w:r>
      <w:r w:rsidRPr="00437706">
        <w:rPr>
          <w:rFonts w:ascii="宋体" w:cs="Arial" w:hAnsi="宋体" w:hint="eastAsia"/>
          <w:b/>
          <w:color w:val="000000"/>
          <w:kern w:val="0"/>
          <w:sz w:val="24"/>
        </w:rPr>
        <w:t>天情况说明</w:t>
      </w:r>
    </w:p>
    <w:p w:rsidP="001C611E" w:rsidR="001C611E" w:rsidRDefault="001C611E" w:rsidRPr="001C611E">
      <w:pPr>
        <w:spacing w:line="360" w:lineRule="auto"/>
        <w:ind w:firstLine="480" w:firstLineChars="200"/>
        <w:rPr>
          <w:color w:val="000000"/>
          <w:sz w:val="24"/>
        </w:rPr>
      </w:pPr>
      <w:r w:rsidRPr="001C611E">
        <w:rPr>
          <w:rFonts w:hint="eastAsia"/>
          <w:color w:val="000000"/>
          <w:sz w:val="24"/>
        </w:rPr>
        <w:t/>
      </w:r>
      <w:r w:rsidRPr="001C611E">
        <w:rPr>
          <w:color w:val="000000"/>
          <w:sz w:val="24"/>
        </w:rPr>
        <w:t/>
      </w:r>
      <w:r w:rsidRPr="001C611E">
        <w:rPr>
          <w:rFonts w:hint="eastAsia"/>
          <w:color w:val="000000"/>
          <w:sz w:val="24"/>
        </w:rPr>
        <w:t>本报告期内本货币市场基金投资组合平均剩余期限未超过120天。</w:t>
      </w:r>
    </w:p>
    <w:p w:rsidP="00437706" w:rsidR="00701DE9" w:rsidRDefault="00701DE9" w:rsidRPr="006662B2">
      <w:pPr>
        <w:spacing w:line="360" w:lineRule="auto"/>
        <w:rPr>
          <w:rFonts w:ascii="宋体" w:cs="Arial"/>
          <w:b/>
          <w:color w:val="000000"/>
          <w:kern w:val="0"/>
          <w:sz w:val="24"/>
        </w:rPr>
      </w:pPr>
      <w:smartTag w:element="chsdate" w:uri="urn:schemas-microsoft-com:office:smarttags">
        <w:smartTagPr>
          <w:attr w:name="Year" w:val="1899"/>
          <w:attr w:name="Month" w:val="12"/>
          <w:attr w:name="Day" w:val="30"/>
          <w:attr w:name="IsLunarDate" w:val="False"/>
          <w:attr w:name="IsROCDate" w:val="False"/>
        </w:smartTagPr>
        <w:r w:rsidRPr="006662B2">
          <w:rPr>
            <w:rFonts w:ascii="宋体" w:cs="Arial" w:hAnsi="宋体"/>
            <w:b/>
            <w:color w:val="000000"/>
            <w:kern w:val="0"/>
            <w:sz w:val="24"/>
          </w:rPr>
          <w:t>5.3.2</w:t>
        </w:r>
      </w:smartTag>
      <w:r w:rsidRPr="006662B2">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67"/>
        <w:gridCol w:w="2552"/>
        <w:gridCol w:w="2835"/>
        <w:gridCol w:w="3208"/>
      </w:tblGrid>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序号</w:t>
            </w:r>
          </w:p>
        </w:tc>
        <w:tc>
          <w:tcPr>
            <w:tcW w:type="dxa" w:w="2552"/>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平均剩余期限</w:t>
            </w:r>
          </w:p>
        </w:tc>
        <w:tc>
          <w:tcPr>
            <w:tcW w:type="dxa" w:w="2835"/>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各期限资产占基金资产净值的比例（</w:t>
            </w:r>
            <w:r w:rsidRPr="009F4D34">
              <w:rPr>
                <w:color w:val="000000"/>
                <w:kern w:val="0"/>
                <w:sz w:val="24"/>
              </w:rPr>
              <w:t>%</w:t>
            </w:r>
            <w:r w:rsidRPr="009F4D34">
              <w:rPr>
                <w:color w:val="000000"/>
                <w:kern w:val="0"/>
                <w:sz w:val="24"/>
              </w:rPr>
              <w:t>）</w:t>
            </w:r>
          </w:p>
        </w:tc>
        <w:tc>
          <w:tcPr>
            <w:tcW w:type="dxa" w:w="3208"/>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各期限负债占基金资产净值的比例（％）</w:t>
            </w:r>
          </w:p>
        </w:tc>
      </w:tr>
      <w:tr w:rsidR="00701DE9" w:rsidRPr="006662B2" w:rsidTr="00FB4E7D">
        <w:tc>
          <w:tcPr>
            <w:tcW w:type="dxa" w:w="567"/>
            <w:vAlign w:val="center"/>
          </w:tcPr>
          <w:p w:rsidP="009B0994"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sz w:val="24"/>
              </w:rPr>
              <w:t>1</w:t>
            </w: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sz w:val="24"/>
              </w:rPr>
              <w:t>30</w:t>
            </w:r>
            <w:r w:rsidRPr="009F4D34">
              <w:rPr>
                <w:color w:val="000000"/>
                <w:sz w:val="24"/>
              </w:rPr>
              <w:t>天以内</w:t>
            </w:r>
          </w:p>
        </w:tc>
        <w:tc>
          <w:tcPr>
            <w:tcW w:type="dxa" w:w="2835"/>
            <w:vAlign w:val="center"/>
          </w:tcPr>
          <w:p w:rsidP="006E05E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45.57</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1.80</w:t>
            </w:r>
          </w:p>
        </w:tc>
      </w:tr>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sz w:val="24"/>
              </w:rPr>
            </w:pP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sz w:val="24"/>
              </w:rPr>
              <w:t>其中：剩余存续期超过</w:t>
            </w:r>
            <w:r w:rsidRPr="009F4D34">
              <w:rPr>
                <w:color w:val="000000"/>
                <w:sz w:val="24"/>
              </w:rPr>
              <w:t>397</w:t>
            </w:r>
            <w:r w:rsidRPr="009F4D34">
              <w:rPr>
                <w:color w:val="000000"/>
                <w:sz w:val="24"/>
              </w:rPr>
              <w:t>天的浮动利率债</w:t>
            </w:r>
          </w:p>
        </w:tc>
        <w:tc>
          <w:tcPr>
            <w:tcW w:type="dxa" w:w="2835"/>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r>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lastRenderedPageBreak/>
              <w:t>2</w:t>
            </w: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sz w:val="24"/>
              </w:rPr>
              <w:t>30</w:t>
            </w:r>
            <w:r w:rsidRPr="009F4D34">
              <w:rPr>
                <w:color w:val="000000"/>
                <w:sz w:val="24"/>
              </w:rPr>
              <w:t>天（含）</w:t>
            </w:r>
            <w:r w:rsidRPr="009F4D34">
              <w:rPr>
                <w:color w:val="000000"/>
                <w:sz w:val="24"/>
              </w:rPr>
              <w:t>—60</w:t>
            </w:r>
            <w:r w:rsidRPr="009F4D34">
              <w:rPr>
                <w:color w:val="000000"/>
                <w:sz w:val="24"/>
              </w:rPr>
              <w:t>天</w:t>
            </w:r>
          </w:p>
        </w:tc>
        <w:tc>
          <w:tcPr>
            <w:tcW w:type="dxa" w:w="2835"/>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12.06</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r>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sz w:val="24"/>
              </w:rPr>
            </w:pP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sz w:val="24"/>
              </w:rPr>
              <w:t>其中：剩余存续期超过</w:t>
            </w:r>
            <w:r w:rsidRPr="009F4D34">
              <w:rPr>
                <w:color w:val="000000"/>
                <w:sz w:val="24"/>
              </w:rPr>
              <w:t>397</w:t>
            </w:r>
            <w:r w:rsidRPr="009F4D34">
              <w:rPr>
                <w:color w:val="000000"/>
                <w:sz w:val="24"/>
              </w:rPr>
              <w:t>天的浮动利率债</w:t>
            </w:r>
          </w:p>
        </w:tc>
        <w:tc>
          <w:tcPr>
            <w:tcW w:type="dxa" w:w="2835"/>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r>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3</w:t>
            </w: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sz w:val="24"/>
              </w:rPr>
            </w:pPr>
            <w:r w:rsidRPr="009F4D34">
              <w:rPr>
                <w:color w:val="000000"/>
                <w:sz w:val="24"/>
              </w:rPr>
              <w:t>60</w:t>
            </w:r>
            <w:r w:rsidRPr="009F4D34">
              <w:rPr>
                <w:color w:val="000000"/>
                <w:sz w:val="24"/>
              </w:rPr>
              <w:t>天（含）</w:t>
            </w:r>
            <w:r w:rsidRPr="009F4D34">
              <w:rPr>
                <w:color w:val="000000"/>
                <w:sz w:val="24"/>
              </w:rPr>
              <w:t>—90</w:t>
            </w:r>
            <w:r w:rsidRPr="009F4D34">
              <w:rPr>
                <w:color w:val="000000"/>
                <w:sz w:val="24"/>
              </w:rPr>
              <w:t>天</w:t>
            </w:r>
          </w:p>
        </w:tc>
        <w:tc>
          <w:tcPr>
            <w:tcW w:type="dxa" w:w="2835"/>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10.48</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r>
      <w:tr w:rsidR="00701DE9" w:rsidRPr="006662B2" w:rsidTr="00FB4E7D">
        <w:tc>
          <w:tcPr>
            <w:tcW w:type="dxa" w:w="567"/>
            <w:vAlign w:val="center"/>
          </w:tcPr>
          <w:p w:rsidP="00814461" w:rsidR="00701DE9" w:rsidRDefault="00701DE9" w:rsidRPr="009F4D34">
            <w:pPr>
              <w:autoSpaceDE w:val="0"/>
              <w:autoSpaceDN w:val="0"/>
              <w:adjustRightInd w:val="0"/>
              <w:spacing w:before="29" w:line="360" w:lineRule="auto"/>
              <w:ind w:left="15"/>
              <w:jc w:val="center"/>
              <w:rPr>
                <w:color w:val="000000"/>
                <w:sz w:val="24"/>
              </w:rPr>
            </w:pPr>
          </w:p>
        </w:tc>
        <w:tc>
          <w:tcPr>
            <w:tcW w:type="dxa" w:w="2552"/>
            <w:vAlign w:val="center"/>
          </w:tcPr>
          <w:p w:rsidP="00814461" w:rsidR="00701DE9" w:rsidRDefault="00701DE9" w:rsidRPr="009F4D34">
            <w:pPr>
              <w:autoSpaceDE w:val="0"/>
              <w:autoSpaceDN w:val="0"/>
              <w:adjustRightInd w:val="0"/>
              <w:spacing w:before="29" w:line="360" w:lineRule="auto"/>
              <w:ind w:left="15"/>
              <w:jc w:val="left"/>
              <w:rPr>
                <w:color w:val="000000"/>
                <w:sz w:val="24"/>
              </w:rPr>
            </w:pPr>
            <w:r w:rsidRPr="009F4D34">
              <w:rPr>
                <w:color w:val="000000"/>
                <w:sz w:val="24"/>
              </w:rPr>
              <w:t>其中：剩余存续期超过</w:t>
            </w:r>
            <w:r w:rsidRPr="009F4D34">
              <w:rPr>
                <w:color w:val="000000"/>
                <w:sz w:val="24"/>
              </w:rPr>
              <w:t>397</w:t>
            </w:r>
            <w:r w:rsidRPr="009F4D34">
              <w:rPr>
                <w:color w:val="000000"/>
                <w:sz w:val="24"/>
              </w:rPr>
              <w:t>天的浮动利率债</w:t>
            </w:r>
          </w:p>
        </w:tc>
        <w:tc>
          <w:tcPr>
            <w:tcW w:type="dxa" w:w="2835"/>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c>
          <w:tcPr>
            <w:tcW w:type="dxa" w:w="3208"/>
            <w:vAlign w:val="center"/>
          </w:tcPr>
          <w:p w:rsidP="00814461"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sz w:val="24"/>
              </w:rPr>
              <w:t>-</w:t>
            </w:r>
          </w:p>
        </w:tc>
      </w:tr>
      <w:tr w:rsidR="00DA3FE3" w:rsidRPr="006662B2" w:rsidTr="00FB4E7D">
        <w:tc>
          <w:tcPr>
            <w:tcW w:type="dxa" w:w="567"/>
            <w:vAlign w:val="center"/>
          </w:tcPr>
          <w:p w:rsidP="00814461" w:rsidR="00DA3FE3" w:rsidRDefault="00DA3FE3" w:rsidRPr="009F4D34">
            <w:pPr>
              <w:autoSpaceDE w:val="0"/>
              <w:autoSpaceDN w:val="0"/>
              <w:adjustRightInd w:val="0"/>
              <w:spacing w:before="29" w:line="360" w:lineRule="auto"/>
              <w:ind w:left="15"/>
              <w:jc w:val="center"/>
              <w:rPr>
                <w:color w:val="000000"/>
                <w:sz w:val="24"/>
              </w:rPr>
            </w:pPr>
            <w:r w:rsidRPr="009F4D34">
              <w:rPr>
                <w:color w:val="000000"/>
                <w:sz w:val="24"/>
              </w:rPr>
              <w:t>4</w:t>
            </w:r>
          </w:p>
        </w:tc>
        <w:tc>
          <w:tcPr>
            <w:tcW w:type="dxa" w:w="2552"/>
            <w:vAlign w:val="center"/>
          </w:tcPr>
          <w:p w:rsidP="007C1713" w:rsidR="00DA3FE3" w:rsidRDefault="00DA3FE3" w:rsidRPr="00DA3FE3">
            <w:pPr>
              <w:autoSpaceDE w:val="0"/>
              <w:autoSpaceDN w:val="0"/>
              <w:adjustRightInd w:val="0"/>
              <w:spacing w:before="29" w:line="360" w:lineRule="auto"/>
              <w:ind w:left="15"/>
              <w:jc w:val="left"/>
              <w:rPr>
                <w:rFonts w:eastAsiaTheme="minorEastAsia"/>
                <w:color w:themeColor="text1" w:val="000000"/>
                <w:sz w:val="24"/>
              </w:rPr>
            </w:pPr>
            <w:r w:rsidRPr="00DA3FE3">
              <w:rPr>
                <w:rFonts w:eastAsiaTheme="minorEastAsia"/>
                <w:color w:themeColor="text1" w:val="000000"/>
                <w:sz w:val="24"/>
              </w:rPr>
              <w:t>90</w:t>
            </w:r>
            <w:r w:rsidRPr="00DA3FE3">
              <w:rPr>
                <w:rFonts w:eastAsiaTheme="minorEastAsia"/>
                <w:color w:themeColor="text1" w:val="000000"/>
                <w:sz w:val="24"/>
              </w:rPr>
              <w:t>天（含）</w:t>
            </w:r>
            <w:r w:rsidRPr="00DA3FE3">
              <w:rPr>
                <w:rFonts w:eastAsiaTheme="minorEastAsia"/>
                <w:color w:themeColor="text1" w:val="000000"/>
                <w:sz w:val="24"/>
              </w:rPr>
              <w:t>—120</w:t>
            </w:r>
            <w:r w:rsidRPr="00DA3FE3">
              <w:rPr>
                <w:rFonts w:eastAsiaTheme="minorEastAsia"/>
                <w:color w:themeColor="text1" w:val="000000"/>
                <w:sz w:val="24"/>
              </w:rPr>
              <w:t>天</w:t>
            </w:r>
          </w:p>
        </w:tc>
        <w:tc>
          <w:tcPr>
            <w:tcW w:type="dxa" w:w="2835"/>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c>
          <w:tcPr>
            <w:tcW w:type="dxa" w:w="3208"/>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r>
      <w:tr w:rsidR="00DA3FE3" w:rsidRPr="006662B2" w:rsidTr="00FB4E7D">
        <w:tc>
          <w:tcPr>
            <w:tcW w:type="dxa" w:w="567"/>
            <w:vAlign w:val="center"/>
          </w:tcPr>
          <w:p w:rsidP="00814461" w:rsidR="00DA3FE3" w:rsidRDefault="00DA3FE3" w:rsidRPr="009F4D34">
            <w:pPr>
              <w:autoSpaceDE w:val="0"/>
              <w:autoSpaceDN w:val="0"/>
              <w:adjustRightInd w:val="0"/>
              <w:spacing w:before="29" w:line="360" w:lineRule="auto"/>
              <w:ind w:left="15"/>
              <w:jc w:val="center"/>
              <w:rPr>
                <w:color w:val="000000"/>
                <w:sz w:val="24"/>
              </w:rPr>
            </w:pPr>
          </w:p>
        </w:tc>
        <w:tc>
          <w:tcPr>
            <w:tcW w:type="dxa" w:w="2552"/>
            <w:vAlign w:val="center"/>
          </w:tcPr>
          <w:p w:rsidP="007C1713" w:rsidR="00DA3FE3" w:rsidRDefault="00DA3FE3" w:rsidRPr="00DA3FE3">
            <w:pPr>
              <w:autoSpaceDE w:val="0"/>
              <w:autoSpaceDN w:val="0"/>
              <w:adjustRightInd w:val="0"/>
              <w:spacing w:before="29" w:line="360" w:lineRule="auto"/>
              <w:ind w:left="15"/>
              <w:jc w:val="left"/>
              <w:rPr>
                <w:rFonts w:eastAsiaTheme="minorEastAsia"/>
                <w:color w:themeColor="text1" w:val="000000"/>
                <w:sz w:val="24"/>
              </w:rPr>
            </w:pPr>
            <w:r w:rsidRPr="00DA3FE3">
              <w:rPr>
                <w:rFonts w:eastAsiaTheme="minorEastAsia"/>
                <w:color w:themeColor="text1" w:val="000000"/>
                <w:sz w:val="24"/>
              </w:rPr>
              <w:t>其中：剩余存续期超过</w:t>
            </w:r>
            <w:r w:rsidRPr="00DA3FE3">
              <w:rPr>
                <w:rFonts w:eastAsiaTheme="minorEastAsia"/>
                <w:color w:themeColor="text1" w:val="000000"/>
                <w:sz w:val="24"/>
              </w:rPr>
              <w:t>397</w:t>
            </w:r>
            <w:r w:rsidRPr="00DA3FE3">
              <w:rPr>
                <w:rFonts w:eastAsiaTheme="minorEastAsia"/>
                <w:color w:themeColor="text1" w:val="000000"/>
                <w:sz w:val="24"/>
              </w:rPr>
              <w:t>天的浮动利率债</w:t>
            </w:r>
          </w:p>
        </w:tc>
        <w:tc>
          <w:tcPr>
            <w:tcW w:type="dxa" w:w="2835"/>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c>
          <w:tcPr>
            <w:tcW w:type="dxa" w:w="3208"/>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r>
      <w:tr w:rsidR="00DA3FE3" w:rsidRPr="006662B2" w:rsidTr="00FB4E7D">
        <w:tc>
          <w:tcPr>
            <w:tcW w:type="dxa" w:w="567"/>
            <w:vAlign w:val="center"/>
          </w:tcPr>
          <w:p w:rsidP="00814461" w:rsidR="00DA3FE3" w:rsidRDefault="00DA3FE3" w:rsidRPr="009F4D34">
            <w:pPr>
              <w:autoSpaceDE w:val="0"/>
              <w:autoSpaceDN w:val="0"/>
              <w:adjustRightInd w:val="0"/>
              <w:spacing w:before="29" w:line="360" w:lineRule="auto"/>
              <w:ind w:left="15"/>
              <w:jc w:val="center"/>
              <w:rPr>
                <w:color w:val="000000"/>
                <w:sz w:val="24"/>
              </w:rPr>
            </w:pPr>
            <w:r w:rsidRPr="009F4D34">
              <w:rPr>
                <w:color w:val="000000"/>
                <w:sz w:val="24"/>
              </w:rPr>
              <w:t>5</w:t>
            </w:r>
          </w:p>
        </w:tc>
        <w:tc>
          <w:tcPr>
            <w:tcW w:type="dxa" w:w="2552"/>
            <w:vAlign w:val="center"/>
          </w:tcPr>
          <w:p w:rsidP="007C1713" w:rsidR="00DA3FE3" w:rsidRDefault="00DA3FE3" w:rsidRPr="00DA3FE3">
            <w:pPr>
              <w:autoSpaceDE w:val="0"/>
              <w:autoSpaceDN w:val="0"/>
              <w:adjustRightInd w:val="0"/>
              <w:spacing w:before="29" w:line="360" w:lineRule="auto"/>
              <w:ind w:left="15"/>
              <w:jc w:val="left"/>
              <w:rPr>
                <w:rFonts w:eastAsiaTheme="minorEastAsia"/>
                <w:color w:themeColor="text1" w:val="000000"/>
                <w:sz w:val="24"/>
              </w:rPr>
            </w:pPr>
            <w:r w:rsidRPr="00DA3FE3">
              <w:rPr>
                <w:rFonts w:eastAsiaTheme="minorEastAsia"/>
                <w:color w:themeColor="text1" w:val="000000"/>
                <w:sz w:val="24"/>
              </w:rPr>
              <w:t>120</w:t>
            </w:r>
            <w:r w:rsidRPr="00DA3FE3">
              <w:rPr>
                <w:rFonts w:eastAsiaTheme="minorEastAsia"/>
                <w:color w:themeColor="text1" w:val="000000"/>
                <w:sz w:val="24"/>
              </w:rPr>
              <w:t>天（含）</w:t>
            </w:r>
            <w:r w:rsidRPr="00DA3FE3">
              <w:rPr>
                <w:rFonts w:eastAsiaTheme="minorEastAsia"/>
                <w:color w:themeColor="text1" w:val="000000"/>
                <w:sz w:val="24"/>
              </w:rPr>
              <w:t>—397</w:t>
            </w:r>
            <w:r w:rsidRPr="00DA3FE3">
              <w:rPr>
                <w:rFonts w:eastAsiaTheme="minorEastAsia"/>
                <w:color w:themeColor="text1" w:val="000000"/>
                <w:sz w:val="24"/>
              </w:rPr>
              <w:t>天（含）</w:t>
            </w:r>
          </w:p>
        </w:tc>
        <w:tc>
          <w:tcPr>
            <w:tcW w:type="dxa" w:w="2835"/>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33.69</w:t>
            </w:r>
          </w:p>
        </w:tc>
        <w:tc>
          <w:tcPr>
            <w:tcW w:type="dxa" w:w="3208"/>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r>
      <w:tr w:rsidR="00DA3FE3" w:rsidRPr="006662B2" w:rsidTr="00FB4E7D">
        <w:tc>
          <w:tcPr>
            <w:tcW w:type="dxa" w:w="567"/>
            <w:vAlign w:val="center"/>
          </w:tcPr>
          <w:p w:rsidP="00814461" w:rsidR="00DA3FE3" w:rsidRDefault="00DA3FE3" w:rsidRPr="009F4D34">
            <w:pPr>
              <w:autoSpaceDE w:val="0"/>
              <w:autoSpaceDN w:val="0"/>
              <w:adjustRightInd w:val="0"/>
              <w:spacing w:before="29" w:line="360" w:lineRule="auto"/>
              <w:ind w:left="15"/>
              <w:jc w:val="center"/>
              <w:rPr>
                <w:color w:val="000000"/>
                <w:sz w:val="24"/>
              </w:rPr>
            </w:pPr>
          </w:p>
        </w:tc>
        <w:tc>
          <w:tcPr>
            <w:tcW w:type="dxa" w:w="2552"/>
            <w:vAlign w:val="center"/>
          </w:tcPr>
          <w:p w:rsidP="007C1713" w:rsidR="00DA3FE3" w:rsidRDefault="00DA3FE3" w:rsidRPr="00DA3FE3">
            <w:pPr>
              <w:autoSpaceDE w:val="0"/>
              <w:autoSpaceDN w:val="0"/>
              <w:adjustRightInd w:val="0"/>
              <w:spacing w:before="29" w:line="360" w:lineRule="auto"/>
              <w:ind w:left="15"/>
              <w:jc w:val="left"/>
              <w:rPr>
                <w:rFonts w:eastAsiaTheme="minorEastAsia"/>
                <w:color w:themeColor="text1" w:val="000000"/>
                <w:sz w:val="24"/>
              </w:rPr>
            </w:pPr>
            <w:r w:rsidRPr="00DA3FE3">
              <w:rPr>
                <w:rFonts w:eastAsiaTheme="minorEastAsia"/>
                <w:color w:themeColor="text1" w:val="000000"/>
                <w:sz w:val="24"/>
              </w:rPr>
              <w:t>其中：剩余存续期超过</w:t>
            </w:r>
            <w:r w:rsidRPr="00DA3FE3">
              <w:rPr>
                <w:rFonts w:eastAsiaTheme="minorEastAsia"/>
                <w:color w:themeColor="text1" w:val="000000"/>
                <w:sz w:val="24"/>
              </w:rPr>
              <w:t>397</w:t>
            </w:r>
            <w:r w:rsidRPr="00DA3FE3">
              <w:rPr>
                <w:rFonts w:eastAsiaTheme="minorEastAsia"/>
                <w:color w:themeColor="text1" w:val="000000"/>
                <w:sz w:val="24"/>
              </w:rPr>
              <w:t>天的浮动利率债</w:t>
            </w:r>
          </w:p>
        </w:tc>
        <w:tc>
          <w:tcPr>
            <w:tcW w:type="dxa" w:w="2835"/>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c>
          <w:tcPr>
            <w:tcW w:type="dxa" w:w="3208"/>
            <w:vAlign w:val="center"/>
          </w:tcPr>
          <w:p w:rsidP="007C1713" w:rsidR="00DA3FE3" w:rsidRDefault="00DA3FE3" w:rsidRPr="00DA3FE3">
            <w:pPr>
              <w:autoSpaceDE w:val="0"/>
              <w:autoSpaceDN w:val="0"/>
              <w:adjustRightInd w:val="0"/>
              <w:spacing w:before="29" w:line="360" w:lineRule="auto"/>
              <w:ind w:left="15"/>
              <w:jc w:val="right"/>
              <w:rPr>
                <w:rFonts w:eastAsiaTheme="minorEastAsia"/>
                <w:color w:themeColor="text1" w:val="000000"/>
                <w:kern w:val="0"/>
                <w:sz w:val="24"/>
              </w:rPr>
            </w:pPr>
            <w:r w:rsidRPr="00DA3FE3">
              <w:rPr>
                <w:rFonts w:eastAsiaTheme="minorEastAsia"/>
                <w:color w:themeColor="text1" w:val="000000"/>
                <w:sz w:val="24"/>
              </w:rPr>
              <w:t>-</w:t>
            </w:r>
          </w:p>
        </w:tc>
      </w:tr>
      <w:tr w:rsidR="002A114B" w:rsidRPr="006662B2" w:rsidTr="00FB4E7D">
        <w:tc>
          <w:tcPr>
            <w:tcW w:type="dxa" w:w="3119"/>
            <w:gridSpan w:val="2"/>
            <w:vAlign w:val="center"/>
          </w:tcPr>
          <w:p w:rsidP="009B0994" w:rsidR="002A114B" w:rsidRDefault="002A114B" w:rsidRPr="00DA3FE3">
            <w:pPr>
              <w:autoSpaceDE w:val="0"/>
              <w:autoSpaceDN w:val="0"/>
              <w:adjustRightInd w:val="0"/>
              <w:spacing w:before="29" w:line="360" w:lineRule="auto"/>
              <w:ind w:left="15"/>
              <w:jc w:val="center"/>
              <w:rPr>
                <w:color w:val="000000"/>
                <w:sz w:val="24"/>
              </w:rPr>
            </w:pPr>
            <w:r w:rsidRPr="00DA3FE3">
              <w:rPr>
                <w:color w:val="000000"/>
                <w:sz w:val="24"/>
              </w:rPr>
              <w:t>合计</w:t>
            </w:r>
          </w:p>
        </w:tc>
        <w:tc>
          <w:tcPr>
            <w:tcW w:type="dxa" w:w="2835"/>
            <w:vAlign w:val="center"/>
          </w:tcPr>
          <w:p w:rsidP="0098005A" w:rsidR="002A114B" w:rsidRDefault="002A114B" w:rsidRPr="002A114B">
            <w:pPr>
              <w:autoSpaceDE w:val="0"/>
              <w:autoSpaceDN w:val="0"/>
              <w:adjustRightInd w:val="0"/>
              <w:spacing w:before="29" w:line="360" w:lineRule="auto"/>
              <w:ind w:left="15"/>
              <w:jc w:val="right"/>
              <w:rPr>
                <w:rFonts w:eastAsiaTheme="minorEastAsia"/>
                <w:color w:themeColor="text1" w:val="000000"/>
                <w:kern w:val="0"/>
                <w:sz w:val="24"/>
              </w:rPr>
            </w:pPr>
            <w:r w:rsidRPr="002A114B">
              <w:rPr>
                <w:rFonts w:eastAsiaTheme="minorEastAsia"/>
                <w:color w:themeColor="text1" w:val="000000"/>
                <w:sz w:val="24"/>
              </w:rPr>
              <w:t/>
            </w:r>
            <w:proofErr w:type="spellStart"/>
            <w:r w:rsidRPr="002A114B">
              <w:rPr>
                <w:rFonts w:eastAsiaTheme="minorEastAsia"/>
                <w:color w:themeColor="text1" w:val="000000"/>
                <w:sz w:val="24"/>
              </w:rPr>
              <w:t/>
            </w:r>
            <w:proofErr w:type="spellEnd"/>
            <w:r w:rsidRPr="002A114B">
              <w:rPr>
                <w:rFonts w:eastAsiaTheme="minorEastAsia"/>
                <w:color w:themeColor="text1" w:val="000000"/>
                <w:sz w:val="24"/>
              </w:rPr>
              <w:t>101.80</w:t>
            </w:r>
          </w:p>
        </w:tc>
        <w:tc>
          <w:tcPr>
            <w:tcW w:type="dxa" w:w="3208"/>
            <w:vAlign w:val="center"/>
          </w:tcPr>
          <w:p w:rsidP="0098005A" w:rsidR="002A114B" w:rsidRDefault="002A114B" w:rsidRPr="002A114B">
            <w:pPr>
              <w:autoSpaceDE w:val="0"/>
              <w:autoSpaceDN w:val="0"/>
              <w:adjustRightInd w:val="0"/>
              <w:spacing w:before="29" w:line="360" w:lineRule="auto"/>
              <w:ind w:left="15"/>
              <w:jc w:val="right"/>
              <w:rPr>
                <w:rFonts w:eastAsiaTheme="minorEastAsia"/>
                <w:color w:themeColor="text1" w:val="000000"/>
                <w:kern w:val="0"/>
                <w:sz w:val="24"/>
              </w:rPr>
            </w:pPr>
            <w:r w:rsidRPr="002A114B">
              <w:rPr>
                <w:rFonts w:eastAsiaTheme="minorEastAsia"/>
                <w:color w:themeColor="text1" w:val="000000"/>
                <w:sz w:val="24"/>
              </w:rPr>
              <w:t/>
            </w:r>
            <w:proofErr w:type="spellStart"/>
            <w:r w:rsidRPr="002A114B">
              <w:rPr>
                <w:rFonts w:eastAsiaTheme="minorEastAsia"/>
                <w:color w:themeColor="text1" w:val="000000"/>
                <w:sz w:val="24"/>
              </w:rPr>
              <w:t/>
            </w:r>
            <w:proofErr w:type="spellEnd"/>
            <w:r w:rsidRPr="002A114B">
              <w:rPr>
                <w:rFonts w:eastAsiaTheme="minorEastAsia"/>
                <w:color w:themeColor="text1" w:val="000000"/>
                <w:sz w:val="24"/>
              </w:rPr>
              <w:t>1.80</w:t>
            </w:r>
          </w:p>
        </w:tc>
      </w:tr>
    </w:tbl>
    <w:p w:rsidP="00DA3FE3" w:rsidR="00DA3FE3" w:rsidRDefault="00DA3FE3" w:rsidRPr="00DA3FE3">
      <w:pPr>
        <w:spacing w:line="360" w:lineRule="auto"/>
        <w:rPr>
          <w:rFonts w:ascii="宋体" w:cs="Arial" w:hAnsi="宋体"/>
          <w:b/>
          <w:color w:val="000000"/>
          <w:kern w:val="0"/>
          <w:sz w:val="24"/>
        </w:rPr>
      </w:pPr>
      <w:r w:rsidRPr="00DA3FE3">
        <w:rPr>
          <w:rFonts w:ascii="宋体" w:cs="Arial" w:hAnsi="宋体" w:hint="eastAsia"/>
          <w:b/>
          <w:color w:val="000000"/>
          <w:kern w:val="0"/>
          <w:sz w:val="24"/>
        </w:rPr>
        <w:t>5.4报告期内投资组合平均剩余存续期超过240天情况说明</w:t>
      </w:r>
    </w:p>
    <w:p w:rsidP="00DA3FE3" w:rsidR="00DA3FE3" w:rsidRDefault="00DA3FE3" w:rsidRPr="00DA3FE3">
      <w:pPr>
        <w:spacing w:line="360" w:lineRule="auto"/>
        <w:ind w:firstLine="480" w:firstLineChars="200"/>
        <w:rPr>
          <w:color w:val="000000"/>
          <w:sz w:val="24"/>
        </w:rPr>
      </w:pPr>
      <w:r w:rsidRPr="00DA3FE3">
        <w:rPr>
          <w:rFonts w:hint="eastAsia"/>
          <w:color w:val="000000"/>
          <w:sz w:val="24"/>
        </w:rPr>
        <w:t/>
      </w:r>
      <w:r w:rsidRPr="00DA3FE3">
        <w:rPr>
          <w:color w:val="000000"/>
          <w:sz w:val="24"/>
        </w:rPr>
        <w:t/>
      </w:r>
      <w:r w:rsidRPr="00DA3FE3">
        <w:rPr>
          <w:rFonts w:hint="eastAsia"/>
          <w:color w:val="000000"/>
          <w:sz w:val="24"/>
        </w:rPr>
        <w:t>本报告期内本货币市场基金投资组合平均剩余存续期未超过240天。</w:t>
      </w:r>
    </w:p>
    <w:p w:rsidP="00B00842" w:rsidR="00B00842" w:rsidRDefault="00701DE9" w:rsidRPr="00B00842">
      <w:pPr>
        <w:spacing w:line="360" w:lineRule="auto"/>
        <w:rPr>
          <w:rFonts w:eastAsiaTheme="minorEastAsia"/>
          <w:b/>
          <w:color w:themeColor="text1" w:val="000000"/>
          <w:kern w:val="0"/>
          <w:sz w:val="24"/>
        </w:rPr>
      </w:pPr>
      <w:r w:rsidRPr="006662B2">
        <w:rPr>
          <w:rFonts w:ascii="宋体" w:cs="Arial" w:hAnsi="宋体"/>
          <w:b/>
          <w:color w:val="000000"/>
          <w:kern w:val="0"/>
          <w:sz w:val="24"/>
        </w:rPr>
        <w:t>5.</w:t>
      </w:r>
      <w:r w:rsidR="00DA3FE3">
        <w:rPr>
          <w:rFonts w:ascii="宋体" w:cs="Arial" w:hAnsi="宋体" w:hint="eastAsia"/>
          <w:b/>
          <w:color w:val="000000"/>
          <w:kern w:val="0"/>
          <w:sz w:val="24"/>
        </w:rPr>
        <w:t>5</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报告期末按债券品种分类的债券投资组合</w:t>
      </w:r>
    </w:p>
    <w:tbl>
      <w:tblPr>
        <w:tblStyle w:val="a8"/>
        <w:tblW w:type="dxa" w:w="9307"/>
        <w:tblInd w:type="dxa" w:w="15"/>
        <w:tblLayout w:type="fixed"/>
        <w:tblLook w:firstColumn="1" w:firstRow="1" w:lastColumn="0" w:lastRow="0" w:noHBand="0" w:noVBand="1" w:val="04A0"/>
      </w:tblPr>
      <w:tblGrid>
        <w:gridCol w:w="894"/>
        <w:gridCol w:w="2743"/>
        <w:gridCol w:w="3686"/>
        <w:gridCol w:w="1984"/>
      </w:tblGrid>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序号</w:t>
            </w:r>
          </w:p>
        </w:tc>
        <w:tc>
          <w:tcPr>
            <w:tcW w:type="dxa" w:w="2743"/>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债券品种</w:t>
            </w: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
            </w:r>
          </w:p>
        </w:tc>
        <w:tc>
          <w:tcPr>
            <w:tcW w:type="dxa" w:w="3686"/>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公允价值</w:t>
            </w:r>
            <w:r w:rsidRPr="00B00842">
              <w:rPr>
                <w:rFonts w:eastAsiaTheme="minorEastAsia"/>
                <w:color w:themeColor="text1" w:val="000000"/>
                <w:sz w:val="24"/>
              </w:rPr>
              <w:t>(</w:t>
            </w:r>
            <w:r w:rsidRPr="00B00842">
              <w:rPr>
                <w:rFonts w:eastAsiaTheme="minorEastAsia"/>
                <w:color w:themeColor="text1" w:val="000000"/>
                <w:sz w:val="24"/>
              </w:rPr>
              <w:t>元</w:t>
            </w:r>
            <w:r w:rsidRPr="00B00842">
              <w:rPr>
                <w:rFonts w:eastAsiaTheme="minorEastAsia"/>
                <w:color w:themeColor="text1" w:val="000000"/>
                <w:sz w:val="24"/>
              </w:rPr>
              <w:t>)</w:t>
            </w:r>
          </w:p>
        </w:tc>
        <w:tc>
          <w:tcPr>
            <w:tcW w:type="dxa" w:w="198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占基金资产净值比例</w:t>
            </w:r>
            <w:r w:rsidRPr="00B00842">
              <w:rPr>
                <w:rFonts w:eastAsiaTheme="minorEastAsia"/>
                <w:color w:themeColor="text1" w:val="000000"/>
                <w:sz w:val="24"/>
              </w:rPr>
              <w:t>(</w:t>
            </w:r>
            <w:r w:rsidRPr="00B00842">
              <w:rPr>
                <w:rFonts w:eastAsiaTheme="minorEastAsia"/>
                <w:color w:themeColor="text1" w:val="000000"/>
                <w:sz w:val="24"/>
              </w:rPr>
              <w:t>％</w:t>
            </w:r>
            <w:r w:rsidRPr="00B00842">
              <w:rPr>
                <w:rFonts w:eastAsiaTheme="minorEastAsia"/>
                <w:color w:themeColor="text1" w:val="000000"/>
                <w:sz w:val="24"/>
              </w:rPr>
              <w:t>)</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1</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国家债券</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9,965,599.68</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r w:rsidRPr="00B00842">
              <w:rPr>
                <w:rFonts w:eastAsiaTheme="minorEastAsia"/>
                <w:color w:themeColor="text1" w:val="000000"/>
                <w:sz w:val="24"/>
              </w:rPr>
              <w:lastRenderedPageBreak/>
              <w:t>0.80</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lastRenderedPageBreak/>
              <w:t>2</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央行票据</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3</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金融债券</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60,179,773.68</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4.85</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其中：政策性金融债</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60,179,773.68</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4.85</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4</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企业债券</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5</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企业短期融资券</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70,020,456.51</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r w:rsidRPr="00B00842">
              <w:rPr>
                <w:rFonts w:eastAsiaTheme="minorEastAsia"/>
                <w:color w:themeColor="text1" w:val="000000"/>
                <w:sz w:val="24"/>
              </w:rPr>
              <w:lastRenderedPageBreak/>
              <w:t>5.65</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lastRenderedPageBreak/>
              <w:t>6</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中期票据</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20,532,695.91</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1.66</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7</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同业存单</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246,463,723.68</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19.88</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8</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其他</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9</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t>合计</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407,162,249.46</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t/>
            </w:r>
            <w:proofErr w:type="spellStart"/>
            <w:r w:rsidRPr="00B00842">
              <w:rPr>
                <w:rFonts w:eastAsiaTheme="minorEastAsia"/>
                <w:color w:themeColor="text1" w:val="000000"/>
                <w:sz w:val="24"/>
              </w:rPr>
              <w:t/>
            </w:r>
            <w:proofErr w:type="spellEnd"/>
            <w:r w:rsidRPr="00B00842">
              <w:rPr>
                <w:rFonts w:eastAsiaTheme="minorEastAsia"/>
                <w:color w:themeColor="text1" w:val="000000"/>
                <w:sz w:val="24"/>
              </w:rPr>
              <w:t>32.84</w:t>
            </w:r>
          </w:p>
        </w:tc>
      </w:tr>
      <w:tr w:rsidR="00B00842" w:rsidRPr="00B00842" w:rsidTr="002749C9">
        <w:tc>
          <w:tcPr>
            <w:tcW w:type="dxa" w:w="894"/>
            <w:vAlign w:val="center"/>
          </w:tcPr>
          <w:p w:rsidP="002749C9" w:rsidR="00B00842" w:rsidRDefault="00B00842" w:rsidRPr="00B00842">
            <w:pPr>
              <w:spacing w:before="29" w:line="360" w:lineRule="auto"/>
              <w:ind w:left="17"/>
              <w:jc w:val="center"/>
              <w:rPr>
                <w:rFonts w:eastAsiaTheme="minorEastAsia"/>
                <w:color w:themeColor="text1" w:val="000000"/>
                <w:sz w:val="24"/>
              </w:rPr>
            </w:pPr>
            <w:r w:rsidRPr="00B00842">
              <w:rPr>
                <w:rFonts w:eastAsiaTheme="minorEastAsia"/>
                <w:color w:themeColor="text1" w:val="000000"/>
                <w:sz w:val="24"/>
              </w:rPr>
              <w:t/>
            </w:r>
            <w:r w:rsidRPr="00B00842">
              <w:rPr>
                <w:rFonts w:eastAsiaTheme="minorEastAsia"/>
                <w:color w:themeColor="text1" w:val="000000"/>
                <w:sz w:val="24"/>
              </w:rPr>
              <w:lastRenderedPageBreak/>
              <w:t>10</w:t>
            </w:r>
          </w:p>
        </w:tc>
        <w:tc>
          <w:tcPr>
            <w:tcW w:type="dxa" w:w="2743"/>
            <w:vAlign w:val="center"/>
          </w:tcPr>
          <w:p w:rsidP="002749C9" w:rsidR="00B00842" w:rsidRDefault="00B00842" w:rsidRPr="00B00842">
            <w:pPr>
              <w:spacing w:before="29" w:line="360" w:lineRule="auto"/>
              <w:ind w:left="17"/>
              <w:jc w:val="left"/>
              <w:rPr>
                <w:rFonts w:eastAsiaTheme="minorEastAsia"/>
                <w:color w:themeColor="text1" w:val="000000"/>
                <w:sz w:val="24"/>
              </w:rPr>
            </w:pPr>
            <w:r w:rsidRPr="00B00842">
              <w:rPr>
                <w:rFonts w:eastAsiaTheme="minorEastAsia"/>
                <w:color w:themeColor="text1" w:val="000000"/>
                <w:sz w:val="24"/>
              </w:rPr>
              <w:lastRenderedPageBreak/>
              <w:t>剩余存续期超过</w:t>
            </w:r>
            <w:r w:rsidRPr="00B00842">
              <w:rPr>
                <w:rFonts w:eastAsiaTheme="minorEastAsia"/>
                <w:color w:themeColor="text1" w:val="000000"/>
                <w:sz w:val="24"/>
              </w:rPr>
              <w:t>397</w:t>
            </w:r>
            <w:r w:rsidRPr="00B00842">
              <w:rPr>
                <w:rFonts w:eastAsiaTheme="minorEastAsia"/>
                <w:color w:themeColor="text1" w:val="000000"/>
                <w:sz w:val="24"/>
              </w:rPr>
              <w:t>天</w:t>
            </w:r>
            <w:r w:rsidRPr="00B00842">
              <w:rPr>
                <w:rFonts w:eastAsiaTheme="minorEastAsia"/>
                <w:color w:themeColor="text1" w:val="000000"/>
                <w:sz w:val="24"/>
              </w:rPr>
              <w:lastRenderedPageBreak/>
              <w:t>的浮动利率债券</w:t>
            </w:r>
          </w:p>
        </w:tc>
        <w:tc>
          <w:tcPr>
            <w:tcW w:type="dxa" w:w="3686"/>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lastRenderedPageBreak/>
              <w:t/>
            </w:r>
            <w:r w:rsidRPr="00B00842">
              <w:rPr>
                <w:rFonts w:eastAsiaTheme="minorEastAsia"/>
                <w:color w:themeColor="text1" w:val="000000"/>
                <w:sz w:val="24"/>
              </w:rPr>
              <w:lastRenderedPageBreak/>
              <w:t>-</w:t>
            </w:r>
          </w:p>
        </w:tc>
        <w:tc>
          <w:tcPr>
            <w:tcW w:type="dxa" w:w="1984"/>
            <w:vAlign w:val="center"/>
          </w:tcPr>
          <w:p w:rsidP="002749C9" w:rsidR="00B00842" w:rsidRDefault="00B00842" w:rsidRPr="00B00842">
            <w:pPr>
              <w:spacing w:before="29" w:line="360" w:lineRule="auto"/>
              <w:ind w:left="17"/>
              <w:jc w:val="right"/>
              <w:rPr>
                <w:rFonts w:eastAsiaTheme="minorEastAsia"/>
                <w:color w:themeColor="text1" w:val="000000"/>
                <w:sz w:val="24"/>
              </w:rPr>
            </w:pPr>
            <w:r w:rsidRPr="00B00842">
              <w:rPr>
                <w:rFonts w:eastAsiaTheme="minorEastAsia"/>
                <w:color w:themeColor="text1" w:val="000000"/>
                <w:sz w:val="24"/>
              </w:rPr>
              <w:lastRenderedPageBreak/>
              <w:t/>
            </w:r>
            <w:r w:rsidRPr="00B00842">
              <w:rPr>
                <w:rFonts w:eastAsiaTheme="minorEastAsia"/>
                <w:color w:themeColor="text1" w:val="000000"/>
                <w:sz w:val="24"/>
              </w:rPr>
              <w:lastRenderedPageBreak/>
              <w:t>-</w:t>
            </w:r>
          </w:p>
        </w:tc>
      </w:tr>
    </w:tbl>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5.</w:t>
      </w:r>
      <w:r w:rsidR="00DA3FE3">
        <w:rPr>
          <w:rFonts w:ascii="宋体" w:cs="Arial" w:hAnsi="宋体" w:hint="eastAsia"/>
          <w:b/>
          <w:color w:val="000000"/>
          <w:kern w:val="0"/>
          <w:sz w:val="24"/>
        </w:rPr>
        <w:t>6</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报告期末按摊余成本占基金资产净值比例大小排</w:t>
      </w:r>
      <w:r w:rsidR="00075BDA">
        <w:rPr>
          <w:rFonts w:ascii="宋体" w:cs="Arial" w:hAnsi="宋体" w:hint="eastAsia"/>
          <w:b/>
          <w:color w:val="000000"/>
          <w:kern w:val="0"/>
          <w:sz w:val="24"/>
        </w:rPr>
        <w:t>名</w:t>
      </w:r>
      <w:r w:rsidRPr="006662B2">
        <w:rPr>
          <w:rFonts w:ascii="宋体" w:cs="Arial" w:hAnsi="宋体" w:hint="eastAsia"/>
          <w:b/>
          <w:color w:val="000000"/>
          <w:kern w:val="0"/>
          <w:sz w:val="24"/>
        </w:rPr>
        <w:t>的前十名债券投资明细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403"/>
        <w:gridCol w:w="1404"/>
        <w:gridCol w:w="1404"/>
        <w:gridCol w:w="1692"/>
        <w:gridCol w:w="1692"/>
        <w:gridCol w:w="1692"/>
      </w:tblGrid>
      <w:tr w:rsidR="00701DE9" w:rsidRPr="006662B2" w:rsidTr="000E5E52">
        <w:tc>
          <w:tcPr>
            <w:tcW w:type="dxa" w:w="1547"/>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序号</w:t>
            </w:r>
          </w:p>
        </w:tc>
        <w:tc>
          <w:tcPr>
            <w:tcW w:type="dxa" w:w="1548"/>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债券代码</w:t>
            </w:r>
          </w:p>
        </w:tc>
        <w:tc>
          <w:tcPr>
            <w:tcW w:type="dxa" w:w="1548"/>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债券名称</w:t>
            </w:r>
          </w:p>
        </w:tc>
        <w:tc>
          <w:tcPr>
            <w:tcW w:type="dxa" w:w="1548"/>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债券数量</w:t>
            </w:r>
          </w:p>
          <w:p w:rsidP="009327CC" w:rsidR="00701DE9" w:rsidRDefault="009327CC"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（张）</w:t>
            </w:r>
          </w:p>
        </w:tc>
        <w:tc>
          <w:tcPr>
            <w:tcW w:type="dxa" w:w="1548"/>
            <w:vAlign w:val="center"/>
          </w:tcPr>
          <w:p w:rsidP="00E753E4"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摊余成本</w:t>
            </w:r>
            <w:r w:rsidR="00E753E4" w:rsidRPr="009F4D34">
              <w:rPr>
                <w:color w:val="000000"/>
                <w:kern w:val="0"/>
                <w:sz w:val="24"/>
              </w:rPr>
              <w:t>（元）</w:t>
            </w:r>
          </w:p>
        </w:tc>
        <w:tc>
          <w:tcPr>
            <w:tcW w:type="dxa" w:w="1548"/>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111903111</w:t>
            </w:r>
          </w:p>
        </w:tc>
        <w:tc>
          <w:tcPr>
            <w:vAlign w:val="center"/>
          </w:tcPr>
          <w:p>
            <w:pPr>
              <w:jc w:val="center"/>
            </w:pPr>
            <w:r>
              <w:rPr>
                <w:color w:val="000000"/>
                <w:sz w:val="24"/>
              </w:rPr>
              <w:t>19农业银行CD111</w:t>
            </w:r>
          </w:p>
        </w:tc>
        <w:tc>
          <w:tcPr>
            <w:vAlign w:val="center"/>
          </w:tcPr>
          <w:p>
            <w:pPr>
              <w:jc w:val="right"/>
            </w:pPr>
            <w:r>
              <w:rPr>
                <w:color w:val="000000"/>
                <w:sz w:val="24"/>
              </w:rPr>
              <w:t>1,000,000</w:t>
            </w:r>
          </w:p>
        </w:tc>
        <w:tc>
          <w:tcPr>
            <w:vAlign w:val="center"/>
          </w:tcPr>
          <w:p>
            <w:pPr>
              <w:jc w:val="right"/>
            </w:pPr>
            <w:r>
              <w:rPr>
                <w:color w:val="000000"/>
                <w:sz w:val="24"/>
              </w:rPr>
              <w:t>99,529,387.10</w:t>
            </w:r>
          </w:p>
        </w:tc>
        <w:tc>
          <w:tcPr>
            <w:vAlign w:val="center"/>
          </w:tcPr>
          <w:p>
            <w:pPr>
              <w:jc w:val="right"/>
            </w:pPr>
            <w:r>
              <w:rPr>
                <w:color w:val="000000"/>
                <w:sz w:val="24"/>
              </w:rPr>
              <w:t>8.03</w:t>
            </w:r>
          </w:p>
        </w:tc>
      </w:tr>
      <w:tr>
        <w:tc>
          <w:tcPr>
            <w:vAlign w:val="center"/>
          </w:tcPr>
          <w:p>
            <w:pPr>
              <w:jc w:val="center"/>
            </w:pPr>
            <w:r>
              <w:rPr>
                <w:color w:val="000000"/>
                <w:sz w:val="24"/>
              </w:rPr>
              <w:t>2</w:t>
            </w:r>
          </w:p>
        </w:tc>
        <w:tc>
          <w:tcPr>
            <w:vAlign w:val="center"/>
          </w:tcPr>
          <w:p>
            <w:pPr>
              <w:jc w:val="center"/>
            </w:pPr>
            <w:r>
              <w:rPr>
                <w:color w:val="000000"/>
                <w:sz w:val="24"/>
              </w:rPr>
              <w:t>200401</w:t>
            </w:r>
          </w:p>
        </w:tc>
        <w:tc>
          <w:tcPr>
            <w:vAlign w:val="center"/>
          </w:tcPr>
          <w:p>
            <w:pPr>
              <w:jc w:val="center"/>
            </w:pPr>
            <w:r>
              <w:rPr>
                <w:color w:val="000000"/>
                <w:sz w:val="24"/>
              </w:rPr>
              <w:t>20农发01</w:t>
            </w:r>
          </w:p>
        </w:tc>
        <w:tc>
          <w:tcPr>
            <w:vAlign w:val="center"/>
          </w:tcPr>
          <w:p>
            <w:pPr>
              <w:jc w:val="right"/>
            </w:pPr>
            <w:r>
              <w:rPr>
                <w:color w:val="000000"/>
                <w:sz w:val="24"/>
              </w:rPr>
              <w:t>500,000</w:t>
            </w:r>
          </w:p>
        </w:tc>
        <w:tc>
          <w:tcPr>
            <w:vAlign w:val="center"/>
          </w:tcPr>
          <w:p>
            <w:pPr>
              <w:jc w:val="right"/>
            </w:pPr>
            <w:r>
              <w:rPr>
                <w:color w:val="000000"/>
                <w:sz w:val="24"/>
              </w:rPr>
              <w:t>50,165,198.68</w:t>
            </w:r>
          </w:p>
        </w:tc>
        <w:tc>
          <w:tcPr>
            <w:vAlign w:val="center"/>
          </w:tcPr>
          <w:p>
            <w:pPr>
              <w:jc w:val="right"/>
            </w:pPr>
            <w:r>
              <w:rPr>
                <w:color w:val="000000"/>
                <w:sz w:val="24"/>
              </w:rPr>
              <w:t>4.05</w:t>
            </w:r>
          </w:p>
        </w:tc>
      </w:tr>
      <w:tr>
        <w:tc>
          <w:tcPr>
            <w:vAlign w:val="center"/>
          </w:tcPr>
          <w:p>
            <w:pPr>
              <w:jc w:val="center"/>
            </w:pPr>
            <w:r>
              <w:rPr>
                <w:color w:val="000000"/>
                <w:sz w:val="24"/>
              </w:rPr>
              <w:t>3</w:t>
            </w:r>
          </w:p>
        </w:tc>
        <w:tc>
          <w:tcPr>
            <w:vAlign w:val="center"/>
          </w:tcPr>
          <w:p>
            <w:pPr>
              <w:jc w:val="center"/>
            </w:pPr>
            <w:r>
              <w:rPr>
                <w:color w:val="000000"/>
                <w:sz w:val="24"/>
              </w:rPr>
              <w:t>112006020</w:t>
            </w:r>
          </w:p>
        </w:tc>
        <w:tc>
          <w:tcPr>
            <w:vAlign w:val="center"/>
          </w:tcPr>
          <w:p>
            <w:pPr>
              <w:jc w:val="center"/>
            </w:pPr>
            <w:r>
              <w:rPr>
                <w:color w:val="000000"/>
                <w:sz w:val="24"/>
              </w:rPr>
              <w:t>20交通银行CD020</w:t>
            </w:r>
          </w:p>
        </w:tc>
        <w:tc>
          <w:tcPr>
            <w:vAlign w:val="center"/>
          </w:tcPr>
          <w:p>
            <w:pPr>
              <w:jc w:val="right"/>
            </w:pPr>
            <w:r>
              <w:rPr>
                <w:color w:val="000000"/>
                <w:sz w:val="24"/>
              </w:rPr>
              <w:t>500,000</w:t>
            </w:r>
          </w:p>
        </w:tc>
        <w:tc>
          <w:tcPr>
            <w:vAlign w:val="center"/>
          </w:tcPr>
          <w:p>
            <w:pPr>
              <w:jc w:val="right"/>
            </w:pPr>
            <w:r>
              <w:rPr>
                <w:color w:val="000000"/>
                <w:sz w:val="24"/>
              </w:rPr>
              <w:t>49,011,952.65</w:t>
            </w:r>
          </w:p>
        </w:tc>
        <w:tc>
          <w:tcPr>
            <w:vAlign w:val="center"/>
          </w:tcPr>
          <w:p>
            <w:pPr>
              <w:jc w:val="right"/>
            </w:pPr>
            <w:r>
              <w:rPr>
                <w:color w:val="000000"/>
                <w:sz w:val="24"/>
              </w:rPr>
              <w:t>3.95</w:t>
            </w:r>
          </w:p>
        </w:tc>
      </w:tr>
      <w:tr>
        <w:tc>
          <w:tcPr>
            <w:vAlign w:val="center"/>
          </w:tcPr>
          <w:p>
            <w:pPr>
              <w:jc w:val="center"/>
            </w:pPr>
            <w:r>
              <w:rPr>
                <w:color w:val="000000"/>
                <w:sz w:val="24"/>
              </w:rPr>
              <w:t>4</w:t>
            </w:r>
          </w:p>
        </w:tc>
        <w:tc>
          <w:tcPr>
            <w:vAlign w:val="center"/>
          </w:tcPr>
          <w:p>
            <w:pPr>
              <w:jc w:val="center"/>
            </w:pPr>
            <w:r>
              <w:rPr>
                <w:color w:val="000000"/>
                <w:sz w:val="24"/>
              </w:rPr>
              <w:t>112006029</w:t>
            </w:r>
          </w:p>
        </w:tc>
        <w:tc>
          <w:tcPr>
            <w:vAlign w:val="center"/>
          </w:tcPr>
          <w:p>
            <w:pPr>
              <w:jc w:val="center"/>
            </w:pPr>
            <w:r>
              <w:rPr>
                <w:color w:val="000000"/>
                <w:sz w:val="24"/>
              </w:rPr>
              <w:t>20交通银行CD029</w:t>
            </w:r>
          </w:p>
        </w:tc>
        <w:tc>
          <w:tcPr>
            <w:vAlign w:val="center"/>
          </w:tcPr>
          <w:p>
            <w:pPr>
              <w:jc w:val="right"/>
            </w:pPr>
            <w:r>
              <w:rPr>
                <w:color w:val="000000"/>
                <w:sz w:val="24"/>
              </w:rPr>
              <w:t>500,000</w:t>
            </w:r>
          </w:p>
        </w:tc>
        <w:tc>
          <w:tcPr>
            <w:vAlign w:val="center"/>
          </w:tcPr>
          <w:p>
            <w:pPr>
              <w:jc w:val="right"/>
            </w:pPr>
            <w:r>
              <w:rPr>
                <w:color w:val="000000"/>
                <w:sz w:val="24"/>
              </w:rPr>
              <w:t>48,969,849.39</w:t>
            </w:r>
          </w:p>
        </w:tc>
        <w:tc>
          <w:tcPr>
            <w:vAlign w:val="center"/>
          </w:tcPr>
          <w:p>
            <w:pPr>
              <w:jc w:val="right"/>
            </w:pPr>
            <w:r>
              <w:rPr>
                <w:color w:val="000000"/>
                <w:sz w:val="24"/>
              </w:rPr>
              <w:t>3.95</w:t>
            </w:r>
          </w:p>
        </w:tc>
      </w:tr>
      <w:tr>
        <w:tc>
          <w:tcPr>
            <w:vAlign w:val="center"/>
          </w:tcPr>
          <w:p>
            <w:pPr>
              <w:jc w:val="center"/>
            </w:pPr>
            <w:r>
              <w:rPr>
                <w:color w:val="000000"/>
                <w:sz w:val="24"/>
              </w:rPr>
              <w:t>5</w:t>
            </w:r>
          </w:p>
        </w:tc>
        <w:tc>
          <w:tcPr>
            <w:vAlign w:val="center"/>
          </w:tcPr>
          <w:p>
            <w:pPr>
              <w:jc w:val="center"/>
            </w:pPr>
            <w:r>
              <w:rPr>
                <w:color w:val="000000"/>
                <w:sz w:val="24"/>
              </w:rPr>
              <w:t>112006049</w:t>
            </w:r>
          </w:p>
        </w:tc>
        <w:tc>
          <w:tcPr>
            <w:vAlign w:val="center"/>
          </w:tcPr>
          <w:p>
            <w:pPr>
              <w:jc w:val="center"/>
            </w:pPr>
            <w:r>
              <w:rPr>
                <w:color w:val="000000"/>
                <w:sz w:val="24"/>
              </w:rPr>
              <w:t>20交通银行CD049</w:t>
            </w:r>
          </w:p>
        </w:tc>
        <w:tc>
          <w:tcPr>
            <w:vAlign w:val="center"/>
          </w:tcPr>
          <w:p>
            <w:pPr>
              <w:jc w:val="right"/>
            </w:pPr>
            <w:r>
              <w:rPr>
                <w:color w:val="000000"/>
                <w:sz w:val="24"/>
              </w:rPr>
              <w:t>500,000</w:t>
            </w:r>
          </w:p>
        </w:tc>
        <w:tc>
          <w:tcPr>
            <w:vAlign w:val="center"/>
          </w:tcPr>
          <w:p>
            <w:pPr>
              <w:jc w:val="right"/>
            </w:pPr>
            <w:r>
              <w:rPr>
                <w:color w:val="000000"/>
                <w:sz w:val="24"/>
              </w:rPr>
              <w:t>48,952,534.54</w:t>
            </w:r>
          </w:p>
        </w:tc>
        <w:tc>
          <w:tcPr>
            <w:vAlign w:val="center"/>
          </w:tcPr>
          <w:p>
            <w:pPr>
              <w:jc w:val="right"/>
            </w:pPr>
            <w:r>
              <w:rPr>
                <w:color w:val="000000"/>
                <w:sz w:val="24"/>
              </w:rPr>
              <w:t>3.95</w:t>
            </w:r>
          </w:p>
        </w:tc>
      </w:tr>
      <w:tr>
        <w:tc>
          <w:tcPr>
            <w:vAlign w:val="center"/>
          </w:tcPr>
          <w:p>
            <w:pPr>
              <w:jc w:val="center"/>
            </w:pPr>
            <w:r>
              <w:rPr>
                <w:color w:val="000000"/>
                <w:sz w:val="24"/>
              </w:rPr>
              <w:t>6</w:t>
            </w:r>
          </w:p>
        </w:tc>
        <w:tc>
          <w:tcPr>
            <w:vAlign w:val="center"/>
          </w:tcPr>
          <w:p>
            <w:pPr>
              <w:jc w:val="center"/>
            </w:pPr>
            <w:r>
              <w:rPr>
                <w:color w:val="000000"/>
                <w:sz w:val="24"/>
              </w:rPr>
              <w:t>101800270</w:t>
            </w:r>
          </w:p>
        </w:tc>
        <w:tc>
          <w:tcPr>
            <w:vAlign w:val="center"/>
          </w:tcPr>
          <w:p>
            <w:pPr>
              <w:jc w:val="center"/>
            </w:pPr>
            <w:r>
              <w:rPr>
                <w:color w:val="000000"/>
                <w:sz w:val="24"/>
              </w:rPr>
              <w:t>18津城建MTN007</w:t>
            </w:r>
          </w:p>
        </w:tc>
        <w:tc>
          <w:tcPr>
            <w:vAlign w:val="center"/>
          </w:tcPr>
          <w:p>
            <w:pPr>
              <w:jc w:val="right"/>
            </w:pPr>
            <w:r>
              <w:rPr>
                <w:color w:val="000000"/>
                <w:sz w:val="24"/>
              </w:rPr>
              <w:t>200,000</w:t>
            </w:r>
          </w:p>
        </w:tc>
        <w:tc>
          <w:tcPr>
            <w:vAlign w:val="center"/>
          </w:tcPr>
          <w:p>
            <w:pPr>
              <w:jc w:val="right"/>
            </w:pPr>
            <w:r>
              <w:rPr>
                <w:color w:val="000000"/>
                <w:sz w:val="24"/>
              </w:rPr>
              <w:t>20,532,695.91</w:t>
            </w:r>
          </w:p>
        </w:tc>
        <w:tc>
          <w:tcPr>
            <w:vAlign w:val="center"/>
          </w:tcPr>
          <w:p>
            <w:pPr>
              <w:jc w:val="right"/>
            </w:pPr>
            <w:r>
              <w:rPr>
                <w:color w:val="000000"/>
                <w:sz w:val="24"/>
              </w:rPr>
              <w:t>1.66</w:t>
            </w:r>
          </w:p>
        </w:tc>
      </w:tr>
      <w:tr>
        <w:tc>
          <w:tcPr>
            <w:vAlign w:val="center"/>
          </w:tcPr>
          <w:p>
            <w:pPr>
              <w:jc w:val="center"/>
            </w:pPr>
            <w:r>
              <w:rPr>
                <w:color w:val="000000"/>
                <w:sz w:val="24"/>
              </w:rPr>
              <w:t>7</w:t>
            </w:r>
          </w:p>
        </w:tc>
        <w:tc>
          <w:tcPr>
            <w:vAlign w:val="center"/>
          </w:tcPr>
          <w:p>
            <w:pPr>
              <w:jc w:val="center"/>
            </w:pPr>
            <w:r>
              <w:rPr>
                <w:color w:val="000000"/>
                <w:sz w:val="24"/>
              </w:rPr>
              <w:t>042000065</w:t>
            </w:r>
          </w:p>
        </w:tc>
        <w:tc>
          <w:tcPr>
            <w:vAlign w:val="center"/>
          </w:tcPr>
          <w:p>
            <w:pPr>
              <w:jc w:val="center"/>
            </w:pPr>
            <w:r>
              <w:rPr>
                <w:color w:val="000000"/>
                <w:sz w:val="24"/>
              </w:rPr>
              <w:t>20兖矿(疫情防控债)CP001</w:t>
            </w:r>
          </w:p>
        </w:tc>
        <w:tc>
          <w:tcPr>
            <w:vAlign w:val="center"/>
          </w:tcPr>
          <w:p>
            <w:pPr>
              <w:jc w:val="right"/>
            </w:pPr>
            <w:r>
              <w:rPr>
                <w:color w:val="000000"/>
                <w:sz w:val="24"/>
              </w:rPr>
              <w:t>200,000</w:t>
            </w:r>
          </w:p>
        </w:tc>
        <w:tc>
          <w:tcPr>
            <w:vAlign w:val="center"/>
          </w:tcPr>
          <w:p>
            <w:pPr>
              <w:jc w:val="right"/>
            </w:pPr>
            <w:r>
              <w:rPr>
                <w:color w:val="000000"/>
                <w:sz w:val="24"/>
              </w:rPr>
              <w:t>20,019,586.55</w:t>
            </w:r>
          </w:p>
        </w:tc>
        <w:tc>
          <w:tcPr>
            <w:vAlign w:val="center"/>
          </w:tcPr>
          <w:p>
            <w:pPr>
              <w:jc w:val="right"/>
            </w:pPr>
            <w:r>
              <w:rPr>
                <w:color w:val="000000"/>
                <w:sz w:val="24"/>
              </w:rPr>
              <w:t>1.61</w:t>
            </w:r>
          </w:p>
        </w:tc>
      </w:tr>
      <w:tr>
        <w:tc>
          <w:tcPr>
            <w:vAlign w:val="center"/>
          </w:tcPr>
          <w:p>
            <w:pPr>
              <w:jc w:val="center"/>
            </w:pPr>
            <w:r>
              <w:rPr>
                <w:color w:val="000000"/>
                <w:sz w:val="24"/>
              </w:rPr>
              <w:t>8</w:t>
            </w:r>
          </w:p>
        </w:tc>
        <w:tc>
          <w:tcPr>
            <w:vAlign w:val="center"/>
          </w:tcPr>
          <w:p>
            <w:pPr>
              <w:jc w:val="center"/>
            </w:pPr>
            <w:r>
              <w:rPr>
                <w:color w:val="000000"/>
                <w:sz w:val="24"/>
              </w:rPr>
              <w:t>012000711</w:t>
            </w:r>
          </w:p>
        </w:tc>
        <w:tc>
          <w:tcPr>
            <w:vAlign w:val="center"/>
          </w:tcPr>
          <w:p>
            <w:pPr>
              <w:jc w:val="center"/>
            </w:pPr>
            <w:r>
              <w:rPr>
                <w:color w:val="000000"/>
                <w:sz w:val="24"/>
              </w:rPr>
              <w:t>20海淀国资SCP001</w:t>
            </w:r>
          </w:p>
        </w:tc>
        <w:tc>
          <w:tcPr>
            <w:vAlign w:val="center"/>
          </w:tcPr>
          <w:p>
            <w:pPr>
              <w:jc w:val="right"/>
            </w:pPr>
            <w:r>
              <w:rPr>
                <w:color w:val="000000"/>
                <w:sz w:val="24"/>
              </w:rPr>
              <w:t>200,000</w:t>
            </w:r>
          </w:p>
        </w:tc>
        <w:tc>
          <w:tcPr>
            <w:vAlign w:val="center"/>
          </w:tcPr>
          <w:p>
            <w:pPr>
              <w:jc w:val="right"/>
            </w:pPr>
            <w:r>
              <w:rPr>
                <w:color w:val="000000"/>
                <w:sz w:val="24"/>
              </w:rPr>
              <w:t>20,000,615.88</w:t>
            </w:r>
          </w:p>
        </w:tc>
        <w:tc>
          <w:tcPr>
            <w:vAlign w:val="center"/>
          </w:tcPr>
          <w:p>
            <w:pPr>
              <w:jc w:val="right"/>
            </w:pPr>
            <w:r>
              <w:rPr>
                <w:color w:val="000000"/>
                <w:sz w:val="24"/>
              </w:rPr>
              <w:t>1.61</w:t>
            </w:r>
          </w:p>
        </w:tc>
      </w:tr>
      <w:tr>
        <w:tc>
          <w:tcPr>
            <w:vAlign w:val="center"/>
          </w:tcPr>
          <w:p>
            <w:pPr>
              <w:jc w:val="center"/>
            </w:pPr>
            <w:r>
              <w:rPr>
                <w:color w:val="000000"/>
                <w:sz w:val="24"/>
              </w:rPr>
              <w:t>9</w:t>
            </w:r>
          </w:p>
        </w:tc>
        <w:tc>
          <w:tcPr>
            <w:vAlign w:val="center"/>
          </w:tcPr>
          <w:p>
            <w:pPr>
              <w:jc w:val="center"/>
            </w:pPr>
            <w:r>
              <w:rPr>
                <w:color w:val="000000"/>
                <w:sz w:val="24"/>
              </w:rPr>
              <w:t>012000729</w:t>
            </w:r>
          </w:p>
        </w:tc>
        <w:tc>
          <w:tcPr>
            <w:vAlign w:val="center"/>
          </w:tcPr>
          <w:p>
            <w:pPr>
              <w:jc w:val="center"/>
            </w:pPr>
            <w:r>
              <w:rPr>
                <w:color w:val="000000"/>
                <w:sz w:val="24"/>
              </w:rPr>
              <w:t>20招商蛇口SCP003</w:t>
            </w:r>
          </w:p>
        </w:tc>
        <w:tc>
          <w:tcPr>
            <w:vAlign w:val="center"/>
          </w:tcPr>
          <w:p>
            <w:pPr>
              <w:jc w:val="right"/>
            </w:pPr>
            <w:r>
              <w:rPr>
                <w:color w:val="000000"/>
                <w:sz w:val="24"/>
              </w:rPr>
              <w:t>200,000</w:t>
            </w:r>
          </w:p>
        </w:tc>
        <w:tc>
          <w:tcPr>
            <w:vAlign w:val="center"/>
          </w:tcPr>
          <w:p>
            <w:pPr>
              <w:jc w:val="right"/>
            </w:pPr>
            <w:r>
              <w:rPr>
                <w:color w:val="000000"/>
                <w:sz w:val="24"/>
              </w:rPr>
              <w:t>20,000,208.42</w:t>
            </w:r>
          </w:p>
        </w:tc>
        <w:tc>
          <w:tcPr>
            <w:vAlign w:val="center"/>
          </w:tcPr>
          <w:p>
            <w:pPr>
              <w:jc w:val="right"/>
            </w:pPr>
            <w:r>
              <w:rPr>
                <w:color w:val="000000"/>
                <w:sz w:val="24"/>
              </w:rPr>
              <w:t>1.61</w:t>
            </w:r>
          </w:p>
        </w:tc>
      </w:tr>
      <w:tr>
        <w:tc>
          <w:tcPr>
            <w:vAlign w:val="center"/>
          </w:tcPr>
          <w:p>
            <w:pPr>
              <w:jc w:val="center"/>
            </w:pPr>
            <w:r>
              <w:rPr>
                <w:color w:val="000000"/>
                <w:sz w:val="24"/>
              </w:rPr>
              <w:t>10</w:t>
            </w:r>
          </w:p>
        </w:tc>
        <w:tc>
          <w:tcPr>
            <w:vAlign w:val="center"/>
          </w:tcPr>
          <w:p>
            <w:pPr>
              <w:jc w:val="center"/>
            </w:pPr>
            <w:r>
              <w:rPr>
                <w:color w:val="000000"/>
                <w:sz w:val="24"/>
              </w:rPr>
              <w:t>200201</w:t>
            </w:r>
          </w:p>
        </w:tc>
        <w:tc>
          <w:tcPr>
            <w:vAlign w:val="center"/>
          </w:tcPr>
          <w:p>
            <w:pPr>
              <w:jc w:val="center"/>
            </w:pPr>
            <w:r>
              <w:rPr>
                <w:color w:val="000000"/>
                <w:sz w:val="24"/>
              </w:rPr>
              <w:t>20国开01</w:t>
            </w:r>
          </w:p>
        </w:tc>
        <w:tc>
          <w:tcPr>
            <w:vAlign w:val="center"/>
          </w:tcPr>
          <w:p>
            <w:pPr>
              <w:jc w:val="right"/>
            </w:pPr>
            <w:r>
              <w:rPr>
                <w:color w:val="000000"/>
                <w:sz w:val="24"/>
              </w:rPr>
              <w:t>100,000</w:t>
            </w:r>
          </w:p>
        </w:tc>
        <w:tc>
          <w:tcPr>
            <w:vAlign w:val="center"/>
          </w:tcPr>
          <w:p>
            <w:pPr>
              <w:jc w:val="right"/>
            </w:pPr>
            <w:r>
              <w:rPr>
                <w:color w:val="000000"/>
                <w:sz w:val="24"/>
              </w:rPr>
              <w:t>10,014,575.00</w:t>
            </w:r>
          </w:p>
        </w:tc>
        <w:tc>
          <w:tcPr>
            <w:vAlign w:val="center"/>
          </w:tcPr>
          <w:p>
            <w:pPr>
              <w:jc w:val="right"/>
            </w:pPr>
            <w:r>
              <w:rPr>
                <w:color w:val="000000"/>
                <w:sz w:val="24"/>
              </w:rPr>
              <w:t>0.81</w:t>
            </w:r>
          </w:p>
        </w:tc>
      </w:tr>
    </w:tbl>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5.</w:t>
      </w:r>
      <w:r w:rsidR="00DA3FE3">
        <w:rPr>
          <w:rFonts w:ascii="宋体" w:cs="Arial" w:hAnsi="宋体" w:hint="eastAsia"/>
          <w:b/>
          <w:color w:val="000000"/>
          <w:kern w:val="0"/>
          <w:sz w:val="24"/>
        </w:rPr>
        <w:t>7</w:t>
      </w:r>
      <w:r w:rsidRPr="006662B2">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670"/>
        <w:gridCol w:w="3524"/>
      </w:tblGrid>
      <w:tr w:rsidR="00701DE9" w:rsidRPr="006662B2" w:rsidTr="00FB4E7D">
        <w:tc>
          <w:tcPr>
            <w:tcW w:type="dxa" w:w="5670"/>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项目</w:t>
            </w:r>
            <w:r w:rsidRPr="009F4D34">
              <w:rPr>
                <w:color w:val="000000"/>
                <w:kern w:val="0"/>
                <w:sz w:val="24"/>
              </w:rPr>
              <w:t/>
            </w:r>
            <w:proofErr w:type="spellStart"/>
            <w:r w:rsidRPr="009F4D34">
              <w:rPr>
                <w:color w:val="000000"/>
                <w:kern w:val="0"/>
                <w:sz w:val="24"/>
              </w:rPr>
              <w:t/>
            </w:r>
            <w:proofErr w:type="spellEnd"/>
            <w:r w:rsidRPr="009F4D34">
              <w:rPr>
                <w:color w:val="000000"/>
                <w:kern w:val="0"/>
                <w:sz w:val="24"/>
              </w:rPr>
              <w:t/>
            </w:r>
          </w:p>
        </w:tc>
        <w:tc>
          <w:tcPr>
            <w:tcW w:type="dxa" w:w="3524"/>
            <w:vAlign w:val="center"/>
          </w:tcPr>
          <w:p w:rsidP="00814461"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kern w:val="0"/>
                <w:sz w:val="24"/>
              </w:rPr>
              <w:t>偏离情况</w:t>
            </w:r>
          </w:p>
        </w:tc>
      </w:tr>
      <w:tr w:rsidR="00701DE9" w:rsidRPr="006662B2" w:rsidTr="00FB4E7D">
        <w:tc>
          <w:tcPr>
            <w:tcW w:type="dxa" w:w="5670"/>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报告期内偏离度的绝对值在</w:t>
            </w:r>
            <w:r w:rsidRPr="009F4D34">
              <w:rPr>
                <w:color w:val="000000"/>
                <w:kern w:val="0"/>
                <w:sz w:val="24"/>
              </w:rPr>
              <w:t>0.25(</w:t>
            </w:r>
            <w:r w:rsidRPr="009F4D34">
              <w:rPr>
                <w:color w:val="000000"/>
                <w:kern w:val="0"/>
                <w:sz w:val="24"/>
              </w:rPr>
              <w:t>含</w:t>
            </w:r>
            <w:r w:rsidRPr="009F4D34">
              <w:rPr>
                <w:color w:val="000000"/>
                <w:kern w:val="0"/>
                <w:sz w:val="24"/>
              </w:rPr>
              <w:t>)-0.5%</w:t>
            </w:r>
            <w:r w:rsidRPr="009F4D34">
              <w:rPr>
                <w:color w:val="000000"/>
                <w:kern w:val="0"/>
                <w:sz w:val="24"/>
              </w:rPr>
              <w:t>间的次数</w:t>
            </w:r>
          </w:p>
        </w:tc>
        <w:tc>
          <w:tcPr>
            <w:tcW w:type="dxa" w:w="3524"/>
            <w:vAlign w:val="bottom"/>
          </w:tcPr>
          <w:p w:rsidP="000E6630" w:rsidR="00701DE9" w:rsidRDefault="00701DE9" w:rsidRPr="009F4D34">
            <w:pPr>
              <w:spacing w:line="360" w:lineRule="auto"/>
              <w:jc w:val="right"/>
              <w:rPr>
                <w:sz w:val="24"/>
              </w:rPr>
            </w:pPr>
            <w:r w:rsidRPr="009F4D34">
              <w:rPr>
                <w:color w:val="000000"/>
                <w:sz w:val="24"/>
              </w:rPr>
              <w:t>0</w:t>
            </w:r>
            <w:r w:rsidRPr="009F4D34">
              <w:rPr>
                <w:color w:val="000000"/>
                <w:sz w:val="24"/>
              </w:rPr>
              <w:t>次</w:t>
            </w:r>
          </w:p>
        </w:tc>
      </w:tr>
      <w:tr w:rsidR="00701DE9" w:rsidRPr="006662B2" w:rsidTr="00FB4E7D">
        <w:tc>
          <w:tcPr>
            <w:tcW w:type="dxa" w:w="5670"/>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报告期内偏离度的最高值</w:t>
            </w:r>
          </w:p>
        </w:tc>
        <w:tc>
          <w:tcPr>
            <w:tcW w:type="dxa" w:w="3524"/>
            <w:vAlign w:val="bottom"/>
          </w:tcPr>
          <w:p w:rsidP="00814461" w:rsidR="00701DE9" w:rsidRDefault="00701DE9" w:rsidRPr="009F4D34">
            <w:pPr>
              <w:spacing w:line="360" w:lineRule="auto"/>
              <w:jc w:val="right"/>
              <w:rPr>
                <w:sz w:val="24"/>
              </w:rPr>
            </w:pPr>
            <w:r w:rsidRPr="009F4D34">
              <w:rPr>
                <w:color w:val="000000"/>
                <w:sz w:val="24"/>
              </w:rPr>
              <w:t/>
            </w:r>
            <w:proofErr w:type="spellStart"/>
            <w:r w:rsidRPr="009F4D34">
              <w:rPr>
                <w:color w:val="000000"/>
                <w:sz w:val="24"/>
              </w:rPr>
              <w:t/>
            </w:r>
            <w:proofErr w:type="spellEnd"/>
            <w:r w:rsidRPr="009F4D34">
              <w:rPr>
                <w:color w:val="000000"/>
                <w:sz w:val="24"/>
              </w:rPr>
              <w:t>0.2454%</w:t>
            </w:r>
          </w:p>
        </w:tc>
      </w:tr>
      <w:tr w:rsidR="00701DE9" w:rsidRPr="006662B2" w:rsidTr="00FB4E7D">
        <w:tc>
          <w:tcPr>
            <w:tcW w:type="dxa" w:w="5670"/>
            <w:vAlign w:val="center"/>
          </w:tcPr>
          <w:p w:rsidP="0081446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报告期内偏离度的最低值</w:t>
            </w:r>
          </w:p>
        </w:tc>
        <w:tc>
          <w:tcPr>
            <w:tcW w:type="dxa" w:w="3524"/>
            <w:vAlign w:val="bottom"/>
          </w:tcPr>
          <w:p w:rsidP="00814461" w:rsidR="00701DE9" w:rsidRDefault="00701DE9" w:rsidRPr="009F4D34">
            <w:pPr>
              <w:spacing w:line="360" w:lineRule="auto"/>
              <w:jc w:val="right"/>
              <w:rPr>
                <w:sz w:val="24"/>
              </w:rPr>
            </w:pPr>
            <w:r w:rsidRPr="009F4D34">
              <w:rPr>
                <w:color w:val="000000"/>
                <w:sz w:val="24"/>
              </w:rPr>
              <w:t/>
            </w:r>
            <w:proofErr w:type="spellStart"/>
            <w:r w:rsidRPr="009F4D34">
              <w:rPr>
                <w:color w:val="000000"/>
                <w:sz w:val="24"/>
              </w:rPr>
              <w:t/>
            </w:r>
            <w:r w:rsidRPr="009F4D34">
              <w:rPr>
                <w:color w:val="000000"/>
                <w:sz w:val="24"/>
              </w:rPr>
              <w:lastRenderedPageBreak/>
              <w:t/>
            </w:r>
            <w:proofErr w:type="spellEnd"/>
            <w:r w:rsidRPr="009F4D34">
              <w:rPr>
                <w:color w:val="000000"/>
                <w:sz w:val="24"/>
              </w:rPr>
              <w:t>0.0576%</w:t>
            </w:r>
          </w:p>
        </w:tc>
      </w:tr>
      <w:tr w:rsidR="00701DE9" w:rsidRPr="006662B2" w:rsidTr="00FB4E7D">
        <w:tc>
          <w:tcPr>
            <w:tcW w:type="dxa" w:w="5670"/>
            <w:vAlign w:val="center"/>
          </w:tcPr>
          <w:p w:rsidP="00440C71"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lastRenderedPageBreak/>
              <w:t>报告期内每个</w:t>
            </w:r>
            <w:r w:rsidRPr="009F4D34">
              <w:rPr>
                <w:color w:val="000000"/>
                <w:sz w:val="24"/>
              </w:rPr>
              <w:t>工作日</w:t>
            </w:r>
            <w:r w:rsidRPr="009F4D34">
              <w:rPr>
                <w:color w:val="000000"/>
                <w:kern w:val="0"/>
                <w:sz w:val="24"/>
              </w:rPr>
              <w:t>偏离度的绝对值的简单平均值</w:t>
            </w:r>
          </w:p>
        </w:tc>
        <w:tc>
          <w:tcPr>
            <w:tcW w:type="dxa" w:w="3524"/>
            <w:vAlign w:val="bottom"/>
          </w:tcPr>
          <w:p w:rsidP="00814461" w:rsidR="00701DE9" w:rsidRDefault="00701DE9" w:rsidRPr="009F4D34">
            <w:pPr>
              <w:spacing w:line="360" w:lineRule="auto"/>
              <w:jc w:val="right"/>
              <w:rPr>
                <w:sz w:val="24"/>
              </w:rPr>
            </w:pPr>
            <w:r w:rsidRPr="009F4D34">
              <w:rPr>
                <w:color w:val="000000"/>
                <w:sz w:val="24"/>
              </w:rPr>
              <w:t>0.1688%</w:t>
            </w:r>
          </w:p>
        </w:tc>
      </w:tr>
    </w:tbl>
    <w:p w:rsidP="00DA3FE3" w:rsidR="00DA3FE3" w:rsidRDefault="00DA3FE3" w:rsidRPr="003025FA">
      <w:pPr>
        <w:spacing w:line="360" w:lineRule="auto"/>
        <w:rPr>
          <w:rFonts w:asciiTheme="minorEastAsia" w:cs="Arial" w:eastAsiaTheme="minorEastAsia" w:hAnsiTheme="minorEastAsia"/>
          <w:b/>
          <w:color w:themeColor="text1" w:val="000000"/>
          <w:kern w:val="0"/>
          <w:sz w:val="24"/>
        </w:rPr>
      </w:pPr>
      <w:r>
        <w:rPr>
          <w:rFonts w:ascii="宋体" w:hAnsi="宋体" w:hint="eastAsia"/>
          <w:b/>
          <w:color w:val="000000"/>
          <w:sz w:val="24"/>
        </w:rPr>
        <w:t>报告期内负偏离度的绝对值达到0.25%情况说明</w:t>
      </w:r>
    </w:p>
    <w:p w:rsidP="00DA3FE3" w:rsidR="00DA3FE3" w:rsidRDefault="00DA3FE3" w:rsidRPr="00DA3FE3">
      <w:pPr>
        <w:spacing w:line="360" w:lineRule="auto"/>
        <w:ind w:firstLine="480" w:firstLineChars="200"/>
        <w:rPr>
          <w:color w:val="000000"/>
          <w:sz w:val="24"/>
        </w:rPr>
      </w:pPr>
      <w:r w:rsidRPr="00DA3FE3">
        <w:rPr>
          <w:color w:val="000000"/>
          <w:sz w:val="24"/>
        </w:rPr>
        <w:t>本基金本报告期内不存在负偏离度的绝对值达到0.25%的情况。</w:t>
      </w:r>
    </w:p>
    <w:p w:rsidP="00DA3FE3" w:rsidR="00DA3FE3" w:rsidRDefault="00DA3FE3" w:rsidRPr="00DA3FE3">
      <w:pPr>
        <w:spacing w:line="360" w:lineRule="auto"/>
        <w:rPr>
          <w:rFonts w:eastAsiaTheme="minorEastAsia"/>
          <w:b/>
          <w:color w:themeColor="text1" w:val="000000"/>
          <w:kern w:val="0"/>
          <w:sz w:val="24"/>
        </w:rPr>
      </w:pPr>
      <w:r w:rsidRPr="00DA3FE3">
        <w:rPr>
          <w:b/>
          <w:color w:val="000000"/>
          <w:sz w:val="24"/>
        </w:rPr>
        <w:t>报告期内正偏离度的绝对值达到</w:t>
      </w:r>
      <w:r w:rsidRPr="00DA3FE3">
        <w:rPr>
          <w:b/>
          <w:color w:val="000000"/>
          <w:sz w:val="24"/>
        </w:rPr>
        <w:t>0.5%</w:t>
      </w:r>
      <w:r w:rsidRPr="00DA3FE3">
        <w:rPr>
          <w:b/>
          <w:color w:val="000000"/>
          <w:sz w:val="24"/>
        </w:rPr>
        <w:t>情况说明</w:t>
      </w:r>
    </w:p>
    <w:p w:rsidP="009B5A25" w:rsidR="00DA3FE3" w:rsidRDefault="00DA3FE3" w:rsidRPr="00DA3FE3">
      <w:pPr>
        <w:spacing w:line="360" w:lineRule="auto"/>
        <w:ind w:firstLine="480" w:firstLineChars="200"/>
        <w:rPr>
          <w:color w:val="000000"/>
          <w:sz w:val="24"/>
        </w:rPr>
      </w:pPr>
      <w:r w:rsidRPr="00DA3FE3">
        <w:rPr>
          <w:rFonts w:eastAsiaTheme="minorEastAsia"/>
          <w:color w:themeColor="text1" w:val="000000"/>
          <w:sz w:val="24"/>
        </w:rPr>
        <w:t>本基金本报告期内不存在正偏离度的绝对值达到0.5%的情况。</w:t>
      </w:r>
    </w:p>
    <w:p w:rsidP="00437706" w:rsidR="00701DE9" w:rsidRDefault="00701DE9" w:rsidRPr="006662B2">
      <w:pPr>
        <w:spacing w:line="360" w:lineRule="auto"/>
        <w:rPr>
          <w:rFonts w:ascii="宋体" w:cs="Arial"/>
          <w:b/>
          <w:color w:val="000000"/>
          <w:kern w:val="0"/>
          <w:sz w:val="24"/>
        </w:rPr>
      </w:pPr>
      <w:r w:rsidRPr="006662B2">
        <w:rPr>
          <w:rFonts w:ascii="宋体" w:cs="Arial" w:hAnsi="宋体"/>
          <w:b/>
          <w:color w:val="000000"/>
          <w:kern w:val="0"/>
          <w:sz w:val="24"/>
        </w:rPr>
        <w:t>5.</w:t>
      </w:r>
      <w:r w:rsidR="00DA3FE3">
        <w:rPr>
          <w:rFonts w:ascii="宋体" w:cs="Arial" w:hAnsi="宋体" w:hint="eastAsia"/>
          <w:b/>
          <w:color w:val="000000"/>
          <w:kern w:val="0"/>
          <w:sz w:val="24"/>
        </w:rPr>
        <w:t>8</w:t>
      </w:r>
      <w:r w:rsidR="00075BDA">
        <w:rPr>
          <w:rFonts w:ascii="宋体" w:cs="Arial" w:hAnsi="宋体" w:hint="eastAsia"/>
          <w:b/>
          <w:color w:val="000000"/>
          <w:kern w:val="0"/>
          <w:sz w:val="24"/>
        </w:rPr>
        <w:t>报告期末按公允价值占基金资产净值比例大小排名</w:t>
      </w:r>
      <w:r w:rsidRPr="006662B2">
        <w:rPr>
          <w:rFonts w:ascii="宋体" w:cs="Arial" w:hAnsi="宋体" w:hint="eastAsia"/>
          <w:b/>
          <w:color w:val="000000"/>
          <w:kern w:val="0"/>
          <w:sz w:val="24"/>
        </w:rPr>
        <w:t>的前十名资产支持证券投资明细</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
      </w:r>
      <w:proofErr w:type="spellStart"/>
      <w:r w:rsidRPr="009B5A25">
        <w:rPr>
          <w:color w:val="000000"/>
          <w:sz w:val="24"/>
        </w:rPr>
        <w:t/>
      </w:r>
      <w:proofErr w:type="spellEnd"/>
      <w:r w:rsidRPr="009B5A25">
        <w:rPr>
          <w:color w:val="000000"/>
          <w:sz w:val="24"/>
        </w:rPr>
        <w:t>本基金本报告期末未持有资产支持证券。</w:t>
      </w:r>
    </w:p>
    <w:p w:rsidP="00B76977" w:rsidR="00701DE9" w:rsidRDefault="00701DE9"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DA3FE3">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hint="eastAsia"/>
          <w:b/>
          <w:color w:val="000000"/>
          <w:kern w:val="0"/>
          <w:sz w:val="24"/>
        </w:rPr>
        <w:t>投资组合报告附注</w:t>
      </w:r>
    </w:p>
    <w:p w:rsidP="00DA3FE3" w:rsidR="00DA3FE3" w:rsidRDefault="00DA3FE3" w:rsidRPr="00DA3FE3">
      <w:pPr>
        <w:spacing w:line="360" w:lineRule="auto"/>
        <w:rPr>
          <w:rFonts w:eastAsiaTheme="minorEastAsia"/>
          <w:color w:themeColor="text1" w:val="000000"/>
          <w:sz w:val="24"/>
        </w:rPr>
      </w:pPr>
      <w:r w:rsidRPr="00DA3FE3">
        <w:rPr>
          <w:rFonts w:eastAsiaTheme="minorEastAsia"/>
          <w:color w:themeColor="text1" w:val="000000"/>
          <w:sz w:val="24"/>
        </w:rPr>
        <w:t>5.9.1</w:t>
      </w:r>
      <w:r w:rsidRPr="00DA3FE3">
        <w:rPr>
          <w:rFonts w:eastAsiaTheme="minorEastAsia"/>
          <w:color w:themeColor="text1" w:val="000000"/>
          <w:sz w:val="24"/>
        </w:rPr>
        <w:t>基金计价方法说明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本基金目前投资工具的估值方法如下：</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（3）基金持有的银行存款以本金列示，按实际协议利率逐日计提利息。</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如有确凿证据表明按上述方法进行估值不能客观反映其公允价值的，基金管理人可根据具体情况与基金托管人商定后，按最能反映公允价值的方法估值。</w:t>
      </w:r>
    </w:p>
    <w:p w:rsidP="00DA3FE3" w:rsidR="00DA3FE3" w:rsidRDefault="00DA3FE3" w:rsidRPr="00DA3FE3">
      <w:pPr>
        <w:spacing w:line="360" w:lineRule="auto"/>
        <w:ind w:firstLine="480" w:firstLineChars="200"/>
        <w:rPr>
          <w:rFonts w:eastAsiaTheme="minorEastAsia"/>
          <w:color w:themeColor="text1" w:val="000000"/>
          <w:sz w:val="24"/>
        </w:rPr>
      </w:pPr>
      <w:r w:rsidRPr="00DA3FE3">
        <w:rPr>
          <w:rFonts w:eastAsiaTheme="minorEastAsia"/>
          <w:color w:themeColor="text1" w:val="000000"/>
          <w:sz w:val="24"/>
        </w:rPr>
        <w:t/>
      </w:r>
      <w:proofErr w:type="spellStart"/>
      <w:r w:rsidRPr="00DA3FE3">
        <w:rPr>
          <w:rFonts w:eastAsiaTheme="minorEastAsia"/>
          <w:color w:themeColor="text1" w:val="000000"/>
          <w:sz w:val="24"/>
        </w:rPr>
        <w:t/>
      </w:r>
      <w:proofErr w:type="spellEnd"/>
      <w:r w:rsidRPr="00DA3FE3">
        <w:rPr>
          <w:rFonts w:eastAsiaTheme="minorEastAsia"/>
          <w:color w:themeColor="text1" w:val="000000"/>
          <w:sz w:val="24"/>
        </w:rPr>
        <w:t>如有新增事项，按国家最新规定估值。</w:t>
      </w:r>
    </w:p>
    <w:p w:rsidP="009F4D34" w:rsidR="00701DE9" w:rsidRDefault="00DA3FE3" w:rsidRPr="00DA3FE3">
      <w:pPr>
        <w:widowControl/>
        <w:spacing w:line="360" w:lineRule="auto"/>
        <w:rPr>
          <w:rFonts w:eastAsiaTheme="minorEastAsia"/>
          <w:color w:themeColor="text1" w:val="000000"/>
          <w:sz w:val="24"/>
        </w:rPr>
      </w:pPr>
      <w:r w:rsidRPr="00DA3FE3">
        <w:rPr>
          <w:rFonts w:eastAsiaTheme="minorEastAsia"/>
          <w:color w:themeColor="text1" w:val="000000"/>
          <w:sz w:val="24"/>
        </w:rPr>
        <w:lastRenderedPageBreak/>
        <w:t>5.9.2</w:t>
      </w:r>
      <w:r w:rsidR="00654774">
        <w:rPr>
          <w:rFonts w:eastAsiaTheme="minorEastAsia" w:hint="eastAsia"/>
          <w:color w:themeColor="text1" w:val="000000"/>
          <w:sz w:val="24"/>
        </w:rPr>
        <w:t xml:space="preserve"> </w:t>
      </w:r>
      <w:r w:rsidRPr="00DA3FE3">
        <w:rPr>
          <w:rFonts w:eastAsiaTheme="minorEastAsia"/>
          <w:color w:themeColor="text1"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rFonts w:eastAsiaTheme="minorEastAsia"/>
          <w:color w:themeColor="text1" w:val="000000"/>
          <w:sz w:val="24"/>
        </w:rPr>
      </w:pPr>
      <w:r>
        <w:rPr>
          <w:rFonts w:eastAsiaTheme="minorEastAsia"/>
          <w:color w:themeColor="text1" w:val="000000"/>
          <w:sz w:val="24"/>
        </w:rPr>
        <w:t>2020年4月30日，北京市西城区卫生健康委员会对中国农业发展银行违反《北京市生活饮用水卫生监督管理条例》第二十一条第（三）项的行为作出“罚款5000元”的行政处罚决定。</w:t>
      </w:r>
    </w:p>
    <w:p>
      <w:pPr>
        <w:widowControl/>
        <w:spacing w:line="360" w:lineRule="auto"/>
        <w:rPr>
          <w:rFonts w:eastAsiaTheme="minorEastAsia"/>
          <w:color w:themeColor="text1" w:val="000000"/>
          <w:sz w:val="24"/>
        </w:rPr>
      </w:pPr>
      <w:r>
        <w:rPr>
          <w:rFonts w:eastAsiaTheme="minorEastAsia"/>
          <w:color w:themeColor="text1"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rFonts w:eastAsiaTheme="minorEastAsia"/>
          <w:color w:themeColor="text1" w:val="000000"/>
          <w:sz w:val="24"/>
        </w:rPr>
      </w:pPr>
      <w:r>
        <w:rPr>
          <w:rFonts w:eastAsiaTheme="minorEastAsia"/>
          <w:color w:themeColor="text1" w:val="000000"/>
          <w:sz w:val="24"/>
        </w:rPr>
        <w:t>本基金投资19农业银行CD111、20农发01、20交通银行CD020、20交通银行CD029、20交通银行CD049的投资决策程序符合公司投资制度的规定。</w:t>
      </w:r>
    </w:p>
    <w:p>
      <w:pPr>
        <w:widowControl/>
        <w:spacing w:line="360" w:lineRule="auto"/>
        <w:rPr>
          <w:rFonts w:eastAsiaTheme="minorEastAsia"/>
          <w:color w:themeColor="text1" w:val="000000"/>
          <w:sz w:val="24"/>
        </w:rPr>
      </w:pPr>
      <w:r>
        <w:rPr>
          <w:rFonts w:eastAsiaTheme="minorEastAsia"/>
          <w:color w:themeColor="text1" w:val="000000"/>
          <w:sz w:val="24"/>
        </w:rPr>
        <w:t>除19农业银行CD111、20农发01、20交通银行CD020、20交通银行CD029、20交通银行CD049外，本基金投资的前十名证券的发行主体本期没有出现被监管部门立案调查，或在报告编制日前一年内受到公开谴责、处罚的情形。</w:t>
      </w:r>
    </w:p>
    <w:p w:rsidP="00B76977" w:rsidR="00701DE9" w:rsidRDefault="00701DE9" w:rsidRPr="00DA3FE3">
      <w:pPr>
        <w:spacing w:line="360" w:lineRule="auto"/>
        <w:rPr>
          <w:bCs/>
          <w:sz w:val="24"/>
        </w:rPr>
      </w:pPr>
      <w:r w:rsidRPr="00DA3FE3">
        <w:rPr>
          <w:sz w:val="24"/>
        </w:rPr>
        <w:t>5.9.3</w:t>
      </w:r>
      <w:r w:rsidR="00DD3003">
        <w:rPr>
          <w:sz w:val="24"/>
        </w:rPr>
        <w:t>其他</w:t>
      </w:r>
      <w:bookmarkStart w:id="2" w:name="_GoBack"/>
      <w:bookmarkEnd w:id="2"/>
      <w:r w:rsidRPr="00DA3FE3">
        <w:rPr>
          <w:sz w:val="24"/>
        </w:rPr>
        <w:t>资产构成</w:t>
      </w:r>
    </w:p>
    <w:tbl>
      <w:tblPr>
        <w:tblW w:type="auto" w:w="0"/>
        <w:tblInd w:type="dxa" w:w="17"/>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42"/>
        <w:gridCol w:w="3535"/>
        <w:gridCol w:w="4808"/>
      </w:tblGrid>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7"/>
              <w:jc w:val="center"/>
              <w:rPr>
                <w:color w:val="000000"/>
                <w:kern w:val="0"/>
                <w:sz w:val="24"/>
              </w:rPr>
            </w:pPr>
            <w:r w:rsidRPr="009F4D34">
              <w:rPr>
                <w:color w:val="000000"/>
                <w:kern w:val="0"/>
                <w:sz w:val="24"/>
              </w:rPr>
              <w:t>序号</w:t>
            </w:r>
          </w:p>
        </w:tc>
        <w:tc>
          <w:tcPr>
            <w:tcW w:type="dxa" w:w="3535"/>
            <w:vAlign w:val="center"/>
          </w:tcPr>
          <w:p w:rsidP="000E5E52" w:rsidR="00701DE9" w:rsidRDefault="00701DE9" w:rsidRPr="009F4D34">
            <w:pPr>
              <w:autoSpaceDE w:val="0"/>
              <w:autoSpaceDN w:val="0"/>
              <w:adjustRightInd w:val="0"/>
              <w:spacing w:before="29" w:line="360" w:lineRule="auto"/>
              <w:ind w:left="17"/>
              <w:jc w:val="center"/>
              <w:rPr>
                <w:color w:val="000000"/>
                <w:kern w:val="0"/>
                <w:sz w:val="24"/>
              </w:rPr>
            </w:pPr>
            <w:r w:rsidRPr="009F4D34">
              <w:rPr>
                <w:color w:val="000000"/>
                <w:kern w:val="0"/>
                <w:sz w:val="24"/>
              </w:rPr>
              <w:t>名称</w:t>
            </w:r>
          </w:p>
        </w:tc>
        <w:tc>
          <w:tcPr>
            <w:tcW w:type="dxa" w:w="4808"/>
            <w:vAlign w:val="center"/>
          </w:tcPr>
          <w:p w:rsidP="000E5E52" w:rsidR="00701DE9" w:rsidRDefault="00701DE9" w:rsidRPr="009F4D34">
            <w:pPr>
              <w:autoSpaceDE w:val="0"/>
              <w:autoSpaceDN w:val="0"/>
              <w:adjustRightInd w:val="0"/>
              <w:spacing w:before="29" w:line="360" w:lineRule="auto"/>
              <w:ind w:left="17"/>
              <w:jc w:val="center"/>
              <w:rPr>
                <w:color w:val="000000"/>
                <w:kern w:val="0"/>
                <w:sz w:val="24"/>
              </w:rPr>
            </w:pPr>
            <w:r w:rsidRPr="009F4D34">
              <w:rPr>
                <w:color w:val="000000"/>
                <w:kern w:val="0"/>
                <w:sz w:val="24"/>
              </w:rPr>
              <w:t>金额</w:t>
            </w:r>
            <w:r w:rsidR="009327CC" w:rsidRPr="009F4D34">
              <w:rPr>
                <w:color w:val="000000"/>
                <w:kern w:val="0"/>
                <w:sz w:val="24"/>
              </w:rPr>
              <w:t>（元）</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kern w:val="0"/>
                <w:sz w:val="24"/>
              </w:rPr>
            </w:pPr>
            <w:r w:rsidRPr="009F4D34">
              <w:rPr>
                <w:color w:val="000000"/>
                <w:sz w:val="24"/>
              </w:rPr>
              <w:t>1</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存出保证金</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2</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应收证券清算款</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17,499.17</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3</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应收利息</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2,639,927.36</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4</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应收申购款</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189,464.78</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5</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其他应收款</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390.00</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6</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待摊费用</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7</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其他</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w:t>
            </w:r>
          </w:p>
        </w:tc>
      </w:tr>
      <w:tr w:rsidR="00701DE9" w:rsidRPr="006662B2" w:rsidTr="000E5E52">
        <w:tc>
          <w:tcPr>
            <w:tcW w:type="dxa" w:w="942"/>
            <w:vAlign w:val="center"/>
          </w:tcPr>
          <w:p w:rsidP="000E5E52" w:rsidR="00701DE9" w:rsidRDefault="00701DE9" w:rsidRPr="009F4D34">
            <w:pPr>
              <w:autoSpaceDE w:val="0"/>
              <w:autoSpaceDN w:val="0"/>
              <w:adjustRightInd w:val="0"/>
              <w:spacing w:before="29" w:line="360" w:lineRule="auto"/>
              <w:ind w:left="15"/>
              <w:jc w:val="center"/>
              <w:rPr>
                <w:color w:val="000000"/>
                <w:sz w:val="24"/>
              </w:rPr>
            </w:pPr>
            <w:r w:rsidRPr="009F4D34">
              <w:rPr>
                <w:color w:val="000000"/>
                <w:sz w:val="24"/>
              </w:rPr>
              <w:t>8</w:t>
            </w:r>
          </w:p>
        </w:tc>
        <w:tc>
          <w:tcPr>
            <w:tcW w:type="dxa" w:w="3535"/>
            <w:vAlign w:val="center"/>
          </w:tcPr>
          <w:p w:rsidP="000E5E52" w:rsidR="00701DE9" w:rsidRDefault="00701DE9" w:rsidRPr="009F4D34">
            <w:pPr>
              <w:autoSpaceDE w:val="0"/>
              <w:autoSpaceDN w:val="0"/>
              <w:adjustRightInd w:val="0"/>
              <w:spacing w:before="29" w:line="360" w:lineRule="auto"/>
              <w:ind w:left="15"/>
              <w:jc w:val="left"/>
              <w:rPr>
                <w:color w:val="000000"/>
                <w:kern w:val="0"/>
                <w:sz w:val="24"/>
              </w:rPr>
            </w:pPr>
            <w:r w:rsidRPr="009F4D34">
              <w:rPr>
                <w:color w:val="000000"/>
                <w:kern w:val="0"/>
                <w:sz w:val="24"/>
              </w:rPr>
              <w:t>合计</w:t>
            </w:r>
          </w:p>
        </w:tc>
        <w:tc>
          <w:tcPr>
            <w:tcW w:type="dxa" w:w="4808"/>
            <w:vAlign w:val="center"/>
          </w:tcPr>
          <w:p w:rsidP="000E5E52" w:rsidR="00701DE9" w:rsidRDefault="00701DE9" w:rsidRPr="009F4D34">
            <w:pPr>
              <w:autoSpaceDE w:val="0"/>
              <w:autoSpaceDN w:val="0"/>
              <w:adjustRightInd w:val="0"/>
              <w:spacing w:before="29" w:line="360" w:lineRule="auto"/>
              <w:ind w:left="15"/>
              <w:jc w:val="right"/>
              <w:rPr>
                <w:color w:val="000000"/>
                <w:kern w:val="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2,847,281.31</w:t>
            </w:r>
          </w:p>
        </w:tc>
      </w:tr>
    </w:tbl>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6</w:t>
      </w:r>
      <w:r w:rsidR="005D6999" w:rsidRPr="006662B2">
        <w:rPr>
          <w:rFonts w:ascii="宋体" w:cs="Arial" w:hAnsi="宋体"/>
          <w:color w:val="000000"/>
          <w:kern w:val="0"/>
          <w:sz w:val="24"/>
          <w:szCs w:val="24"/>
        </w:rPr>
        <w:t xml:space="preserve">  </w:t>
      </w:r>
      <w:r w:rsidRPr="006662B2">
        <w:rPr>
          <w:rFonts w:ascii="宋体" w:cs="Arial" w:hAnsi="宋体" w:hint="eastAsia"/>
          <w:color w:val="000000"/>
          <w:kern w:val="0"/>
          <w:sz w:val="24"/>
          <w:szCs w:val="24"/>
        </w:rPr>
        <w:t>开放式基金份额变动</w:t>
      </w:r>
    </w:p>
    <w:p w:rsidP="00814461" w:rsidR="00701DE9" w:rsidRDefault="00701DE9" w:rsidRPr="006662B2">
      <w:pPr>
        <w:autoSpaceDE w:val="0"/>
        <w:autoSpaceDN w:val="0"/>
        <w:adjustRightInd w:val="0"/>
        <w:spacing w:before="29" w:line="360" w:lineRule="auto"/>
        <w:ind w:left="15"/>
        <w:jc w:val="right"/>
        <w:rPr>
          <w:rFonts w:ascii="宋体" w:cs="Arial"/>
          <w:color w:val="000000"/>
          <w:kern w:val="0"/>
          <w:sz w:val="24"/>
        </w:rPr>
      </w:pPr>
      <w:r w:rsidRPr="006662B2">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01DE9" w:rsidRPr="00264E55" w:rsidTr="00FB4E7D">
        <w:tc>
          <w:tcPr>
            <w:tcW w:type="dxa" w:w="4609"/>
            <w:vAlign w:val="center"/>
          </w:tcPr>
          <w:p w:rsidP="00587524" w:rsidR="00701DE9" w:rsidRDefault="00701DE9" w:rsidRPr="009F4D34">
            <w:pPr>
              <w:autoSpaceDE w:val="0"/>
              <w:autoSpaceDN w:val="0"/>
              <w:adjustRightInd w:val="0"/>
              <w:spacing w:before="29" w:line="360" w:lineRule="auto"/>
              <w:ind w:left="17"/>
              <w:jc w:val="left"/>
              <w:rPr>
                <w:color w:val="000000"/>
                <w:kern w:val="0"/>
                <w:sz w:val="24"/>
              </w:rPr>
            </w:pPr>
            <w:r w:rsidRPr="009F4D34">
              <w:rPr>
                <w:color w:val="000000"/>
                <w:kern w:val="0"/>
                <w:sz w:val="24"/>
              </w:rPr>
              <w:t>报告期期初基金份额总额</w:t>
            </w:r>
          </w:p>
        </w:tc>
        <w:tc>
          <w:tcPr>
            <w:tcW w:type="dxa" w:w="4025"/>
            <w:vAlign w:val="center"/>
          </w:tcPr>
          <w:p w:rsidP="00587524" w:rsidR="00701DE9" w:rsidRDefault="00701DE9" w:rsidRPr="009F4D34">
            <w:pPr>
              <w:autoSpaceDE w:val="0"/>
              <w:autoSpaceDN w:val="0"/>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
            </w:r>
            <w:r w:rsidRPr="009F4D34">
              <w:rPr>
                <w:color w:val="000000"/>
                <w:sz w:val="24"/>
              </w:rPr>
              <w:lastRenderedPageBreak/>
              <w:t>1,482,297,237.04</w:t>
            </w:r>
          </w:p>
        </w:tc>
      </w:tr>
      <w:tr w:rsidR="00701DE9" w:rsidRPr="00264E55" w:rsidTr="00FB4E7D">
        <w:tc>
          <w:tcPr>
            <w:tcW w:type="dxa" w:w="4609"/>
          </w:tcPr>
          <w:p w:rsidP="00D25A77" w:rsidR="00701DE9" w:rsidRDefault="00701DE9" w:rsidRPr="009F4D34">
            <w:pPr>
              <w:adjustRightInd w:val="0"/>
              <w:snapToGrid w:val="0"/>
              <w:spacing w:line="340" w:lineRule="exact"/>
              <w:rPr>
                <w:color w:val="000000"/>
                <w:sz w:val="24"/>
              </w:rPr>
            </w:pPr>
            <w:r w:rsidRPr="009F4D34">
              <w:rPr>
                <w:color w:val="000000"/>
                <w:kern w:val="0"/>
                <w:sz w:val="24"/>
              </w:rPr>
              <w:lastRenderedPageBreak/>
              <w:t/>
            </w:r>
            <w:proofErr w:type="spellStart"/>
            <w:r w:rsidRPr="009F4D34">
              <w:rPr>
                <w:color w:val="000000"/>
                <w:kern w:val="0"/>
                <w:sz w:val="24"/>
              </w:rPr>
              <w:t/>
            </w:r>
            <w:proofErr w:type="spellEnd"/>
            <w:r w:rsidRPr="009F4D34">
              <w:rPr>
                <w:color w:val="000000"/>
                <w:kern w:val="0"/>
                <w:sz w:val="24"/>
              </w:rPr>
              <w:t>报告期</w:t>
            </w:r>
            <w:r w:rsidRPr="009F4D34">
              <w:rPr>
                <w:color w:val="000000"/>
                <w:sz w:val="24"/>
              </w:rPr>
              <w:t>基金总申购份额</w:t>
            </w:r>
          </w:p>
        </w:tc>
        <w:tc>
          <w:tcPr>
            <w:tcW w:type="dxa" w:w="4025"/>
            <w:vAlign w:val="center"/>
          </w:tcPr>
          <w:p w:rsidP="00587524" w:rsidR="00701DE9" w:rsidRDefault="00701DE9" w:rsidRPr="009F4D34">
            <w:pPr>
              <w:autoSpaceDE w:val="0"/>
              <w:autoSpaceDN w:val="0"/>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329,054,983.98</w:t>
            </w:r>
          </w:p>
        </w:tc>
      </w:tr>
      <w:tr w:rsidR="00701DE9" w:rsidRPr="00264E55" w:rsidTr="00FB4E7D">
        <w:tc>
          <w:tcPr>
            <w:tcW w:type="dxa" w:w="4609"/>
          </w:tcPr>
          <w:p w:rsidP="00D25A77" w:rsidR="00701DE9" w:rsidRDefault="00701DE9" w:rsidRPr="009F4D34">
            <w:pPr>
              <w:adjustRightInd w:val="0"/>
              <w:snapToGrid w:val="0"/>
              <w:spacing w:line="340" w:lineRule="exact"/>
              <w:rPr>
                <w:color w:val="000000"/>
                <w:sz w:val="24"/>
              </w:rPr>
            </w:pPr>
            <w:r w:rsidRPr="009F4D34">
              <w:rPr>
                <w:color w:val="000000"/>
                <w:kern w:val="0"/>
                <w:sz w:val="24"/>
              </w:rPr>
              <w:t/>
            </w:r>
            <w:proofErr w:type="spellStart"/>
            <w:r w:rsidRPr="009F4D34">
              <w:rPr>
                <w:color w:val="000000"/>
                <w:kern w:val="0"/>
                <w:sz w:val="24"/>
              </w:rPr>
              <w:t/>
            </w:r>
            <w:proofErr w:type="spellEnd"/>
            <w:r w:rsidRPr="009F4D34">
              <w:rPr>
                <w:color w:val="000000"/>
                <w:kern w:val="0"/>
                <w:sz w:val="24"/>
              </w:rPr>
              <w:t>报告期</w:t>
            </w:r>
            <w:r w:rsidRPr="009F4D34">
              <w:rPr>
                <w:color w:val="000000"/>
                <w:sz w:val="24"/>
              </w:rPr>
              <w:t>基金总赎回份额</w:t>
            </w:r>
          </w:p>
        </w:tc>
        <w:tc>
          <w:tcPr>
            <w:tcW w:type="dxa" w:w="4025"/>
            <w:vAlign w:val="center"/>
          </w:tcPr>
          <w:p w:rsidP="00587524" w:rsidR="00701DE9" w:rsidRDefault="00701DE9" w:rsidRPr="009F4D34">
            <w:pPr>
              <w:autoSpaceDE w:val="0"/>
              <w:autoSpaceDN w:val="0"/>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571,651,031.76</w:t>
            </w:r>
          </w:p>
        </w:tc>
      </w:tr>
      <w:tr w:rsidR="00701DE9" w:rsidRPr="00264E55" w:rsidTr="00FB4E7D">
        <w:tc>
          <w:tcPr>
            <w:tcW w:type="dxa" w:w="4609"/>
          </w:tcPr>
          <w:p w:rsidP="00587524" w:rsidR="00701DE9" w:rsidRDefault="00701DE9" w:rsidRPr="009F4D34">
            <w:pPr>
              <w:adjustRightInd w:val="0"/>
              <w:snapToGrid w:val="0"/>
              <w:spacing w:line="340" w:lineRule="exact"/>
              <w:rPr>
                <w:color w:val="000000"/>
                <w:sz w:val="24"/>
              </w:rPr>
            </w:pPr>
            <w:r w:rsidRPr="009F4D34">
              <w:rPr>
                <w:color w:val="000000"/>
                <w:sz w:val="24"/>
              </w:rPr>
              <w:t>报告期期末基金份额总额</w:t>
            </w:r>
          </w:p>
        </w:tc>
        <w:tc>
          <w:tcPr>
            <w:tcW w:type="dxa" w:w="4025"/>
            <w:vAlign w:val="center"/>
          </w:tcPr>
          <w:p w:rsidP="00587524" w:rsidR="00701DE9" w:rsidRDefault="00701DE9" w:rsidRPr="009F4D34">
            <w:pPr>
              <w:autoSpaceDE w:val="0"/>
              <w:autoSpaceDN w:val="0"/>
              <w:adjustRightInd w:val="0"/>
              <w:spacing w:before="29" w:line="360" w:lineRule="auto"/>
              <w:ind w:left="17"/>
              <w:jc w:val="right"/>
              <w:rPr>
                <w:color w:val="000000"/>
                <w:sz w:val="24"/>
              </w:rPr>
            </w:pPr>
            <w:r w:rsidRPr="009F4D34">
              <w:rPr>
                <w:color w:val="000000"/>
                <w:sz w:val="24"/>
              </w:rPr>
              <w:t/>
            </w:r>
            <w:proofErr w:type="spellStart"/>
            <w:r w:rsidRPr="009F4D34">
              <w:rPr>
                <w:color w:val="000000"/>
                <w:sz w:val="24"/>
              </w:rPr>
              <w:t/>
            </w:r>
            <w:proofErr w:type="spellEnd"/>
            <w:r w:rsidRPr="009F4D34">
              <w:rPr>
                <w:color w:val="000000"/>
                <w:sz w:val="24"/>
              </w:rPr>
              <w:t>1,239,701,189.26</w:t>
            </w:r>
          </w:p>
        </w:tc>
      </w:tr>
    </w:tbl>
    <w:p w:rsidP="00305CB5" w:rsidR="00701DE9" w:rsidRDefault="00701DE9" w:rsidRPr="00264E55">
      <w:pPr>
        <w:pStyle w:val="1"/>
        <w:spacing w:after="312" w:afterLines="100" w:before="312" w:beforeLines="100" w:line="360" w:lineRule="auto"/>
        <w:jc w:val="center"/>
        <w:rPr>
          <w:rFonts w:ascii="宋体"/>
          <w:color w:val="000000"/>
          <w:kern w:val="0"/>
          <w:sz w:val="24"/>
          <w:szCs w:val="24"/>
        </w:rPr>
      </w:pPr>
      <w:r w:rsidRPr="00264E55">
        <w:rPr>
          <w:rFonts w:ascii="宋体"/>
          <w:color w:val="000000"/>
          <w:kern w:val="0"/>
          <w:sz w:val="24"/>
          <w:szCs w:val="24"/>
        </w:rPr>
        <w:t/>
      </w:r>
      <w:proofErr w:type="spellStart"/>
      <w:r w:rsidRPr="00264E55">
        <w:rPr>
          <w:rFonts w:ascii="宋体" w:hAnsi="宋体"/>
          <w:color w:val="000000"/>
          <w:kern w:val="0"/>
          <w:sz w:val="24"/>
          <w:szCs w:val="24"/>
        </w:rPr>
        <w:t/>
      </w:r>
      <w:proofErr w:type="spellEnd"/>
      <w:r w:rsidRPr="00264E55">
        <w:rPr>
          <w:rFonts w:ascii="宋体" w:hAnsi="宋体"/>
          <w:color w:val="000000"/>
          <w:kern w:val="0"/>
          <w:sz w:val="24"/>
          <w:szCs w:val="24"/>
        </w:rPr>
        <w:t/>
      </w: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w:r>
      <w:r>
        <w:rPr>
          <w:rFonts w:ascii="宋体" w:hAnsi="宋体"/>
          <w:color w:val="000000"/>
          <w:kern w:val="0"/>
          <w:sz w:val="24"/>
          <w:szCs w:val="24"/>
        </w:rPr>
        <w:t/>
      </w:r>
      <w:r w:rsidRPr="00264E55">
        <w:rPr>
          <w:rFonts w:ascii="宋体"/>
          <w:color w:val="000000"/>
          <w:kern w:val="0"/>
          <w:sz w:val="24"/>
          <w:szCs w:val="24"/>
        </w:rPr>
        <w:t>7</w:t>
      </w:r>
      <w:r w:rsidR="005D6999" w:rsidRPr="006662B2">
        <w:rPr>
          <w:rFonts w:ascii="宋体" w:cs="Arial" w:hAnsi="宋体"/>
          <w:color w:val="000000"/>
          <w:kern w:val="0"/>
          <w:sz w:val="24"/>
          <w:szCs w:val="24"/>
        </w:rPr>
        <w:t xml:space="preserve">  </w:t>
      </w:r>
      <w:r w:rsidRPr="005C2541">
        <w:rPr>
          <w:rFonts w:ascii="宋体" w:hAnsi="宋体" w:hint="eastAsia"/>
          <w:color w:val="000000"/>
          <w:kern w:val="0"/>
          <w:sz w:val="24"/>
          <w:szCs w:val="24"/>
        </w:rPr>
        <w:t>基金管理人运用固有资金投资本基金交易明细</w:t>
      </w:r>
    </w:p>
    <w:p w:rsidP="009B5A25"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
      </w:r>
      <w:proofErr w:type="spellStart"/>
      <w:r w:rsidRPr="009B5A25">
        <w:rPr>
          <w:color w:val="000000"/>
          <w:sz w:val="24"/>
        </w:rPr>
        <w:t/>
      </w:r>
      <w:proofErr w:type="spellEnd"/>
      <w:r w:rsidRPr="009B5A25">
        <w:rPr>
          <w:color w:val="000000"/>
          <w:sz w:val="24"/>
        </w:rPr>
        <w:t>本报告期内基金管理人未运用固有资金申购、赎回、买卖本基金份额。</w:t>
      </w:r>
    </w:p>
    <w:p w:rsidP="00305CB5" w:rsidR="00701DE9" w:rsidRDefault="00701DE9" w:rsidRPr="006662B2">
      <w:pPr>
        <w:pStyle w:val="1"/>
        <w:spacing w:after="312" w:afterLines="100" w:before="312" w:beforeLines="100" w:line="360" w:lineRule="auto"/>
        <w:jc w:val="center"/>
        <w:rPr>
          <w:rFonts w:ascii="宋体" w:cs="Arial"/>
          <w:color w:val="000000"/>
          <w:kern w:val="0"/>
          <w:sz w:val="24"/>
          <w:szCs w:val="24"/>
        </w:rPr>
      </w:pPr>
      <w:r w:rsidRPr="006662B2">
        <w:rPr>
          <w:rFonts w:ascii="宋体" w:cs="Arial" w:hAnsi="宋体" w:hint="eastAsia"/>
          <w:color w:val="000000"/>
          <w:kern w:val="0"/>
          <w:sz w:val="24"/>
          <w:szCs w:val="24"/>
        </w:rPr>
        <w:t>§</w:t>
      </w:r>
      <w:r w:rsidRPr="006662B2">
        <w:rPr>
          <w:rFonts w:ascii="宋体" w:cs="Arial"/>
          <w:color w:val="000000"/>
          <w:kern w:val="0"/>
          <w:sz w:val="24"/>
          <w:szCs w:val="24"/>
        </w:rPr>
        <w:t/>
      </w:r>
      <w:r w:rsidRPr="006662B2">
        <w:rPr>
          <w:rFonts w:ascii="宋体" w:cs="Arial" w:hAnsi="宋体"/>
          <w:color w:val="000000"/>
          <w:kern w:val="0"/>
          <w:sz w:val="24"/>
          <w:szCs w:val="24"/>
        </w:rPr>
        <w:t>8</w:t>
      </w:r>
      <w:r w:rsidR="005D6999" w:rsidRPr="006662B2">
        <w:rPr>
          <w:rFonts w:ascii="宋体" w:cs="Arial" w:hAnsi="宋体"/>
          <w:color w:val="000000"/>
          <w:kern w:val="0"/>
          <w:sz w:val="24"/>
          <w:szCs w:val="24"/>
        </w:rPr>
        <w:t xml:space="preserve">  </w:t>
      </w:r>
      <w:r w:rsidRPr="006662B2">
        <w:rPr>
          <w:rFonts w:ascii="宋体" w:cs="Arial" w:hAnsi="宋体" w:hint="eastAsia"/>
          <w:color w:val="000000"/>
          <w:kern w:val="0"/>
          <w:sz w:val="24"/>
          <w:szCs w:val="24"/>
        </w:rPr>
        <w:t>备查文件目录</w:t>
      </w:r>
    </w:p>
    <w:p w:rsidP="004E3ADB" w:rsidR="00701DE9" w:rsidRDefault="00701DE9" w:rsidRPr="006662B2">
      <w:pPr>
        <w:autoSpaceDE w:val="0"/>
        <w:autoSpaceDN w:val="0"/>
        <w:adjustRightInd w:val="0"/>
        <w:spacing w:line="360" w:lineRule="auto"/>
        <w:jc w:val="left"/>
        <w:rPr>
          <w:rFonts w:ascii="宋体"/>
          <w:b/>
          <w:bCs/>
          <w:color w:val="000000"/>
          <w:kern w:val="0"/>
          <w:sz w:val="24"/>
        </w:rPr>
      </w:pPr>
      <w:r w:rsidRPr="006662B2">
        <w:rPr>
          <w:rFonts w:ascii="宋体" w:cs="Arial"/>
          <w:b/>
          <w:color w:val="000000"/>
          <w:kern w:val="0"/>
          <w:sz w:val="24"/>
        </w:rPr>
        <w:t/>
      </w:r>
      <w:r w:rsidRPr="006662B2">
        <w:rPr>
          <w:rFonts w:ascii="宋体" w:cs="Arial" w:hAnsi="宋体"/>
          <w:b/>
          <w:color w:val="000000"/>
          <w:kern w:val="0"/>
          <w:sz w:val="24"/>
        </w:rPr>
        <w:t>8</w:t>
      </w:r>
      <w:r w:rsidRPr="006662B2">
        <w:rPr>
          <w:rFonts w:ascii="宋体" w:hAnsi="宋体"/>
          <w:b/>
          <w:bCs/>
          <w:color w:val="000000"/>
          <w:kern w:val="0"/>
          <w:sz w:val="24"/>
        </w:rPr>
        <w:t xml:space="preserve">.1 </w:t>
      </w:r>
      <w:r w:rsidRPr="006662B2">
        <w:rPr>
          <w:rFonts w:ascii="宋体" w:hAnsi="宋体" w:hint="eastAsia"/>
          <w:b/>
          <w:bCs/>
          <w:color w:val="000000"/>
          <w:kern w:val="0"/>
          <w:sz w:val="24"/>
        </w:rPr>
        <w:t>备查文件目录</w:t>
      </w:r>
    </w:p>
    <w:p>
      <w:pPr>
        <w:spacing w:line="360" w:lineRule="auto"/>
        <w:ind w:firstLine="480" w:firstLineChars="200"/>
        <w:rPr>
          <w:color w:val="000000"/>
          <w:sz w:val="24"/>
        </w:rPr>
      </w:pPr>
      <w:r>
        <w:rPr>
          <w:color w:val="000000"/>
          <w:sz w:val="24"/>
        </w:rPr>
        <w:t>1.中国证监会注册易方达增金宝货币市场基金募集的文件；</w:t>
      </w:r>
    </w:p>
    <w:p>
      <w:pPr>
        <w:spacing w:line="360" w:lineRule="auto"/>
        <w:ind w:firstLine="480" w:firstLineChars="200"/>
        <w:rPr>
          <w:color w:val="000000"/>
          <w:sz w:val="24"/>
        </w:rPr>
      </w:pPr>
      <w:r>
        <w:rPr>
          <w:color w:val="000000"/>
          <w:sz w:val="24"/>
        </w:rPr>
        <w:t>2.《易方达增金宝货币市场基金基金合同》；</w:t>
      </w:r>
    </w:p>
    <w:p>
      <w:pPr>
        <w:spacing w:line="360" w:lineRule="auto"/>
        <w:ind w:firstLine="480" w:firstLineChars="200"/>
        <w:rPr>
          <w:color w:val="000000"/>
          <w:sz w:val="24"/>
        </w:rPr>
      </w:pPr>
      <w:r>
        <w:rPr>
          <w:color w:val="000000"/>
          <w:sz w:val="24"/>
        </w:rPr>
        <w:t>3.《易方达增金宝货币市场基金托管协议》；</w:t>
      </w:r>
    </w:p>
    <w:p>
      <w:pPr>
        <w:spacing w:line="360" w:lineRule="auto"/>
        <w:ind w:firstLine="480" w:firstLineChars="200"/>
        <w:rPr>
          <w:color w:val="000000"/>
          <w:sz w:val="24"/>
        </w:rPr>
      </w:pPr>
      <w:r>
        <w:rPr>
          <w:color w:val="000000"/>
          <w:sz w:val="24"/>
        </w:rPr>
        <w:t>4.《易方达基金管理有限公司开放式基金业务规则》；</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5.基金管理人业务资格批件、营业执照。</w:t>
      </w:r>
    </w:p>
    <w:p w:rsidP="004E3ADB" w:rsidR="00701DE9" w:rsidRDefault="00701DE9" w:rsidRPr="006662B2">
      <w:pPr>
        <w:autoSpaceDE w:val="0"/>
        <w:autoSpaceDN w:val="0"/>
        <w:adjustRightInd w:val="0"/>
        <w:spacing w:line="360" w:lineRule="auto"/>
        <w:jc w:val="left"/>
        <w:rPr>
          <w:rFonts w:ascii="宋体"/>
          <w:b/>
          <w:bCs/>
          <w:color w:val="000000"/>
          <w:kern w:val="0"/>
          <w:sz w:val="24"/>
        </w:rPr>
      </w:pPr>
      <w:r w:rsidRPr="006662B2">
        <w:rPr>
          <w:rFonts w:ascii="宋体" w:cs="Arial"/>
          <w:b/>
          <w:color w:val="000000"/>
          <w:kern w:val="0"/>
          <w:sz w:val="24"/>
        </w:rPr>
        <w:t/>
      </w:r>
      <w:r w:rsidRPr="006662B2">
        <w:rPr>
          <w:rFonts w:ascii="宋体" w:cs="Arial" w:hAnsi="宋体"/>
          <w:b/>
          <w:color w:val="000000"/>
          <w:kern w:val="0"/>
          <w:sz w:val="24"/>
        </w:rPr>
        <w:t>8</w:t>
      </w:r>
      <w:r w:rsidRPr="006662B2">
        <w:rPr>
          <w:rFonts w:ascii="宋体" w:hAnsi="宋体"/>
          <w:b/>
          <w:bCs/>
          <w:color w:val="000000"/>
          <w:kern w:val="0"/>
          <w:sz w:val="24"/>
        </w:rPr>
        <w:t xml:space="preserve">.2 </w:t>
      </w:r>
      <w:r w:rsidRPr="006662B2">
        <w:rPr>
          <w:rFonts w:ascii="宋体" w:hAnsi="宋体" w:hint="eastAsia"/>
          <w:b/>
          <w:bCs/>
          <w:color w:val="000000"/>
          <w:kern w:val="0"/>
          <w:sz w:val="24"/>
        </w:rPr>
        <w:t>存放地点</w:t>
      </w:r>
    </w:p>
    <w:p w:rsidP="009F4D34" w:rsidR="00701DE9" w:rsidRDefault="00701DE9" w:rsidRPr="009F4D34">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广州市天河区珠江新城珠江东路30号广州银行大厦40-43楼。</w:t>
      </w:r>
    </w:p>
    <w:p w:rsidP="004E3ADB" w:rsidR="00701DE9" w:rsidRDefault="00701DE9" w:rsidRPr="006662B2">
      <w:pPr>
        <w:autoSpaceDE w:val="0"/>
        <w:autoSpaceDN w:val="0"/>
        <w:adjustRightInd w:val="0"/>
        <w:spacing w:line="360" w:lineRule="auto"/>
        <w:jc w:val="left"/>
        <w:rPr>
          <w:rFonts w:ascii="宋体"/>
          <w:b/>
          <w:bCs/>
          <w:color w:val="000000"/>
          <w:kern w:val="0"/>
          <w:sz w:val="24"/>
        </w:rPr>
      </w:pPr>
      <w:r w:rsidRPr="006662B2">
        <w:rPr>
          <w:rFonts w:ascii="宋体" w:cs="Arial"/>
          <w:b/>
          <w:color w:val="000000"/>
          <w:kern w:val="0"/>
          <w:sz w:val="24"/>
        </w:rPr>
        <w:t/>
      </w:r>
      <w:r w:rsidRPr="006662B2">
        <w:rPr>
          <w:rFonts w:ascii="宋体" w:cs="Arial" w:hAnsi="宋体"/>
          <w:b/>
          <w:color w:val="000000"/>
          <w:kern w:val="0"/>
          <w:sz w:val="24"/>
        </w:rPr>
        <w:t>8</w:t>
      </w:r>
      <w:r w:rsidRPr="006662B2">
        <w:rPr>
          <w:rFonts w:ascii="宋体" w:hAnsi="宋体"/>
          <w:b/>
          <w:bCs/>
          <w:color w:val="000000"/>
          <w:kern w:val="0"/>
          <w:sz w:val="24"/>
        </w:rPr>
        <w:t xml:space="preserve">.3 </w:t>
      </w:r>
      <w:r w:rsidRPr="006662B2">
        <w:rPr>
          <w:rFonts w:ascii="宋体" w:hAnsi="宋体" w:hint="eastAsia"/>
          <w:b/>
          <w:bCs/>
          <w:color w:val="000000"/>
          <w:kern w:val="0"/>
          <w:sz w:val="24"/>
        </w:rPr>
        <w:t>查阅方式</w:t>
      </w:r>
    </w:p>
    <w:p w:rsidP="00EE29A9" w:rsidR="00701DE9" w:rsidRDefault="00701DE9" w:rsidRPr="009B5A25">
      <w:pPr>
        <w:spacing w:line="360" w:lineRule="auto"/>
        <w:ind w:firstLine="480" w:firstLineChars="200"/>
        <w:rPr>
          <w:color w:val="000000"/>
          <w:sz w:val="24"/>
        </w:rPr>
      </w:pPr>
      <w:r w:rsidRPr="009B5A25">
        <w:rPr>
          <w:color w:val="000000"/>
          <w:sz w:val="24"/>
        </w:rPr>
        <w:t/>
      </w:r>
      <w:proofErr w:type="spellStart"/>
      <w:r w:rsidRPr="009B5A25">
        <w:rPr>
          <w:color w:val="000000"/>
          <w:sz w:val="24"/>
        </w:rPr>
        <w:t/>
      </w:r>
      <w:proofErr w:type="spellEnd"/>
      <w:r w:rsidRPr="009B5A25">
        <w:rPr>
          <w:color w:val="000000"/>
          <w:sz w:val="24"/>
        </w:rPr>
        <w:t>投资者可在营业时间免费查阅，也可按工本费购买复印件。</w:t>
      </w:r>
    </w:p>
    <w:p w:rsidP="00814461" w:rsidR="00701DE9" w:rsidRDefault="00701DE9">
      <w:pPr>
        <w:spacing w:line="360" w:lineRule="auto"/>
        <w:ind w:left="840"/>
        <w:jc w:val="right"/>
        <w:rPr>
          <w:rFonts w:ascii="宋体"/>
          <w:color w:val="000000"/>
          <w:sz w:val="24"/>
        </w:rPr>
      </w:pPr>
    </w:p>
    <w:p w:rsidP="00814461" w:rsidR="00701DE9" w:rsidRDefault="00701DE9">
      <w:pPr>
        <w:spacing w:line="360" w:lineRule="auto"/>
        <w:ind w:left="840"/>
        <w:jc w:val="right"/>
        <w:rPr>
          <w:rFonts w:ascii="宋体"/>
          <w:color w:val="000000"/>
          <w:sz w:val="24"/>
        </w:rPr>
      </w:pPr>
    </w:p>
    <w:p w:rsidP="00814461" w:rsidR="00701DE9" w:rsidRDefault="00701DE9">
      <w:pPr>
        <w:spacing w:line="360" w:lineRule="auto"/>
        <w:ind w:left="840"/>
        <w:jc w:val="right"/>
        <w:rPr>
          <w:rFonts w:ascii="宋体"/>
          <w:color w:val="000000"/>
          <w:sz w:val="24"/>
        </w:rPr>
      </w:pPr>
    </w:p>
    <w:p w:rsidP="00814461" w:rsidR="00701DE9" w:rsidRDefault="00701DE9">
      <w:pPr>
        <w:spacing w:line="360" w:lineRule="auto"/>
        <w:ind w:left="840"/>
        <w:jc w:val="right"/>
        <w:rPr>
          <w:rFonts w:ascii="宋体"/>
          <w:color w:val="000000"/>
          <w:sz w:val="24"/>
        </w:rPr>
      </w:pPr>
    </w:p>
    <w:p w:rsidP="00814461" w:rsidR="00701DE9" w:rsidRDefault="00701DE9">
      <w:pPr>
        <w:spacing w:line="360" w:lineRule="auto"/>
        <w:ind w:left="840"/>
        <w:jc w:val="right"/>
        <w:rPr>
          <w:rFonts w:ascii="宋体"/>
          <w:color w:val="000000"/>
          <w:sz w:val="24"/>
        </w:rPr>
      </w:pPr>
    </w:p>
    <w:p w:rsidP="00814461" w:rsidR="00701DE9" w:rsidRDefault="00701DE9">
      <w:pPr>
        <w:spacing w:line="360" w:lineRule="auto"/>
        <w:ind w:left="840"/>
        <w:jc w:val="right"/>
        <w:rPr>
          <w:rFonts w:ascii="宋体"/>
          <w:color w:val="000000"/>
          <w:sz w:val="24"/>
        </w:rPr>
      </w:pPr>
    </w:p>
    <w:p w:rsidP="00814461" w:rsidR="00701DE9" w:rsidRDefault="00701DE9" w:rsidRPr="006662B2">
      <w:pPr>
        <w:spacing w:line="360" w:lineRule="auto"/>
        <w:ind w:left="840"/>
        <w:jc w:val="right"/>
        <w:rPr>
          <w:rFonts w:ascii="宋体"/>
          <w:color w:val="000000"/>
          <w:sz w:val="24"/>
        </w:rPr>
      </w:pPr>
    </w:p>
    <w:p w:rsidP="00814461" w:rsidR="00701DE9" w:rsidRDefault="00701DE9" w:rsidRPr="006662B2">
      <w:pPr>
        <w:spacing w:line="360" w:lineRule="auto"/>
        <w:ind w:left="840"/>
        <w:jc w:val="right"/>
        <w:rPr>
          <w:rFonts w:ascii="宋体"/>
          <w:color w:val="000000"/>
          <w:sz w:val="24"/>
        </w:rPr>
      </w:pPr>
    </w:p>
    <w:p w:rsidP="004E3ADB" w:rsidR="00701DE9" w:rsidRDefault="00701DE9" w:rsidRPr="006662B2">
      <w:pPr>
        <w:spacing w:line="360" w:lineRule="auto"/>
        <w:jc w:val="right"/>
        <w:rPr>
          <w:rFonts w:ascii="宋体" w:hAnsi="宋体"/>
          <w:b/>
          <w:bCs/>
          <w:sz w:val="24"/>
        </w:rPr>
      </w:pPr>
      <w:r w:rsidRPr="006662B2">
        <w:rPr>
          <w:rFonts w:ascii="宋体"/>
          <w:b/>
          <w:bCs/>
          <w:sz w:val="24"/>
        </w:rPr>
        <w:t/>
      </w:r>
      <w:proofErr w:type="spellStart"/>
      <w:r w:rsidRPr="006662B2">
        <w:rPr>
          <w:rFonts w:ascii="宋体" w:hAnsi="宋体"/>
          <w:b/>
          <w:bCs/>
          <w:sz w:val="24"/>
        </w:rPr>
        <w:t/>
      </w:r>
      <w:proofErr w:type="spellEnd"/>
      <w:r w:rsidRPr="006662B2">
        <w:rPr>
          <w:rFonts w:ascii="宋体" w:hAnsi="宋体"/>
          <w:b/>
          <w:bCs/>
          <w:sz w:val="24"/>
        </w:rPr>
        <w:t>易方达基金管理有限公司</w:t>
      </w:r>
    </w:p>
    <w:p w:rsidP="004E3ADB" w:rsidR="00701DE9" w:rsidRDefault="00701DE9" w:rsidRPr="006662B2">
      <w:pPr>
        <w:spacing w:line="360" w:lineRule="auto"/>
        <w:jc w:val="right"/>
        <w:rPr>
          <w:rFonts w:ascii="宋体" w:hAnsi="宋体"/>
          <w:b/>
          <w:bCs/>
          <w:sz w:val="24"/>
        </w:rPr>
      </w:pPr>
      <w:r w:rsidRPr="006662B2">
        <w:rPr>
          <w:rFonts w:ascii="宋体" w:hAnsi="宋体"/>
          <w:b/>
          <w:bCs/>
          <w:sz w:val="24"/>
        </w:rPr>
        <w:t/>
      </w:r>
      <w:proofErr w:type="spellStart"/>
      <w:r w:rsidRPr="006662B2">
        <w:rPr>
          <w:rFonts w:ascii="宋体" w:hAnsi="宋体"/>
          <w:b/>
          <w:bCs/>
          <w:sz w:val="24"/>
        </w:rPr>
        <w:t/>
      </w:r>
      <w:proofErr w:type="spellEnd"/>
      <w:r w:rsidRPr="006662B2">
        <w:rPr>
          <w:rFonts w:ascii="宋体" w:hAnsi="宋体"/>
          <w:b/>
          <w:bCs/>
          <w:sz w:val="24"/>
        </w:rPr>
        <w:t>二〇二〇年七月二十一日</w:t>
      </w:r>
    </w:p>
    <w:sectPr w:rsidR="00701DE9" w:rsidRPr="006662B2" w:rsidSect="00A13382">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E8D" w:rsidRDefault="00A20E8D">
      <w:r>
        <w:separator/>
      </w:r>
    </w:p>
  </w:endnote>
  <w:endnote w:type="continuationSeparator" w:id="0">
    <w:p w:rsidR="00A20E8D" w:rsidRDefault="00A2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宋体"/>
    <w:charset w:val="86"/>
    <w:family w:val="auto"/>
    <w:pitch w:val="default"/>
    <w:sig w:usb0="00000000"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701DE9" w:rsidRDefault="00701DE9" w:rsidRPr="001D0DB0">
    <w:pPr>
      <w:pStyle w:val="a5"/>
      <w:jc w:val="center"/>
    </w:pPr>
    <w:r>
      <w:rPr>
        <w:rFonts w:hint="eastAsia"/>
        <w:szCs w:val="21"/>
      </w:rPr>
      <w:t>第</w:t>
    </w:r>
    <w:r w:rsidR="006040BA">
      <w:rPr>
        <w:szCs w:val="21"/>
      </w:rPr>
      <w:fldChar w:fldCharType="begin"/>
    </w:r>
    <w:r>
      <w:rPr>
        <w:szCs w:val="21"/>
      </w:rPr>
      <w:instrText xml:space="preserve"> PAGE </w:instrText>
    </w:r>
    <w:r w:rsidR="006040BA">
      <w:rPr>
        <w:szCs w:val="21"/>
      </w:rPr>
      <w:fldChar w:fldCharType="separate"/>
    </w:r>
    <w:r w:rsidR="00DD3003">
      <w:rPr>
        <w:noProof/>
        <w:szCs w:val="21"/>
      </w:rPr>
      <w:t>17</w:t>
    </w:r>
    <w:r w:rsidR="006040BA">
      <w:rPr>
        <w:szCs w:val="21"/>
      </w:rPr>
      <w:fldChar w:fldCharType="end"/>
    </w:r>
    <w:proofErr w:type="gramStart"/>
    <w:r>
      <w:rPr>
        <w:rFonts w:hint="eastAsia"/>
        <w:szCs w:val="21"/>
      </w:rPr>
      <w:t>页共</w:t>
    </w:r>
    <w:proofErr w:type="gramEnd"/>
    <w:r w:rsidR="006040BA">
      <w:rPr>
        <w:szCs w:val="21"/>
      </w:rPr>
      <w:fldChar w:fldCharType="begin"/>
    </w:r>
    <w:r>
      <w:rPr>
        <w:szCs w:val="21"/>
      </w:rPr>
      <w:instrText xml:space="preserve"> NUMPAGES </w:instrText>
    </w:r>
    <w:r w:rsidR="006040BA">
      <w:rPr>
        <w:szCs w:val="21"/>
      </w:rPr>
      <w:fldChar w:fldCharType="separate"/>
    </w:r>
    <w:r w:rsidR="00DD3003">
      <w:rPr>
        <w:noProof/>
        <w:szCs w:val="21"/>
      </w:rPr>
      <w:t>24</w:t>
    </w:r>
    <w:r w:rsidR="006040BA">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A20E8D" w:rsidRDefault="00A20E8D">
      <w:r>
        <w:separator/>
      </w:r>
    </w:p>
  </w:footnote>
  <w:footnote w:id="0" w:type="continuationSeparator">
    <w:p w:rsidR="00A20E8D" w:rsidRDefault="00A20E8D">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E5BB6" w:rsidR="00701DE9" w:rsidRDefault="00701DE9" w:rsidRPr="00447795">
    <w:pPr>
      <w:pStyle w:val="a4"/>
      <w:pBdr>
        <w:bottom w:color="auto" w:space="0" w:sz="6" w:val="single"/>
      </w:pBdr>
      <w:jc w:val="right"/>
      <w:rPr>
        <w:sz w:val="15"/>
      </w:rPr>
    </w:pPr>
    <w:r w:rsidRPr="00447795">
      <w:rPr>
        <w:szCs w:val="21"/>
      </w:rPr>
      <w:t/>
    </w:r>
    <w:proofErr w:type="spellStart"/>
    <w:proofErr w:type="gramStart"/>
    <w:r w:rsidRPr="00447795">
      <w:rPr>
        <w:szCs w:val="21"/>
      </w:rPr>
      <w:t/>
    </w:r>
    <w:proofErr w:type="spellEnd"/>
    <w:proofErr w:type="gramEnd"/>
    <w:r w:rsidRPr="00447795">
      <w:rPr>
        <w:szCs w:val="21"/>
      </w:rPr>
      <w:t>易方达增金宝货币市场基金</w:t>
    </w:r>
    <w:proofErr w:type="spellStart"/>
    <w:r w:rsidRPr="00447795">
      <w:rPr>
        <w:szCs w:val="21"/>
      </w:rPr>
      <w:t/>
    </w:r>
    <w:proofErr w:type="spellEnd"/>
    <w:r w:rsidRPr="00447795">
      <w:rPr>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54E4B"/>
    <w:rsid w:val="000028CE"/>
    <w:rsid w:val="00004773"/>
    <w:rsid w:val="00004DE7"/>
    <w:rsid w:val="00011307"/>
    <w:rsid w:val="00014416"/>
    <w:rsid w:val="0001552D"/>
    <w:rsid w:val="00017C6F"/>
    <w:rsid w:val="00017E35"/>
    <w:rsid w:val="0004063B"/>
    <w:rsid w:val="00041165"/>
    <w:rsid w:val="00047661"/>
    <w:rsid w:val="00052CA4"/>
    <w:rsid w:val="0005518A"/>
    <w:rsid w:val="0005571F"/>
    <w:rsid w:val="00057D26"/>
    <w:rsid w:val="000636E5"/>
    <w:rsid w:val="0006661F"/>
    <w:rsid w:val="0006697D"/>
    <w:rsid w:val="00070092"/>
    <w:rsid w:val="0007109E"/>
    <w:rsid w:val="00075BDA"/>
    <w:rsid w:val="00075CA2"/>
    <w:rsid w:val="000818ED"/>
    <w:rsid w:val="00082C37"/>
    <w:rsid w:val="000844BD"/>
    <w:rsid w:val="000851A7"/>
    <w:rsid w:val="00085416"/>
    <w:rsid w:val="00093E9D"/>
    <w:rsid w:val="000A11FB"/>
    <w:rsid w:val="000A2104"/>
    <w:rsid w:val="000A22A2"/>
    <w:rsid w:val="000B0144"/>
    <w:rsid w:val="000B3935"/>
    <w:rsid w:val="000C0602"/>
    <w:rsid w:val="000C7BA0"/>
    <w:rsid w:val="000D0F44"/>
    <w:rsid w:val="000D5CA8"/>
    <w:rsid w:val="000D5E16"/>
    <w:rsid w:val="000D774B"/>
    <w:rsid w:val="000E2F13"/>
    <w:rsid w:val="000E5E52"/>
    <w:rsid w:val="000E6630"/>
    <w:rsid w:val="000F1F3F"/>
    <w:rsid w:val="000F4826"/>
    <w:rsid w:val="000F5AE3"/>
    <w:rsid w:val="00100A35"/>
    <w:rsid w:val="00100EC8"/>
    <w:rsid w:val="00101278"/>
    <w:rsid w:val="00103B93"/>
    <w:rsid w:val="001059C8"/>
    <w:rsid w:val="00114310"/>
    <w:rsid w:val="001170EA"/>
    <w:rsid w:val="00126B62"/>
    <w:rsid w:val="001302DB"/>
    <w:rsid w:val="001429FF"/>
    <w:rsid w:val="0015340D"/>
    <w:rsid w:val="001540CE"/>
    <w:rsid w:val="001614B5"/>
    <w:rsid w:val="00175DFC"/>
    <w:rsid w:val="001806FA"/>
    <w:rsid w:val="0018401C"/>
    <w:rsid w:val="00186667"/>
    <w:rsid w:val="001878B0"/>
    <w:rsid w:val="00190115"/>
    <w:rsid w:val="00190674"/>
    <w:rsid w:val="00191B28"/>
    <w:rsid w:val="00192AF8"/>
    <w:rsid w:val="00193BCF"/>
    <w:rsid w:val="00195C6F"/>
    <w:rsid w:val="001A0592"/>
    <w:rsid w:val="001A19C5"/>
    <w:rsid w:val="001C5457"/>
    <w:rsid w:val="001C5D80"/>
    <w:rsid w:val="001C611E"/>
    <w:rsid w:val="001D0D4C"/>
    <w:rsid w:val="001D0DB0"/>
    <w:rsid w:val="001D3FAC"/>
    <w:rsid w:val="001D54B1"/>
    <w:rsid w:val="001D6ECD"/>
    <w:rsid w:val="001D76DD"/>
    <w:rsid w:val="001E1344"/>
    <w:rsid w:val="001E30A4"/>
    <w:rsid w:val="001F0286"/>
    <w:rsid w:val="001F302C"/>
    <w:rsid w:val="001F6D09"/>
    <w:rsid w:val="001F6FF8"/>
    <w:rsid w:val="001F78C1"/>
    <w:rsid w:val="0020640F"/>
    <w:rsid w:val="00221191"/>
    <w:rsid w:val="0022445E"/>
    <w:rsid w:val="002315C8"/>
    <w:rsid w:val="00232095"/>
    <w:rsid w:val="0024072D"/>
    <w:rsid w:val="00251E3E"/>
    <w:rsid w:val="002525C7"/>
    <w:rsid w:val="00254040"/>
    <w:rsid w:val="0025593D"/>
    <w:rsid w:val="002623A6"/>
    <w:rsid w:val="00264E55"/>
    <w:rsid w:val="00267283"/>
    <w:rsid w:val="00274097"/>
    <w:rsid w:val="00274FAC"/>
    <w:rsid w:val="0027576B"/>
    <w:rsid w:val="00280B02"/>
    <w:rsid w:val="0028250D"/>
    <w:rsid w:val="0029158C"/>
    <w:rsid w:val="002A114B"/>
    <w:rsid w:val="002A7841"/>
    <w:rsid w:val="002B45A4"/>
    <w:rsid w:val="002B48E3"/>
    <w:rsid w:val="002C22D6"/>
    <w:rsid w:val="002C7D48"/>
    <w:rsid w:val="002D338E"/>
    <w:rsid w:val="002D691E"/>
    <w:rsid w:val="002E0F4A"/>
    <w:rsid w:val="002E0F7F"/>
    <w:rsid w:val="002E333F"/>
    <w:rsid w:val="002E4DBF"/>
    <w:rsid w:val="002E65E3"/>
    <w:rsid w:val="002F0073"/>
    <w:rsid w:val="002F6539"/>
    <w:rsid w:val="002F7A4C"/>
    <w:rsid w:val="003020A8"/>
    <w:rsid w:val="00305CB5"/>
    <w:rsid w:val="003076EF"/>
    <w:rsid w:val="00311ADA"/>
    <w:rsid w:val="0031581B"/>
    <w:rsid w:val="003220F0"/>
    <w:rsid w:val="00340C3A"/>
    <w:rsid w:val="00343AF0"/>
    <w:rsid w:val="00346B82"/>
    <w:rsid w:val="0035215C"/>
    <w:rsid w:val="0035243E"/>
    <w:rsid w:val="003558AF"/>
    <w:rsid w:val="003622A7"/>
    <w:rsid w:val="00371E26"/>
    <w:rsid w:val="003743E1"/>
    <w:rsid w:val="003777F0"/>
    <w:rsid w:val="0038095B"/>
    <w:rsid w:val="00380AE6"/>
    <w:rsid w:val="00384942"/>
    <w:rsid w:val="003856CF"/>
    <w:rsid w:val="00386903"/>
    <w:rsid w:val="00387992"/>
    <w:rsid w:val="00391065"/>
    <w:rsid w:val="003923B3"/>
    <w:rsid w:val="00395151"/>
    <w:rsid w:val="003A1397"/>
    <w:rsid w:val="003A169E"/>
    <w:rsid w:val="003A49D5"/>
    <w:rsid w:val="003B6DC6"/>
    <w:rsid w:val="003B709E"/>
    <w:rsid w:val="003C0E8C"/>
    <w:rsid w:val="003C1137"/>
    <w:rsid w:val="003D0E87"/>
    <w:rsid w:val="003D48C1"/>
    <w:rsid w:val="003E028A"/>
    <w:rsid w:val="003E14FE"/>
    <w:rsid w:val="003F468F"/>
    <w:rsid w:val="003F65C4"/>
    <w:rsid w:val="003F6B4D"/>
    <w:rsid w:val="00402654"/>
    <w:rsid w:val="00403ED2"/>
    <w:rsid w:val="00406A01"/>
    <w:rsid w:val="00410696"/>
    <w:rsid w:val="00422BC7"/>
    <w:rsid w:val="004250C5"/>
    <w:rsid w:val="00425438"/>
    <w:rsid w:val="00426FAD"/>
    <w:rsid w:val="00431618"/>
    <w:rsid w:val="004359DF"/>
    <w:rsid w:val="004369B0"/>
    <w:rsid w:val="00437706"/>
    <w:rsid w:val="00440C71"/>
    <w:rsid w:val="0044257C"/>
    <w:rsid w:val="00447795"/>
    <w:rsid w:val="0045068A"/>
    <w:rsid w:val="00450812"/>
    <w:rsid w:val="00460000"/>
    <w:rsid w:val="00462488"/>
    <w:rsid w:val="004677E5"/>
    <w:rsid w:val="0047191A"/>
    <w:rsid w:val="004730B4"/>
    <w:rsid w:val="00474896"/>
    <w:rsid w:val="00474A43"/>
    <w:rsid w:val="004771B9"/>
    <w:rsid w:val="0048086E"/>
    <w:rsid w:val="004817F4"/>
    <w:rsid w:val="00492647"/>
    <w:rsid w:val="004926EE"/>
    <w:rsid w:val="004A2432"/>
    <w:rsid w:val="004A3251"/>
    <w:rsid w:val="004A46A0"/>
    <w:rsid w:val="004A5FCE"/>
    <w:rsid w:val="004B1C09"/>
    <w:rsid w:val="004B26A7"/>
    <w:rsid w:val="004B6B25"/>
    <w:rsid w:val="004B7B7F"/>
    <w:rsid w:val="004C3FA9"/>
    <w:rsid w:val="004D0F9C"/>
    <w:rsid w:val="004D22E1"/>
    <w:rsid w:val="004D5065"/>
    <w:rsid w:val="004E041A"/>
    <w:rsid w:val="004E3ADB"/>
    <w:rsid w:val="004F3020"/>
    <w:rsid w:val="004F72E6"/>
    <w:rsid w:val="00512FE1"/>
    <w:rsid w:val="005141F5"/>
    <w:rsid w:val="0051578D"/>
    <w:rsid w:val="00520731"/>
    <w:rsid w:val="00527876"/>
    <w:rsid w:val="00534548"/>
    <w:rsid w:val="0054785C"/>
    <w:rsid w:val="00555883"/>
    <w:rsid w:val="00560D73"/>
    <w:rsid w:val="00561E69"/>
    <w:rsid w:val="005632B4"/>
    <w:rsid w:val="005633AD"/>
    <w:rsid w:val="005648A3"/>
    <w:rsid w:val="00565D1B"/>
    <w:rsid w:val="00575970"/>
    <w:rsid w:val="005773D6"/>
    <w:rsid w:val="00582960"/>
    <w:rsid w:val="00587524"/>
    <w:rsid w:val="00591363"/>
    <w:rsid w:val="00591814"/>
    <w:rsid w:val="00591E69"/>
    <w:rsid w:val="00592D0A"/>
    <w:rsid w:val="00594DCA"/>
    <w:rsid w:val="00595C4A"/>
    <w:rsid w:val="00596386"/>
    <w:rsid w:val="00597360"/>
    <w:rsid w:val="005B527B"/>
    <w:rsid w:val="005B697D"/>
    <w:rsid w:val="005C2541"/>
    <w:rsid w:val="005C3412"/>
    <w:rsid w:val="005C6D15"/>
    <w:rsid w:val="005D6999"/>
    <w:rsid w:val="005E05CC"/>
    <w:rsid w:val="005E2087"/>
    <w:rsid w:val="005E6FA5"/>
    <w:rsid w:val="005F270C"/>
    <w:rsid w:val="005F409A"/>
    <w:rsid w:val="005F46DA"/>
    <w:rsid w:val="00600F5B"/>
    <w:rsid w:val="006040BA"/>
    <w:rsid w:val="00610D87"/>
    <w:rsid w:val="00613327"/>
    <w:rsid w:val="00614780"/>
    <w:rsid w:val="00615C3A"/>
    <w:rsid w:val="00615ED9"/>
    <w:rsid w:val="00617ADB"/>
    <w:rsid w:val="0062091D"/>
    <w:rsid w:val="0062127F"/>
    <w:rsid w:val="006268E8"/>
    <w:rsid w:val="00631C0B"/>
    <w:rsid w:val="0063302E"/>
    <w:rsid w:val="00637395"/>
    <w:rsid w:val="00642494"/>
    <w:rsid w:val="00642F81"/>
    <w:rsid w:val="00650A4F"/>
    <w:rsid w:val="0065220D"/>
    <w:rsid w:val="00654774"/>
    <w:rsid w:val="006548BE"/>
    <w:rsid w:val="0065614E"/>
    <w:rsid w:val="00661E17"/>
    <w:rsid w:val="00664834"/>
    <w:rsid w:val="006662B2"/>
    <w:rsid w:val="0067057E"/>
    <w:rsid w:val="0067106E"/>
    <w:rsid w:val="006710F0"/>
    <w:rsid w:val="00673BA5"/>
    <w:rsid w:val="00673ED8"/>
    <w:rsid w:val="00683E0D"/>
    <w:rsid w:val="006843E2"/>
    <w:rsid w:val="00687B3E"/>
    <w:rsid w:val="006911A1"/>
    <w:rsid w:val="00691A38"/>
    <w:rsid w:val="00695A7B"/>
    <w:rsid w:val="0069632C"/>
    <w:rsid w:val="006A1E40"/>
    <w:rsid w:val="006A2A4A"/>
    <w:rsid w:val="006A2D00"/>
    <w:rsid w:val="006A2EE4"/>
    <w:rsid w:val="006B25FD"/>
    <w:rsid w:val="006B4C67"/>
    <w:rsid w:val="006B56A0"/>
    <w:rsid w:val="006B6EF4"/>
    <w:rsid w:val="006C3781"/>
    <w:rsid w:val="006D4C22"/>
    <w:rsid w:val="006D56D3"/>
    <w:rsid w:val="006E05E1"/>
    <w:rsid w:val="006F30FA"/>
    <w:rsid w:val="006F622C"/>
    <w:rsid w:val="00701DE9"/>
    <w:rsid w:val="00705849"/>
    <w:rsid w:val="00710487"/>
    <w:rsid w:val="007134DD"/>
    <w:rsid w:val="00714B3D"/>
    <w:rsid w:val="007160BD"/>
    <w:rsid w:val="007277D1"/>
    <w:rsid w:val="00727EA0"/>
    <w:rsid w:val="0073105A"/>
    <w:rsid w:val="00741288"/>
    <w:rsid w:val="007478BF"/>
    <w:rsid w:val="00752660"/>
    <w:rsid w:val="007558F2"/>
    <w:rsid w:val="00756489"/>
    <w:rsid w:val="00757A78"/>
    <w:rsid w:val="00761E9C"/>
    <w:rsid w:val="00762E87"/>
    <w:rsid w:val="00771E4D"/>
    <w:rsid w:val="007723FD"/>
    <w:rsid w:val="00772687"/>
    <w:rsid w:val="00775892"/>
    <w:rsid w:val="00780252"/>
    <w:rsid w:val="0078105B"/>
    <w:rsid w:val="00786ACF"/>
    <w:rsid w:val="0079212D"/>
    <w:rsid w:val="00793C17"/>
    <w:rsid w:val="007952CD"/>
    <w:rsid w:val="007B1C3E"/>
    <w:rsid w:val="007C42E5"/>
    <w:rsid w:val="007C6A87"/>
    <w:rsid w:val="007D38EA"/>
    <w:rsid w:val="007E0C74"/>
    <w:rsid w:val="007F525E"/>
    <w:rsid w:val="007F7B68"/>
    <w:rsid w:val="00806609"/>
    <w:rsid w:val="00806882"/>
    <w:rsid w:val="00806E79"/>
    <w:rsid w:val="008079DB"/>
    <w:rsid w:val="00811188"/>
    <w:rsid w:val="008115B6"/>
    <w:rsid w:val="00814461"/>
    <w:rsid w:val="0082024F"/>
    <w:rsid w:val="00822B8F"/>
    <w:rsid w:val="00825EA5"/>
    <w:rsid w:val="00833555"/>
    <w:rsid w:val="008347B3"/>
    <w:rsid w:val="008424EC"/>
    <w:rsid w:val="00843E53"/>
    <w:rsid w:val="00846218"/>
    <w:rsid w:val="008462A0"/>
    <w:rsid w:val="00850906"/>
    <w:rsid w:val="00851F57"/>
    <w:rsid w:val="008544FE"/>
    <w:rsid w:val="00861E09"/>
    <w:rsid w:val="0086245E"/>
    <w:rsid w:val="008727C5"/>
    <w:rsid w:val="00880EE6"/>
    <w:rsid w:val="00882586"/>
    <w:rsid w:val="00882EE2"/>
    <w:rsid w:val="00890FC3"/>
    <w:rsid w:val="008A1DA8"/>
    <w:rsid w:val="008A3BDE"/>
    <w:rsid w:val="008B3CD0"/>
    <w:rsid w:val="008B7FBD"/>
    <w:rsid w:val="008C4909"/>
    <w:rsid w:val="008D023F"/>
    <w:rsid w:val="008D2EEC"/>
    <w:rsid w:val="008E4638"/>
    <w:rsid w:val="008F44F3"/>
    <w:rsid w:val="00900445"/>
    <w:rsid w:val="009004F7"/>
    <w:rsid w:val="00902E3F"/>
    <w:rsid w:val="00903E98"/>
    <w:rsid w:val="00904247"/>
    <w:rsid w:val="00914C4D"/>
    <w:rsid w:val="009153D7"/>
    <w:rsid w:val="00915775"/>
    <w:rsid w:val="00923FB2"/>
    <w:rsid w:val="00924422"/>
    <w:rsid w:val="00926A13"/>
    <w:rsid w:val="00930BA7"/>
    <w:rsid w:val="00930E3A"/>
    <w:rsid w:val="009327CC"/>
    <w:rsid w:val="00936A19"/>
    <w:rsid w:val="00940972"/>
    <w:rsid w:val="0094213C"/>
    <w:rsid w:val="00943183"/>
    <w:rsid w:val="00943AFD"/>
    <w:rsid w:val="0094451B"/>
    <w:rsid w:val="009452B9"/>
    <w:rsid w:val="0095221F"/>
    <w:rsid w:val="009674D7"/>
    <w:rsid w:val="0097021E"/>
    <w:rsid w:val="00971A57"/>
    <w:rsid w:val="00971D35"/>
    <w:rsid w:val="009751C6"/>
    <w:rsid w:val="009802DA"/>
    <w:rsid w:val="00980386"/>
    <w:rsid w:val="0098181F"/>
    <w:rsid w:val="00983FC2"/>
    <w:rsid w:val="00987069"/>
    <w:rsid w:val="009A1A3A"/>
    <w:rsid w:val="009B0994"/>
    <w:rsid w:val="009B0B45"/>
    <w:rsid w:val="009B2693"/>
    <w:rsid w:val="009B2BC4"/>
    <w:rsid w:val="009B4CA6"/>
    <w:rsid w:val="009B5A25"/>
    <w:rsid w:val="009C01AB"/>
    <w:rsid w:val="009C1A42"/>
    <w:rsid w:val="009C1DE9"/>
    <w:rsid w:val="009C5083"/>
    <w:rsid w:val="009C53F8"/>
    <w:rsid w:val="009D0796"/>
    <w:rsid w:val="009D2F0E"/>
    <w:rsid w:val="009D60EB"/>
    <w:rsid w:val="009D74FC"/>
    <w:rsid w:val="009E07F4"/>
    <w:rsid w:val="009E2BAA"/>
    <w:rsid w:val="009E4169"/>
    <w:rsid w:val="009E4601"/>
    <w:rsid w:val="009E7C71"/>
    <w:rsid w:val="009F39B0"/>
    <w:rsid w:val="009F4C55"/>
    <w:rsid w:val="009F4D34"/>
    <w:rsid w:val="009F66E8"/>
    <w:rsid w:val="00A13382"/>
    <w:rsid w:val="00A147F8"/>
    <w:rsid w:val="00A1530B"/>
    <w:rsid w:val="00A16747"/>
    <w:rsid w:val="00A207E5"/>
    <w:rsid w:val="00A20E8D"/>
    <w:rsid w:val="00A3193E"/>
    <w:rsid w:val="00A4057D"/>
    <w:rsid w:val="00A56135"/>
    <w:rsid w:val="00A62762"/>
    <w:rsid w:val="00A7349A"/>
    <w:rsid w:val="00A734B9"/>
    <w:rsid w:val="00A80F9F"/>
    <w:rsid w:val="00A81075"/>
    <w:rsid w:val="00A862D0"/>
    <w:rsid w:val="00A95FA9"/>
    <w:rsid w:val="00A9665C"/>
    <w:rsid w:val="00AA7575"/>
    <w:rsid w:val="00AB3B0D"/>
    <w:rsid w:val="00AB67DE"/>
    <w:rsid w:val="00AC0359"/>
    <w:rsid w:val="00AC1C28"/>
    <w:rsid w:val="00AC2B47"/>
    <w:rsid w:val="00AC7FEB"/>
    <w:rsid w:val="00AD28A5"/>
    <w:rsid w:val="00AD2E4E"/>
    <w:rsid w:val="00AD2F99"/>
    <w:rsid w:val="00AD3AAD"/>
    <w:rsid w:val="00AD752F"/>
    <w:rsid w:val="00AE17F1"/>
    <w:rsid w:val="00AE2FB9"/>
    <w:rsid w:val="00AE4F96"/>
    <w:rsid w:val="00AE60AA"/>
    <w:rsid w:val="00AE6D9A"/>
    <w:rsid w:val="00AF1806"/>
    <w:rsid w:val="00AF2397"/>
    <w:rsid w:val="00B00842"/>
    <w:rsid w:val="00B0789C"/>
    <w:rsid w:val="00B306EF"/>
    <w:rsid w:val="00B33FA5"/>
    <w:rsid w:val="00B415B8"/>
    <w:rsid w:val="00B435B9"/>
    <w:rsid w:val="00B44F2F"/>
    <w:rsid w:val="00B46885"/>
    <w:rsid w:val="00B46A49"/>
    <w:rsid w:val="00B46EE3"/>
    <w:rsid w:val="00B47322"/>
    <w:rsid w:val="00B52A1D"/>
    <w:rsid w:val="00B55F93"/>
    <w:rsid w:val="00B5600C"/>
    <w:rsid w:val="00B612AB"/>
    <w:rsid w:val="00B76977"/>
    <w:rsid w:val="00B76BBB"/>
    <w:rsid w:val="00B76E98"/>
    <w:rsid w:val="00B83944"/>
    <w:rsid w:val="00B906B6"/>
    <w:rsid w:val="00B9544E"/>
    <w:rsid w:val="00B958FA"/>
    <w:rsid w:val="00B95A4B"/>
    <w:rsid w:val="00BA2F6A"/>
    <w:rsid w:val="00BA3FBE"/>
    <w:rsid w:val="00BA5353"/>
    <w:rsid w:val="00BA5E15"/>
    <w:rsid w:val="00BB2469"/>
    <w:rsid w:val="00BB7518"/>
    <w:rsid w:val="00BB7638"/>
    <w:rsid w:val="00BC144F"/>
    <w:rsid w:val="00BC1846"/>
    <w:rsid w:val="00BC2146"/>
    <w:rsid w:val="00BC4C3D"/>
    <w:rsid w:val="00BC4CF1"/>
    <w:rsid w:val="00BC4DD4"/>
    <w:rsid w:val="00BC63DF"/>
    <w:rsid w:val="00BD1FF6"/>
    <w:rsid w:val="00BD57A8"/>
    <w:rsid w:val="00BD6918"/>
    <w:rsid w:val="00BE0F50"/>
    <w:rsid w:val="00BE384A"/>
    <w:rsid w:val="00BF1894"/>
    <w:rsid w:val="00BF59DE"/>
    <w:rsid w:val="00C10D80"/>
    <w:rsid w:val="00C1461A"/>
    <w:rsid w:val="00C27CF9"/>
    <w:rsid w:val="00C30110"/>
    <w:rsid w:val="00C31708"/>
    <w:rsid w:val="00C3183C"/>
    <w:rsid w:val="00C40458"/>
    <w:rsid w:val="00C4119D"/>
    <w:rsid w:val="00C43397"/>
    <w:rsid w:val="00C45B13"/>
    <w:rsid w:val="00C4783B"/>
    <w:rsid w:val="00C52039"/>
    <w:rsid w:val="00C637D1"/>
    <w:rsid w:val="00C7033B"/>
    <w:rsid w:val="00C71204"/>
    <w:rsid w:val="00C72367"/>
    <w:rsid w:val="00C75FCF"/>
    <w:rsid w:val="00C82A05"/>
    <w:rsid w:val="00C83157"/>
    <w:rsid w:val="00C833B2"/>
    <w:rsid w:val="00C83F70"/>
    <w:rsid w:val="00C841C9"/>
    <w:rsid w:val="00C84CCE"/>
    <w:rsid w:val="00C86529"/>
    <w:rsid w:val="00CA0F59"/>
    <w:rsid w:val="00CA3808"/>
    <w:rsid w:val="00CA640D"/>
    <w:rsid w:val="00CB1AEB"/>
    <w:rsid w:val="00CC098E"/>
    <w:rsid w:val="00CC7A4E"/>
    <w:rsid w:val="00CD08B5"/>
    <w:rsid w:val="00CE0E18"/>
    <w:rsid w:val="00CE193A"/>
    <w:rsid w:val="00CE636F"/>
    <w:rsid w:val="00D06394"/>
    <w:rsid w:val="00D15D82"/>
    <w:rsid w:val="00D23538"/>
    <w:rsid w:val="00D25291"/>
    <w:rsid w:val="00D25602"/>
    <w:rsid w:val="00D25A77"/>
    <w:rsid w:val="00D267D3"/>
    <w:rsid w:val="00D26DA7"/>
    <w:rsid w:val="00D2743E"/>
    <w:rsid w:val="00D33791"/>
    <w:rsid w:val="00D33BA8"/>
    <w:rsid w:val="00D353E9"/>
    <w:rsid w:val="00D43232"/>
    <w:rsid w:val="00D44E95"/>
    <w:rsid w:val="00D47A56"/>
    <w:rsid w:val="00D51E96"/>
    <w:rsid w:val="00D521DA"/>
    <w:rsid w:val="00D53842"/>
    <w:rsid w:val="00D60639"/>
    <w:rsid w:val="00D638E8"/>
    <w:rsid w:val="00D63B9E"/>
    <w:rsid w:val="00D64248"/>
    <w:rsid w:val="00D65D90"/>
    <w:rsid w:val="00D71160"/>
    <w:rsid w:val="00D769BA"/>
    <w:rsid w:val="00D7751B"/>
    <w:rsid w:val="00D8034F"/>
    <w:rsid w:val="00D91A02"/>
    <w:rsid w:val="00D93109"/>
    <w:rsid w:val="00D9412B"/>
    <w:rsid w:val="00DA2F1E"/>
    <w:rsid w:val="00DA3451"/>
    <w:rsid w:val="00DA3FE3"/>
    <w:rsid w:val="00DA511D"/>
    <w:rsid w:val="00DA5975"/>
    <w:rsid w:val="00DA67B3"/>
    <w:rsid w:val="00DA6A4F"/>
    <w:rsid w:val="00DB2873"/>
    <w:rsid w:val="00DB2BDD"/>
    <w:rsid w:val="00DB2F81"/>
    <w:rsid w:val="00DC101E"/>
    <w:rsid w:val="00DC22F9"/>
    <w:rsid w:val="00DC4482"/>
    <w:rsid w:val="00DD3003"/>
    <w:rsid w:val="00DD5028"/>
    <w:rsid w:val="00DD590E"/>
    <w:rsid w:val="00DD6704"/>
    <w:rsid w:val="00DE0D94"/>
    <w:rsid w:val="00DF10C1"/>
    <w:rsid w:val="00DF39E3"/>
    <w:rsid w:val="00DF3E1E"/>
    <w:rsid w:val="00DF4506"/>
    <w:rsid w:val="00DF45D5"/>
    <w:rsid w:val="00E01EFD"/>
    <w:rsid w:val="00E04AF5"/>
    <w:rsid w:val="00E069B5"/>
    <w:rsid w:val="00E13B22"/>
    <w:rsid w:val="00E145BC"/>
    <w:rsid w:val="00E149A5"/>
    <w:rsid w:val="00E151DF"/>
    <w:rsid w:val="00E20729"/>
    <w:rsid w:val="00E21589"/>
    <w:rsid w:val="00E22F73"/>
    <w:rsid w:val="00E24D9E"/>
    <w:rsid w:val="00E264BD"/>
    <w:rsid w:val="00E26581"/>
    <w:rsid w:val="00E2722E"/>
    <w:rsid w:val="00E30517"/>
    <w:rsid w:val="00E431CE"/>
    <w:rsid w:val="00E4440D"/>
    <w:rsid w:val="00E445F8"/>
    <w:rsid w:val="00E507FD"/>
    <w:rsid w:val="00E611A2"/>
    <w:rsid w:val="00E6219D"/>
    <w:rsid w:val="00E64BF4"/>
    <w:rsid w:val="00E70188"/>
    <w:rsid w:val="00E73AE5"/>
    <w:rsid w:val="00E753E4"/>
    <w:rsid w:val="00E75ABA"/>
    <w:rsid w:val="00E76913"/>
    <w:rsid w:val="00E84A2D"/>
    <w:rsid w:val="00E85AC9"/>
    <w:rsid w:val="00E85CF2"/>
    <w:rsid w:val="00E92AA8"/>
    <w:rsid w:val="00E9312A"/>
    <w:rsid w:val="00E95356"/>
    <w:rsid w:val="00E966E5"/>
    <w:rsid w:val="00EA0BA4"/>
    <w:rsid w:val="00EA1C82"/>
    <w:rsid w:val="00EA3D96"/>
    <w:rsid w:val="00EA4D5C"/>
    <w:rsid w:val="00EA6B7B"/>
    <w:rsid w:val="00EB0947"/>
    <w:rsid w:val="00EB2A39"/>
    <w:rsid w:val="00EB3346"/>
    <w:rsid w:val="00EB3D8B"/>
    <w:rsid w:val="00EB4276"/>
    <w:rsid w:val="00EB5186"/>
    <w:rsid w:val="00ED1110"/>
    <w:rsid w:val="00ED1B77"/>
    <w:rsid w:val="00ED2E5D"/>
    <w:rsid w:val="00ED57D1"/>
    <w:rsid w:val="00ED622B"/>
    <w:rsid w:val="00EE29A9"/>
    <w:rsid w:val="00EE38A8"/>
    <w:rsid w:val="00EE5887"/>
    <w:rsid w:val="00EE5ADF"/>
    <w:rsid w:val="00EF4595"/>
    <w:rsid w:val="00EF6216"/>
    <w:rsid w:val="00F0251A"/>
    <w:rsid w:val="00F03F87"/>
    <w:rsid w:val="00F048DE"/>
    <w:rsid w:val="00F05F98"/>
    <w:rsid w:val="00F13F24"/>
    <w:rsid w:val="00F14A7B"/>
    <w:rsid w:val="00F17736"/>
    <w:rsid w:val="00F21B05"/>
    <w:rsid w:val="00F2540D"/>
    <w:rsid w:val="00F324D7"/>
    <w:rsid w:val="00F34E9B"/>
    <w:rsid w:val="00F40868"/>
    <w:rsid w:val="00F40C82"/>
    <w:rsid w:val="00F50707"/>
    <w:rsid w:val="00F53B1A"/>
    <w:rsid w:val="00F54568"/>
    <w:rsid w:val="00F54E4B"/>
    <w:rsid w:val="00F54EDA"/>
    <w:rsid w:val="00F555ED"/>
    <w:rsid w:val="00F570FD"/>
    <w:rsid w:val="00F57249"/>
    <w:rsid w:val="00F61508"/>
    <w:rsid w:val="00F62DE3"/>
    <w:rsid w:val="00F72520"/>
    <w:rsid w:val="00F72CA6"/>
    <w:rsid w:val="00F73656"/>
    <w:rsid w:val="00F81CE7"/>
    <w:rsid w:val="00F81E33"/>
    <w:rsid w:val="00F834A1"/>
    <w:rsid w:val="00F86FBC"/>
    <w:rsid w:val="00FA2208"/>
    <w:rsid w:val="00FA4C13"/>
    <w:rsid w:val="00FA76E2"/>
    <w:rsid w:val="00FB2783"/>
    <w:rsid w:val="00FB345F"/>
    <w:rsid w:val="00FB4E7D"/>
    <w:rsid w:val="00FB570E"/>
    <w:rsid w:val="00FB74C1"/>
    <w:rsid w:val="00FC1873"/>
    <w:rsid w:val="00FC1961"/>
    <w:rsid w:val="00FC57A1"/>
    <w:rsid w:val="00FD3820"/>
    <w:rsid w:val="00FD69D4"/>
    <w:rsid w:val="00FD6C39"/>
    <w:rsid w:val="00FD7EF0"/>
    <w:rsid w:val="00FE4BBC"/>
    <w:rsid w:val="00FE5BB6"/>
    <w:rsid w:val="00FF3092"/>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A13382"/>
    <w:pPr>
      <w:widowControl w:val="0"/>
      <w:jc w:val="both"/>
    </w:pPr>
    <w:rPr>
      <w:kern w:val="2"/>
      <w:sz w:val="21"/>
      <w:szCs w:val="24"/>
    </w:rPr>
  </w:style>
  <w:style w:styleId="1" w:type="paragraph">
    <w:name w:val="heading 1"/>
    <w:basedOn w:val="a"/>
    <w:next w:val="a"/>
    <w:link w:val="1Char"/>
    <w:uiPriority w:val="99"/>
    <w:qFormat/>
    <w:rsid w:val="004926EE"/>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926EE"/>
    <w:rPr>
      <w:rFonts w:cs="Times New Roman"/>
      <w:b/>
      <w:bCs/>
      <w:kern w:val="44"/>
      <w:sz w:val="44"/>
      <w:szCs w:val="44"/>
    </w:rPr>
  </w:style>
  <w:style w:customStyle="1" w:styleId="2Char" w:type="character">
    <w:name w:val="标题 2 Char"/>
    <w:link w:val="2"/>
    <w:uiPriority w:val="9"/>
    <w:semiHidden/>
    <w:rsid w:val="008D0977"/>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FE5BB6"/>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8D0977"/>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8D0977"/>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C86529"/>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8D0977"/>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C6D15"/>
    <w:pPr>
      <w:shd w:color="auto" w:fill="000080" w:val="clear"/>
    </w:pPr>
    <w:rPr>
      <w:kern w:val="0"/>
      <w:sz w:val="0"/>
      <w:szCs w:val="0"/>
    </w:rPr>
  </w:style>
  <w:style w:customStyle="1" w:styleId="Char3" w:type="character">
    <w:name w:val="文档结构图 Char"/>
    <w:link w:val="a7"/>
    <w:uiPriority w:val="99"/>
    <w:semiHidden/>
    <w:rsid w:val="008D0977"/>
    <w:rPr>
      <w:sz w:val="0"/>
      <w:szCs w:val="0"/>
    </w:rPr>
  </w:style>
  <w:style w:styleId="a8" w:type="table">
    <w:name w:val="Table Grid"/>
    <w:basedOn w:val="a2"/>
    <w:qFormat/>
    <w:rsid w:val="00D43232"/>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9" w:type="paragraph">
    <w:name w:val="footnote text"/>
    <w:basedOn w:val="a"/>
    <w:link w:val="Char4"/>
    <w:uiPriority w:val="99"/>
    <w:rsid w:val="00683E0D"/>
    <w:pPr>
      <w:snapToGrid w:val="0"/>
      <w:jc w:val="left"/>
    </w:pPr>
    <w:rPr>
      <w:sz w:val="18"/>
      <w:szCs w:val="20"/>
    </w:rPr>
  </w:style>
  <w:style w:customStyle="1" w:styleId="Char4" w:type="character">
    <w:name w:val="脚注文本 Char"/>
    <w:link w:val="a9"/>
    <w:uiPriority w:val="99"/>
    <w:locked/>
    <w:rsid w:val="00683E0D"/>
    <w:rPr>
      <w:kern w:val="2"/>
      <w:sz w:val="18"/>
    </w:rPr>
  </w:style>
  <w:style w:styleId="aa" w:type="character">
    <w:name w:val="footnote reference"/>
    <w:uiPriority w:val="99"/>
    <w:rsid w:val="00683E0D"/>
    <w:rPr>
      <w:rFonts w:cs="Times New Roman"/>
      <w:vertAlign w:val="superscript"/>
    </w:rPr>
  </w:style>
  <w:style w:styleId="ab" w:type="paragraph">
    <w:name w:val="Balloon Text"/>
    <w:basedOn w:val="a"/>
    <w:link w:val="Char5"/>
    <w:uiPriority w:val="99"/>
    <w:rsid w:val="009D0796"/>
    <w:rPr>
      <w:sz w:val="18"/>
      <w:szCs w:val="18"/>
    </w:rPr>
  </w:style>
  <w:style w:customStyle="1" w:styleId="Char5" w:type="character">
    <w:name w:val="批注框文本 Char"/>
    <w:link w:val="ab"/>
    <w:uiPriority w:val="99"/>
    <w:locked/>
    <w:rsid w:val="009D0796"/>
    <w:rPr>
      <w:rFonts w:cs="Times New Roman"/>
      <w:kern w:val="2"/>
      <w:sz w:val="18"/>
      <w:szCs w:val="18"/>
    </w:rPr>
  </w:style>
  <w:style w:styleId="ac" w:type="paragraph">
    <w:name w:val="Normal (Web)"/>
    <w:basedOn w:val="a"/>
    <w:uiPriority w:val="99"/>
    <w:rsid w:val="003A169E"/>
    <w:pPr>
      <w:widowControl/>
      <w:spacing w:after="100" w:afterAutospacing="1" w:before="100" w:beforeAutospacing="1"/>
    </w:pPr>
    <w:rPr>
      <w:rFonts w:ascii="宋体" w:hAnsi="宋体"/>
      <w:kern w:val="0"/>
      <w:sz w:val="24"/>
      <w:szCs w:val="20"/>
    </w:rPr>
  </w:style>
  <w:style w:styleId="ad" w:type="paragraph">
    <w:name w:val="Date"/>
    <w:basedOn w:val="a"/>
    <w:next w:val="a"/>
    <w:link w:val="Char6"/>
    <w:uiPriority w:val="99"/>
    <w:rsid w:val="00FA76E2"/>
    <w:rPr>
      <w:sz w:val="24"/>
      <w:szCs w:val="20"/>
    </w:rPr>
  </w:style>
  <w:style w:customStyle="1" w:styleId="Char6" w:type="character">
    <w:name w:val="日期 Char"/>
    <w:link w:val="ad"/>
    <w:uiPriority w:val="99"/>
    <w:locked/>
    <w:rsid w:val="00FA76E2"/>
    <w:rPr>
      <w:rFonts w:cs="Times New Roman"/>
      <w:kern w:val="2"/>
      <w:sz w:val="24"/>
    </w:rPr>
  </w:style>
  <w:style w:styleId="ae" w:type="character">
    <w:name w:val="Strong"/>
    <w:uiPriority w:val="22"/>
    <w:qFormat/>
    <w:locked/>
    <w:rsid w:val="0001130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611609">
      <w:marLeft w:val="0"/>
      <w:marRight w:val="0"/>
      <w:marTop w:val="0"/>
      <w:marBottom w:val="0"/>
      <w:divBdr>
        <w:top w:val="none" w:sz="0" w:space="0" w:color="auto"/>
        <w:left w:val="none" w:sz="0" w:space="0" w:color="auto"/>
        <w:bottom w:val="none" w:sz="0" w:space="0" w:color="auto"/>
        <w:right w:val="none" w:sz="0" w:space="0" w:color="auto"/>
      </w:divBdr>
    </w:div>
    <w:div w:id="1406611610">
      <w:marLeft w:val="0"/>
      <w:marRight w:val="0"/>
      <w:marTop w:val="0"/>
      <w:marBottom w:val="0"/>
      <w:divBdr>
        <w:top w:val="none" w:sz="0" w:space="0" w:color="auto"/>
        <w:left w:val="none" w:sz="0" w:space="0" w:color="auto"/>
        <w:bottom w:val="none" w:sz="0" w:space="0" w:color="auto"/>
        <w:right w:val="none" w:sz="0" w:space="0" w:color="auto"/>
      </w:divBdr>
    </w:div>
    <w:div w:id="1406611611">
      <w:marLeft w:val="0"/>
      <w:marRight w:val="0"/>
      <w:marTop w:val="0"/>
      <w:marBottom w:val="0"/>
      <w:divBdr>
        <w:top w:val="none" w:sz="0" w:space="0" w:color="auto"/>
        <w:left w:val="none" w:sz="0" w:space="0" w:color="auto"/>
        <w:bottom w:val="none" w:sz="0" w:space="0" w:color="auto"/>
        <w:right w:val="none" w:sz="0" w:space="0" w:color="auto"/>
      </w:divBdr>
    </w:div>
    <w:div w:id="1406611612">
      <w:marLeft w:val="0"/>
      <w:marRight w:val="0"/>
      <w:marTop w:val="0"/>
      <w:marBottom w:val="0"/>
      <w:divBdr>
        <w:top w:val="none" w:sz="0" w:space="0" w:color="auto"/>
        <w:left w:val="none" w:sz="0" w:space="0" w:color="auto"/>
        <w:bottom w:val="none" w:sz="0" w:space="0" w:color="auto"/>
        <w:right w:val="none" w:sz="0" w:space="0" w:color="auto"/>
      </w:divBdr>
    </w:div>
    <w:div w:id="1406611613">
      <w:marLeft w:val="0"/>
      <w:marRight w:val="0"/>
      <w:marTop w:val="0"/>
      <w:marBottom w:val="0"/>
      <w:divBdr>
        <w:top w:val="none" w:sz="0" w:space="0" w:color="auto"/>
        <w:left w:val="none" w:sz="0" w:space="0" w:color="auto"/>
        <w:bottom w:val="none" w:sz="0" w:space="0" w:color="auto"/>
        <w:right w:val="none" w:sz="0" w:space="0" w:color="auto"/>
      </w:divBdr>
    </w:div>
    <w:div w:id="1406611614">
      <w:marLeft w:val="0"/>
      <w:marRight w:val="0"/>
      <w:marTop w:val="0"/>
      <w:marBottom w:val="0"/>
      <w:divBdr>
        <w:top w:val="none" w:sz="0" w:space="0" w:color="auto"/>
        <w:left w:val="none" w:sz="0" w:space="0" w:color="auto"/>
        <w:bottom w:val="none" w:sz="0" w:space="0" w:color="auto"/>
        <w:right w:val="none" w:sz="0" w:space="0" w:color="auto"/>
      </w:divBdr>
    </w:div>
    <w:div w:id="14066116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fontTable.xml" Type="http://schemas.openxmlformats.org/officeDocument/2006/relationships/fontTable"/>
<Relationship Id="rId12"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Documents%20and%20Settings/Administrator/&#26700;&#38754;/monetary.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monetary.dot</Template>
  <TotalTime>337</TotalTime>
  <Pages>24</Pages>
  <Words>3324</Words>
  <Characters>18951</Characters>
  <Application>Microsoft Office Word</Application>
  <DocSecurity>0</DocSecurity>
  <Lines>157</Lines>
  <Paragraphs>44</Paragraphs>
  <ScaleCrop>false</ScaleCrop>
  <Company>jysld</Company>
  <LinksUpToDate>false</LinksUpToDate>
  <CharactersWithSpaces>22231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2012-11-21T01:34:00Z</dcterms:created>
  <cp:lastModifiedBy>sirong han</cp:lastModifiedBy>
  <cp:lastPrinted>2009-01-22T10:11:00Z</cp:lastPrinted>
  <dcterms:modified xsi:type="dcterms:W3CDTF">2020-07-09T02:58:00Z</dcterms:modified>
  <cp:revision>233</cp:revision>
</cp:coreProperties>
</file>