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易方达沪深300非银行金融交易型开放式指数证券投资基金联接基金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中国建设银行股份有限公司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易方达沪深300非银联接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000950</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2015年1月22日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1,949,620,168.40</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紧密跟踪业绩比较基准，追求跟踪偏离度及跟踪误差的最小化。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沪深300非银行金融ETF的联接基金，沪深300非银行金融ETF是采用完全复制法实现对沪深300非银行金融指数紧密跟踪的全被动指数基金，本基金主要通过投资于沪深300非银行金融ETF实现对业绩比较基准的紧密跟踪，力争将年化跟踪误差控制在4%以内。本基金将在综合考虑合规、风险、效率、成本等因素的基础上，决定采用申购、赎回的方式或证券二级市场交易的方式进行沪深300非银行金融ETF的投资。本基金还可适度参与沪深300非银行金融ETF基金份额交易和申购、赎回之间的套利，以增强基金收益。本基金可以参与股指期货交易，但必须根据风险管理的原则，以套期保值为目的。</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沪深300非银行金融指数收益率×95%+活期存款利率(税后) ×5%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是ETF联接基金，理论上其风险收益水平高于混合型基金、债券基金和货币市场基金。本基金主要通过投资于易方达沪深300非银行金融ETF实现对业绩比较基准的紧密跟踪，具有与业绩比较基准相似的风险收益特征。</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中国建设银行股份有限公司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易方达沪深300非银联接A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易方达沪深300非银联接C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000950</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007882</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1,850,819,649.75</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98,800,518.65</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注：自2019年8月20日起，本基金增设C类份额类别，份额首次确认日为2019年8月21日。</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易方达沪深300非银行金融交易型开放式指数证券投资基金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512070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2014年6月26日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2014年7月18日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中国建设银行股份有限公司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沪深300非银行金融指数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易方达沪深300非银联接A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易方达沪深300非银联接C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-592,126.98</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-29,036.27</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128,770,719.73</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5,470,164.91</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0.0806</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0.0823</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1,804,619,303.89</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96,236,220.40</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0.9750</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0.9740</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易方达沪深300非银联接A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8.68%</w:t>
            </w:r>
          </w:p>
        </w:tc>
        <w:tc>
          <w:tcPr>
            <w:vAlign w:val="center"/>
          </w:tcPr>
          <w:p>
            <w:pPr>
              <w:jc w:val="right"/>
            </w:pPr>
            <w:r>
              <w:rPr>
                <w:rFonts w:eastAsiaTheme="minorEastAsia"/>
                <w:color w:themeColor="text1" w:val="000000"/>
                <w:sz w:val="24"/>
              </w:rPr>
              <w:t>1.11%</w:t>
            </w:r>
          </w:p>
        </w:tc>
        <w:tc>
          <w:tcPr>
            <w:vAlign w:val="center"/>
          </w:tcPr>
          <w:p>
            <w:pPr>
              <w:jc w:val="right"/>
            </w:pPr>
            <w:r>
              <w:rPr>
                <w:rFonts w:eastAsiaTheme="minorEastAsia"/>
                <w:color w:themeColor="text1" w:val="000000"/>
                <w:sz w:val="24"/>
              </w:rPr>
              <w:t>7.41%</w:t>
            </w:r>
          </w:p>
        </w:tc>
        <w:tc>
          <w:tcPr>
            <w:vAlign w:val="center"/>
          </w:tcPr>
          <w:p>
            <w:pPr>
              <w:jc w:val="right"/>
            </w:pPr>
            <w:r>
              <w:rPr>
                <w:rFonts w:eastAsiaTheme="minorEastAsia"/>
                <w:color w:themeColor="text1" w:val="000000"/>
                <w:sz w:val="24"/>
              </w:rPr>
              <w:t>1.11%</w:t>
            </w:r>
          </w:p>
        </w:tc>
        <w:tc>
          <w:tcPr>
            <w:vAlign w:val="center"/>
          </w:tcPr>
          <w:p>
            <w:pPr>
              <w:jc w:val="right"/>
            </w:pPr>
            <w:r>
              <w:rPr>
                <w:rFonts w:eastAsiaTheme="minorEastAsia"/>
                <w:color w:themeColor="text1" w:val="000000"/>
                <w:sz w:val="24"/>
              </w:rPr>
              <w:t>1.27%</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-6.86%</w:t>
            </w:r>
          </w:p>
        </w:tc>
        <w:tc>
          <w:tcPr>
            <w:vAlign w:val="center"/>
          </w:tcPr>
          <w:p>
            <w:pPr>
              <w:jc w:val="right"/>
            </w:pPr>
            <w:r>
              <w:rPr>
                <w:rFonts w:eastAsiaTheme="minorEastAsia"/>
                <w:color w:themeColor="text1" w:val="000000"/>
                <w:sz w:val="24"/>
              </w:rPr>
              <w:t>1.67%</w:t>
            </w:r>
          </w:p>
        </w:tc>
        <w:tc>
          <w:tcPr>
            <w:vAlign w:val="center"/>
          </w:tcPr>
          <w:p>
            <w:pPr>
              <w:jc w:val="right"/>
            </w:pPr>
            <w:r>
              <w:rPr>
                <w:rFonts w:eastAsiaTheme="minorEastAsia"/>
                <w:color w:themeColor="text1" w:val="000000"/>
                <w:sz w:val="24"/>
              </w:rPr>
              <w:t>-8.92%</w:t>
            </w:r>
          </w:p>
        </w:tc>
        <w:tc>
          <w:tcPr>
            <w:vAlign w:val="center"/>
          </w:tcPr>
          <w:p>
            <w:pPr>
              <w:jc w:val="right"/>
            </w:pPr>
            <w:r>
              <w:rPr>
                <w:rFonts w:eastAsiaTheme="minorEastAsia"/>
                <w:color w:themeColor="text1" w:val="000000"/>
                <w:sz w:val="24"/>
              </w:rPr>
              <w:t>1.70%</w:t>
            </w:r>
          </w:p>
        </w:tc>
        <w:tc>
          <w:tcPr>
            <w:vAlign w:val="center"/>
          </w:tcPr>
          <w:p>
            <w:pPr>
              <w:jc w:val="right"/>
            </w:pPr>
            <w:r>
              <w:rPr>
                <w:rFonts w:eastAsiaTheme="minorEastAsia"/>
                <w:color w:themeColor="text1" w:val="000000"/>
                <w:sz w:val="24"/>
              </w:rPr>
              <w:t>2.06%</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-5.42%</w:t>
            </w:r>
          </w:p>
        </w:tc>
        <w:tc>
          <w:tcPr>
            <w:vAlign w:val="center"/>
          </w:tcPr>
          <w:p>
            <w:pPr>
              <w:jc w:val="right"/>
            </w:pPr>
            <w:r>
              <w:rPr>
                <w:rFonts w:eastAsiaTheme="minorEastAsia"/>
                <w:color w:themeColor="text1" w:val="000000"/>
                <w:sz w:val="24"/>
              </w:rPr>
              <w:t>1.42%</w:t>
            </w:r>
          </w:p>
        </w:tc>
        <w:tc>
          <w:tcPr>
            <w:vAlign w:val="center"/>
          </w:tcPr>
          <w:p>
            <w:pPr>
              <w:jc w:val="right"/>
            </w:pPr>
            <w:r>
              <w:rPr>
                <w:rFonts w:eastAsiaTheme="minorEastAsia"/>
                <w:color w:themeColor="text1" w:val="000000"/>
                <w:sz w:val="24"/>
              </w:rPr>
              <w:t>-8.54%</w:t>
            </w:r>
          </w:p>
        </w:tc>
        <w:tc>
          <w:tcPr>
            <w:vAlign w:val="center"/>
          </w:tcPr>
          <w:p>
            <w:pPr>
              <w:jc w:val="right"/>
            </w:pPr>
            <w:r>
              <w:rPr>
                <w:rFonts w:eastAsiaTheme="minorEastAsia"/>
                <w:color w:themeColor="text1" w:val="000000"/>
                <w:sz w:val="24"/>
              </w:rPr>
              <w:t>1.43%</w:t>
            </w:r>
          </w:p>
        </w:tc>
        <w:tc>
          <w:tcPr>
            <w:vAlign w:val="center"/>
          </w:tcPr>
          <w:p>
            <w:pPr>
              <w:jc w:val="right"/>
            </w:pPr>
            <w:r>
              <w:rPr>
                <w:rFonts w:eastAsiaTheme="minorEastAsia"/>
                <w:color w:themeColor="text1" w:val="000000"/>
                <w:sz w:val="24"/>
              </w:rPr>
              <w:t>3.12%</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17.40%</w:t>
            </w:r>
          </w:p>
        </w:tc>
        <w:tc>
          <w:tcPr>
            <w:vAlign w:val="center"/>
          </w:tcPr>
          <w:p>
            <w:pPr>
              <w:jc w:val="right"/>
            </w:pPr>
            <w:r>
              <w:rPr>
                <w:rFonts w:eastAsiaTheme="minorEastAsia"/>
                <w:color w:themeColor="text1" w:val="000000"/>
                <w:sz w:val="24"/>
              </w:rPr>
              <w:t>1.56%</w:t>
            </w:r>
          </w:p>
        </w:tc>
        <w:tc>
          <w:tcPr>
            <w:vAlign w:val="center"/>
          </w:tcPr>
          <w:p>
            <w:pPr>
              <w:jc w:val="right"/>
            </w:pPr>
            <w:r>
              <w:rPr>
                <w:rFonts w:eastAsiaTheme="minorEastAsia"/>
                <w:color w:themeColor="text1" w:val="000000"/>
                <w:sz w:val="24"/>
              </w:rPr>
              <w:t>9.08%</w:t>
            </w:r>
          </w:p>
        </w:tc>
        <w:tc>
          <w:tcPr>
            <w:vAlign w:val="center"/>
          </w:tcPr>
          <w:p>
            <w:pPr>
              <w:jc w:val="right"/>
            </w:pPr>
            <w:r>
              <w:rPr>
                <w:rFonts w:eastAsiaTheme="minorEastAsia"/>
                <w:color w:themeColor="text1" w:val="000000"/>
                <w:sz w:val="24"/>
              </w:rPr>
              <w:t>1.58%</w:t>
            </w:r>
          </w:p>
        </w:tc>
        <w:tc>
          <w:tcPr>
            <w:vAlign w:val="center"/>
          </w:tcPr>
          <w:p>
            <w:pPr>
              <w:jc w:val="right"/>
            </w:pPr>
            <w:r>
              <w:rPr>
                <w:rFonts w:eastAsiaTheme="minorEastAsia"/>
                <w:color w:themeColor="text1" w:val="000000"/>
                <w:sz w:val="24"/>
              </w:rPr>
              <w:t>8.32%</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-6.52%</w:t>
            </w:r>
          </w:p>
        </w:tc>
        <w:tc>
          <w:tcPr>
            <w:vAlign w:val="center"/>
          </w:tcPr>
          <w:p>
            <w:pPr>
              <w:jc w:val="right"/>
            </w:pPr>
            <w:r>
              <w:rPr>
                <w:rFonts w:eastAsiaTheme="minorEastAsia"/>
                <w:color w:themeColor="text1" w:val="000000"/>
                <w:sz w:val="24"/>
              </w:rPr>
              <w:t>1.76%</w:t>
            </w:r>
          </w:p>
        </w:tc>
        <w:tc>
          <w:tcPr>
            <w:vAlign w:val="center"/>
          </w:tcPr>
          <w:p>
            <w:pPr>
              <w:jc w:val="right"/>
            </w:pPr>
            <w:r>
              <w:rPr>
                <w:rFonts w:eastAsiaTheme="minorEastAsia"/>
                <w:color w:themeColor="text1" w:val="000000"/>
                <w:sz w:val="24"/>
              </w:rPr>
              <w:t>-14.83%</w:t>
            </w:r>
          </w:p>
        </w:tc>
        <w:tc>
          <w:tcPr>
            <w:vAlign w:val="center"/>
          </w:tcPr>
          <w:p>
            <w:pPr>
              <w:jc w:val="right"/>
            </w:pPr>
            <w:r>
              <w:rPr>
                <w:rFonts w:eastAsiaTheme="minorEastAsia"/>
                <w:color w:themeColor="text1" w:val="000000"/>
                <w:sz w:val="24"/>
              </w:rPr>
              <w:t>1.80%</w:t>
            </w:r>
          </w:p>
        </w:tc>
        <w:tc>
          <w:tcPr>
            <w:vAlign w:val="center"/>
          </w:tcPr>
          <w:p>
            <w:pPr>
              <w:jc w:val="right"/>
            </w:pPr>
            <w:r>
              <w:rPr>
                <w:rFonts w:eastAsiaTheme="minorEastAsia"/>
                <w:color w:themeColor="text1" w:val="000000"/>
                <w:sz w:val="24"/>
              </w:rPr>
              <w:t>8.31%</w:t>
            </w:r>
          </w:p>
        </w:tc>
        <w:tc>
          <w:tcPr>
            <w:vAlign w:val="center"/>
          </w:tcPr>
          <w:p>
            <w:pPr>
              <w:jc w:val="right"/>
            </w:pPr>
            <w:r>
              <w:rPr>
                <w:rFonts w:eastAsiaTheme="minorEastAsia"/>
                <w:color w:themeColor="text1" w:val="000000"/>
                <w:sz w:val="24"/>
              </w:rPr>
              <w:t>-0.04%</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-2.50%</w:t>
            </w:r>
          </w:p>
        </w:tc>
        <w:tc>
          <w:tcPr>
            <w:vAlign w:val="center"/>
          </w:tcPr>
          <w:p>
            <w:pPr>
              <w:jc w:val="right"/>
            </w:pPr>
            <w:r>
              <w:rPr>
                <w:rFonts w:eastAsiaTheme="minorEastAsia"/>
                <w:color w:themeColor="text1" w:val="000000"/>
                <w:sz w:val="24"/>
              </w:rPr>
              <w:t>1.83%</w:t>
            </w:r>
          </w:p>
        </w:tc>
        <w:tc>
          <w:tcPr>
            <w:vAlign w:val="center"/>
          </w:tcPr>
          <w:p>
            <w:pPr>
              <w:jc w:val="right"/>
            </w:pPr>
            <w:r>
              <w:rPr>
                <w:rFonts w:eastAsiaTheme="minorEastAsia"/>
                <w:color w:themeColor="text1" w:val="000000"/>
                <w:sz w:val="24"/>
              </w:rPr>
              <w:t>-12.09%</w:t>
            </w:r>
          </w:p>
        </w:tc>
        <w:tc>
          <w:tcPr>
            <w:vAlign w:val="center"/>
          </w:tcPr>
          <w:p>
            <w:pPr>
              <w:jc w:val="right"/>
            </w:pPr>
            <w:r>
              <w:rPr>
                <w:rFonts w:eastAsiaTheme="minorEastAsia"/>
                <w:color w:themeColor="text1" w:val="000000"/>
                <w:sz w:val="24"/>
              </w:rPr>
              <w:t>1.88%</w:t>
            </w:r>
          </w:p>
        </w:tc>
        <w:tc>
          <w:tcPr>
            <w:vAlign w:val="center"/>
          </w:tcPr>
          <w:p>
            <w:pPr>
              <w:jc w:val="right"/>
            </w:pPr>
            <w:r>
              <w:rPr>
                <w:rFonts w:eastAsiaTheme="minorEastAsia"/>
                <w:color w:themeColor="text1" w:val="000000"/>
                <w:sz w:val="24"/>
              </w:rPr>
              <w:t>9.59%</w:t>
            </w:r>
          </w:p>
        </w:tc>
        <w:tc>
          <w:tcPr>
            <w:vAlign w:val="center"/>
          </w:tcPr>
          <w:p>
            <w:pPr>
              <w:jc w:val="right"/>
            </w:pPr>
            <w:r>
              <w:rPr>
                <w:rFonts w:eastAsiaTheme="minorEastAsia"/>
                <w:color w:themeColor="text1" w:val="000000"/>
                <w:sz w:val="24"/>
              </w:rPr>
              <w:t>-0.05%</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易方达沪深300非银联接C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8.66%</w:t>
            </w:r>
          </w:p>
        </w:tc>
        <w:tc>
          <w:tcPr>
            <w:vAlign w:val="center"/>
          </w:tcPr>
          <w:p>
            <w:pPr>
              <w:jc w:val="right"/>
            </w:pPr>
            <w:r>
              <w:rPr>
                <w:rFonts w:eastAsiaTheme="minorEastAsia"/>
                <w:color w:themeColor="text1" w:val="000000"/>
                <w:sz w:val="24"/>
              </w:rPr>
              <w:t>1.11%</w:t>
            </w:r>
          </w:p>
        </w:tc>
        <w:tc>
          <w:tcPr>
            <w:vAlign w:val="center"/>
          </w:tcPr>
          <w:p>
            <w:pPr>
              <w:jc w:val="right"/>
            </w:pPr>
            <w:r>
              <w:rPr>
                <w:rFonts w:eastAsiaTheme="minorEastAsia"/>
                <w:color w:themeColor="text1" w:val="000000"/>
                <w:sz w:val="24"/>
              </w:rPr>
              <w:t>7.41%</w:t>
            </w:r>
          </w:p>
        </w:tc>
        <w:tc>
          <w:tcPr>
            <w:vAlign w:val="center"/>
          </w:tcPr>
          <w:p>
            <w:pPr>
              <w:jc w:val="right"/>
            </w:pPr>
            <w:r>
              <w:rPr>
                <w:rFonts w:eastAsiaTheme="minorEastAsia"/>
                <w:color w:themeColor="text1" w:val="000000"/>
                <w:sz w:val="24"/>
              </w:rPr>
              <w:t>1.11%</w:t>
            </w:r>
          </w:p>
        </w:tc>
        <w:tc>
          <w:tcPr>
            <w:vAlign w:val="center"/>
          </w:tcPr>
          <w:p>
            <w:pPr>
              <w:jc w:val="right"/>
            </w:pPr>
            <w:r>
              <w:rPr>
                <w:rFonts w:eastAsiaTheme="minorEastAsia"/>
                <w:color w:themeColor="text1" w:val="000000"/>
                <w:sz w:val="24"/>
              </w:rPr>
              <w:t>1.25%</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-6.90%</w:t>
            </w:r>
          </w:p>
        </w:tc>
        <w:tc>
          <w:tcPr>
            <w:vAlign w:val="center"/>
          </w:tcPr>
          <w:p>
            <w:pPr>
              <w:jc w:val="right"/>
            </w:pPr>
            <w:r>
              <w:rPr>
                <w:rFonts w:eastAsiaTheme="minorEastAsia"/>
                <w:color w:themeColor="text1" w:val="000000"/>
                <w:sz w:val="24"/>
              </w:rPr>
              <w:t>1.67%</w:t>
            </w:r>
          </w:p>
        </w:tc>
        <w:tc>
          <w:tcPr>
            <w:vAlign w:val="center"/>
          </w:tcPr>
          <w:p>
            <w:pPr>
              <w:jc w:val="right"/>
            </w:pPr>
            <w:r>
              <w:rPr>
                <w:rFonts w:eastAsiaTheme="minorEastAsia"/>
                <w:color w:themeColor="text1" w:val="000000"/>
                <w:sz w:val="24"/>
              </w:rPr>
              <w:t>-8.92%</w:t>
            </w:r>
          </w:p>
        </w:tc>
        <w:tc>
          <w:tcPr>
            <w:vAlign w:val="center"/>
          </w:tcPr>
          <w:p>
            <w:pPr>
              <w:jc w:val="right"/>
            </w:pPr>
            <w:r>
              <w:rPr>
                <w:rFonts w:eastAsiaTheme="minorEastAsia"/>
                <w:color w:themeColor="text1" w:val="000000"/>
                <w:sz w:val="24"/>
              </w:rPr>
              <w:t>1.70%</w:t>
            </w:r>
          </w:p>
        </w:tc>
        <w:tc>
          <w:tcPr>
            <w:vAlign w:val="center"/>
          </w:tcPr>
          <w:p>
            <w:pPr>
              <w:jc w:val="right"/>
            </w:pPr>
            <w:r>
              <w:rPr>
                <w:rFonts w:eastAsiaTheme="minorEastAsia"/>
                <w:color w:themeColor="text1" w:val="000000"/>
                <w:sz w:val="24"/>
              </w:rPr>
              <w:t>2.02%</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-3.62%</w:t>
            </w:r>
          </w:p>
        </w:tc>
        <w:tc>
          <w:tcPr>
            <w:vAlign w:val="center"/>
          </w:tcPr>
          <w:p>
            <w:pPr>
              <w:jc w:val="right"/>
            </w:pPr>
            <w:r>
              <w:rPr>
                <w:rFonts w:eastAsiaTheme="minorEastAsia"/>
                <w:color w:themeColor="text1" w:val="000000"/>
                <w:sz w:val="24"/>
              </w:rPr>
              <w:t>1.43%</w:t>
            </w:r>
          </w:p>
        </w:tc>
        <w:tc>
          <w:tcPr>
            <w:vAlign w:val="center"/>
          </w:tcPr>
          <w:p>
            <w:pPr>
              <w:jc w:val="right"/>
            </w:pPr>
            <w:r>
              <w:rPr>
                <w:rFonts w:eastAsiaTheme="minorEastAsia"/>
                <w:color w:themeColor="text1" w:val="000000"/>
                <w:sz w:val="24"/>
              </w:rPr>
              <w:t>-6.19%</w:t>
            </w:r>
          </w:p>
        </w:tc>
        <w:tc>
          <w:tcPr>
            <w:vAlign w:val="center"/>
          </w:tcPr>
          <w:p>
            <w:pPr>
              <w:jc w:val="right"/>
            </w:pPr>
            <w:r>
              <w:rPr>
                <w:rFonts w:eastAsiaTheme="minorEastAsia"/>
                <w:color w:themeColor="text1" w:val="000000"/>
                <w:sz w:val="24"/>
              </w:rPr>
              <w:t>1.45%</w:t>
            </w:r>
          </w:p>
        </w:tc>
        <w:tc>
          <w:tcPr>
            <w:vAlign w:val="center"/>
          </w:tcPr>
          <w:p>
            <w:pPr>
              <w:jc w:val="right"/>
            </w:pPr>
            <w:r>
              <w:rPr>
                <w:rFonts w:eastAsiaTheme="minorEastAsia"/>
                <w:color w:themeColor="text1" w:val="000000"/>
                <w:sz w:val="24"/>
              </w:rPr>
              <w:t>2.57%</w:t>
            </w:r>
          </w:p>
        </w:tc>
        <w:tc>
          <w:tcPr>
            <w:vAlign w:val="center"/>
          </w:tcPr>
          <w:p>
            <w:pPr>
              <w:jc w:val="right"/>
            </w:pPr>
            <w:r>
              <w:rPr>
                <w:rFonts w:eastAsiaTheme="minorEastAsia"/>
                <w:color w:themeColor="text1" w:val="000000"/>
                <w:sz w:val="24"/>
              </w:rPr>
              <w:t>-0.02%</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易方达沪深300非银行金融交易型开放式指数证券投资基金联接基金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易方达沪深300非银联接A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（2015年1月22日至2020年6月30日）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易方达沪深300非银联接C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（2019年8月21日至2020年6月30日）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注：1.自2019年8月20日起，本基金增设C类份额类别，份额首次确认日为2019年8月21日，增设当期的相关数据和指标按实际存续期计算。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2.自基金合同生效至报告期末，A类基金份额净值增长率为-2.50%，同期业绩比较基准收益率为-12.09%。C类基金份额净值增长率为-3.62%，同期业绩比较基准收益率为-6.19%。</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中证500交易型开放式指数证券投资基金的基金经理、易方达沪深300交易型开放式指数发起式证券投资基金联接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联接基金的基金经理、易方达恒生中国企业交易型开放式指数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2015-01-22</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沪深300非银行金融指数上涨7.78%。</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沪深300非银行金融ETF的联接基金，主要投资于沪深300非银ETF。报告期内本基金为正常运作期，在操作中，我们严格遵守基金合同，依据基金申购赎回变动的情况进行日常操作，控制跟踪误差和跟踪偏离度在较低水平上。</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0.9750元，本报告期份额净值增长率为8.68%，同期业绩比较基准收益率为7.41%；C类基金份额净值为0.9740元，本报告期份额净值增长率为8.66%，同期业绩比较基准收益率为7.41%。</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报告期内本基金日跟踪偏离度的均值为0.03%，年化跟踪误差为1.400%，各项指标均在合同规定的目标控制范围之内。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10,999,549.12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0.57</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10,999,549.12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0.57</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1,786,709,765.21</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93.30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105,641,614.88</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5.52</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11,603,842.23</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0.61</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1,914,954,771.44</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易方达沪深300非银行金融交易型开放式指数证券投资基金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1,786,709,765.21</w:t>
            </w:r>
          </w:p>
        </w:tc>
        <w:tc>
          <w:tcPr>
            <w:vAlign w:val="center"/>
          </w:tcPr>
          <w:p>
            <w:pPr>
              <w:jc w:val="right"/>
            </w:pPr>
            <w:r>
              <w:rPr>
                <w:rFonts w:eastAsiaTheme="minorEastAsia"/>
                <w:color w:themeColor="text1" w:val="000000"/>
                <w:sz w:val="24"/>
              </w:rPr>
              <w:t>94.00</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5,593,327.12</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0.29</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258,480.00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5,147,742.00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0.27</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10,999,549.12</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0.58</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601816</w:t>
            </w:r>
          </w:p>
        </w:tc>
        <w:tc>
          <w:tcPr>
            <w:vAlign w:val="center"/>
          </w:tcPr>
          <w:p>
            <w:pPr>
              <w:jc w:val="center"/>
            </w:pPr>
            <w:r>
              <w:rPr>
                <w:rFonts w:eastAsiaTheme="minorEastAsia"/>
                <w:color w:themeColor="text1" w:val="000000"/>
                <w:sz w:val="24"/>
              </w:rPr>
              <w:t>京沪高铁</w:t>
            </w:r>
          </w:p>
        </w:tc>
        <w:tc>
          <w:tcPr>
            <w:vAlign w:val="center"/>
          </w:tcPr>
          <w:p>
            <w:pPr>
              <w:jc w:val="right"/>
            </w:pPr>
            <w:r>
              <w:rPr>
                <w:rFonts w:eastAsiaTheme="minorEastAsia"/>
                <w:color w:themeColor="text1" w:val="000000"/>
                <w:sz w:val="24"/>
              </w:rPr>
              <w:t>906,536</w:t>
            </w:r>
          </w:p>
        </w:tc>
        <w:tc>
          <w:tcPr>
            <w:vAlign w:val="center"/>
          </w:tcPr>
          <w:p>
            <w:pPr>
              <w:jc w:val="right"/>
            </w:pPr>
            <w:r>
              <w:rPr>
                <w:rFonts w:eastAsiaTheme="minorEastAsia"/>
                <w:color w:themeColor="text1" w:val="000000"/>
                <w:sz w:val="24"/>
              </w:rPr>
              <w:t>5,593,327.12</w:t>
            </w:r>
          </w:p>
        </w:tc>
        <w:tc>
          <w:tcPr>
            <w:vAlign w:val="center"/>
          </w:tcPr>
          <w:p>
            <w:pPr>
              <w:jc w:val="right"/>
            </w:pPr>
            <w:r>
              <w:rPr>
                <w:rFonts w:eastAsiaTheme="minorEastAsia"/>
                <w:color w:themeColor="text1" w:val="000000"/>
                <w:sz w:val="24"/>
              </w:rPr>
              <w:t>0.29</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601318</w:t>
            </w:r>
          </w:p>
        </w:tc>
        <w:tc>
          <w:tcPr>
            <w:vAlign w:val="center"/>
          </w:tcPr>
          <w:p>
            <w:pPr>
              <w:jc w:val="center"/>
            </w:pPr>
            <w:r>
              <w:rPr>
                <w:rFonts w:eastAsiaTheme="minorEastAsia"/>
                <w:color w:themeColor="text1" w:val="000000"/>
                <w:sz w:val="24"/>
              </w:rPr>
              <w:t>中国平安</w:t>
            </w:r>
          </w:p>
        </w:tc>
        <w:tc>
          <w:tcPr>
            <w:vAlign w:val="center"/>
          </w:tcPr>
          <w:p>
            <w:pPr>
              <w:jc w:val="right"/>
            </w:pPr>
            <w:r>
              <w:rPr>
                <w:rFonts w:eastAsiaTheme="minorEastAsia"/>
                <w:color w:themeColor="text1" w:val="000000"/>
                <w:sz w:val="24"/>
              </w:rPr>
              <w:t>30,300</w:t>
            </w:r>
          </w:p>
        </w:tc>
        <w:tc>
          <w:tcPr>
            <w:vAlign w:val="center"/>
          </w:tcPr>
          <w:p>
            <w:pPr>
              <w:jc w:val="right"/>
            </w:pPr>
            <w:r>
              <w:rPr>
                <w:rFonts w:eastAsiaTheme="minorEastAsia"/>
                <w:color w:themeColor="text1" w:val="000000"/>
                <w:sz w:val="24"/>
              </w:rPr>
              <w:t>2,163,420.00</w:t>
            </w:r>
          </w:p>
        </w:tc>
        <w:tc>
          <w:tcPr>
            <w:vAlign w:val="center"/>
          </w:tcPr>
          <w:p>
            <w:pPr>
              <w:jc w:val="right"/>
            </w:pPr>
            <w:r>
              <w:rPr>
                <w:rFonts w:eastAsiaTheme="minorEastAsia"/>
                <w:color w:themeColor="text1" w:val="000000"/>
                <w:sz w:val="24"/>
              </w:rPr>
              <w:t>0.11</w:t>
            </w:r>
          </w:p>
        </w:tc>
      </w:tr>
      <w:tr>
        <w:tc>
          <w:tcPr>
            <w:vAlign w:val="center"/>
          </w:tcPr>
          <w:p>
            <w:pPr>
              <w:jc w:val="center"/>
            </w:pPr>
            <w:r>
              <w:rPr>
                <w:rFonts w:eastAsiaTheme="minorEastAsia"/>
                <w:color w:themeColor="text1" w:val="000000"/>
                <w:sz w:val="24"/>
              </w:rPr>
              <w:t>3</w:t>
            </w:r>
          </w:p>
        </w:tc>
        <w:tc>
          <w:tcPr>
            <w:vAlign w:val="center"/>
          </w:tcPr>
          <w:p>
            <w:pPr>
              <w:jc w:val="center"/>
            </w:pPr>
            <w:r>
              <w:rPr>
                <w:rFonts w:eastAsiaTheme="minorEastAsia"/>
                <w:color w:themeColor="text1" w:val="000000"/>
                <w:sz w:val="24"/>
              </w:rPr>
              <w:t>600030</w:t>
            </w:r>
          </w:p>
        </w:tc>
        <w:tc>
          <w:tcPr>
            <w:vAlign w:val="center"/>
          </w:tcPr>
          <w:p>
            <w:pPr>
              <w:jc w:val="center"/>
            </w:pPr>
            <w:r>
              <w:rPr>
                <w:rFonts w:eastAsiaTheme="minorEastAsia"/>
                <w:color w:themeColor="text1" w:val="000000"/>
                <w:sz w:val="24"/>
              </w:rPr>
              <w:t>中信证券</w:t>
            </w:r>
          </w:p>
        </w:tc>
        <w:tc>
          <w:tcPr>
            <w:vAlign w:val="center"/>
          </w:tcPr>
          <w:p>
            <w:pPr>
              <w:jc w:val="right"/>
            </w:pPr>
            <w:r>
              <w:rPr>
                <w:rFonts w:eastAsiaTheme="minorEastAsia"/>
                <w:color w:themeColor="text1" w:val="000000"/>
                <w:sz w:val="24"/>
              </w:rPr>
              <w:t>23,700</w:t>
            </w:r>
          </w:p>
        </w:tc>
        <w:tc>
          <w:tcPr>
            <w:vAlign w:val="center"/>
          </w:tcPr>
          <w:p>
            <w:pPr>
              <w:jc w:val="right"/>
            </w:pPr>
            <w:r>
              <w:rPr>
                <w:rFonts w:eastAsiaTheme="minorEastAsia"/>
                <w:color w:themeColor="text1" w:val="000000"/>
                <w:sz w:val="24"/>
              </w:rPr>
              <w:t>571,407.00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4</w:t>
            </w:r>
          </w:p>
        </w:tc>
        <w:tc>
          <w:tcPr>
            <w:vAlign w:val="center"/>
          </w:tcPr>
          <w:p>
            <w:pPr>
              <w:jc w:val="center"/>
            </w:pPr>
            <w:r>
              <w:rPr>
                <w:rFonts w:eastAsiaTheme="minorEastAsia"/>
                <w:color w:themeColor="text1" w:val="000000"/>
                <w:sz w:val="24"/>
              </w:rPr>
              <w:t>601688</w:t>
            </w:r>
          </w:p>
        </w:tc>
        <w:tc>
          <w:tcPr>
            <w:vAlign w:val="center"/>
          </w:tcPr>
          <w:p>
            <w:pPr>
              <w:jc w:val="center"/>
            </w:pPr>
            <w:r>
              <w:rPr>
                <w:rFonts w:eastAsiaTheme="minorEastAsia"/>
                <w:color w:themeColor="text1" w:val="000000"/>
                <w:sz w:val="24"/>
              </w:rPr>
              <w:t>华泰证券</w:t>
            </w:r>
          </w:p>
        </w:tc>
        <w:tc>
          <w:tcPr>
            <w:vAlign w:val="center"/>
          </w:tcPr>
          <w:p>
            <w:pPr>
              <w:jc w:val="right"/>
            </w:pPr>
            <w:r>
              <w:rPr>
                <w:rFonts w:eastAsiaTheme="minorEastAsia"/>
                <w:color w:themeColor="text1" w:val="000000"/>
                <w:sz w:val="24"/>
              </w:rPr>
              <w:t>16,500</w:t>
            </w:r>
          </w:p>
        </w:tc>
        <w:tc>
          <w:tcPr>
            <w:vAlign w:val="center"/>
          </w:tcPr>
          <w:p>
            <w:pPr>
              <w:jc w:val="right"/>
            </w:pPr>
            <w:r>
              <w:rPr>
                <w:rFonts w:eastAsiaTheme="minorEastAsia"/>
                <w:color w:themeColor="text1" w:val="000000"/>
                <w:sz w:val="24"/>
              </w:rPr>
              <w:t>310,200.00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5</w:t>
            </w:r>
          </w:p>
        </w:tc>
        <w:tc>
          <w:tcPr>
            <w:vAlign w:val="center"/>
          </w:tcPr>
          <w:p>
            <w:pPr>
              <w:jc w:val="center"/>
            </w:pPr>
            <w:r>
              <w:rPr>
                <w:rFonts w:eastAsiaTheme="minorEastAsia"/>
                <w:color w:themeColor="text1" w:val="000000"/>
                <w:sz w:val="24"/>
              </w:rPr>
              <w:t>600837</w:t>
            </w:r>
          </w:p>
        </w:tc>
        <w:tc>
          <w:tcPr>
            <w:vAlign w:val="center"/>
          </w:tcPr>
          <w:p>
            <w:pPr>
              <w:jc w:val="center"/>
            </w:pPr>
            <w:r>
              <w:rPr>
                <w:rFonts w:eastAsiaTheme="minorEastAsia"/>
                <w:color w:themeColor="text1" w:val="000000"/>
                <w:sz w:val="24"/>
              </w:rPr>
              <w:t>海通证券</w:t>
            </w:r>
          </w:p>
        </w:tc>
        <w:tc>
          <w:tcPr>
            <w:vAlign w:val="center"/>
          </w:tcPr>
          <w:p>
            <w:pPr>
              <w:jc w:val="right"/>
            </w:pPr>
            <w:r>
              <w:rPr>
                <w:rFonts w:eastAsiaTheme="minorEastAsia"/>
                <w:color w:themeColor="text1" w:val="000000"/>
                <w:sz w:val="24"/>
              </w:rPr>
              <w:t>22,500</w:t>
            </w:r>
          </w:p>
        </w:tc>
        <w:tc>
          <w:tcPr>
            <w:vAlign w:val="center"/>
          </w:tcPr>
          <w:p>
            <w:pPr>
              <w:jc w:val="right"/>
            </w:pPr>
            <w:r>
              <w:rPr>
                <w:rFonts w:eastAsiaTheme="minorEastAsia"/>
                <w:color w:themeColor="text1" w:val="000000"/>
                <w:sz w:val="24"/>
              </w:rPr>
              <w:t>283,050.00</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6</w:t>
            </w:r>
          </w:p>
        </w:tc>
        <w:tc>
          <w:tcPr>
            <w:vAlign w:val="center"/>
          </w:tcPr>
          <w:p>
            <w:pPr>
              <w:jc w:val="center"/>
            </w:pPr>
            <w:r>
              <w:rPr>
                <w:rFonts w:eastAsiaTheme="minorEastAsia"/>
                <w:color w:themeColor="text1" w:val="000000"/>
                <w:sz w:val="24"/>
              </w:rPr>
              <w:t>600570</w:t>
            </w:r>
          </w:p>
        </w:tc>
        <w:tc>
          <w:tcPr>
            <w:vAlign w:val="center"/>
          </w:tcPr>
          <w:p>
            <w:pPr>
              <w:jc w:val="center"/>
            </w:pPr>
            <w:r>
              <w:rPr>
                <w:rFonts w:eastAsiaTheme="minorEastAsia"/>
                <w:color w:themeColor="text1" w:val="000000"/>
                <w:sz w:val="24"/>
              </w:rPr>
              <w:t>恒生电子</w:t>
            </w:r>
          </w:p>
        </w:tc>
        <w:tc>
          <w:tcPr>
            <w:vAlign w:val="center"/>
          </w:tcPr>
          <w:p>
            <w:pPr>
              <w:jc w:val="right"/>
            </w:pPr>
            <w:r>
              <w:rPr>
                <w:rFonts w:eastAsiaTheme="minorEastAsia"/>
                <w:color w:themeColor="text1" w:val="000000"/>
                <w:sz w:val="24"/>
              </w:rPr>
              <w:t>2,400</w:t>
            </w:r>
          </w:p>
        </w:tc>
        <w:tc>
          <w:tcPr>
            <w:vAlign w:val="center"/>
          </w:tcPr>
          <w:p>
            <w:pPr>
              <w:jc w:val="right"/>
            </w:pPr>
            <w:r>
              <w:rPr>
                <w:rFonts w:eastAsiaTheme="minorEastAsia"/>
                <w:color w:themeColor="text1" w:val="000000"/>
                <w:sz w:val="24"/>
              </w:rPr>
              <w:t>258,480.00</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7</w:t>
            </w:r>
          </w:p>
        </w:tc>
        <w:tc>
          <w:tcPr>
            <w:vAlign w:val="center"/>
          </w:tcPr>
          <w:p>
            <w:pPr>
              <w:jc w:val="center"/>
            </w:pPr>
            <w:r>
              <w:rPr>
                <w:rFonts w:eastAsiaTheme="minorEastAsia"/>
                <w:color w:themeColor="text1" w:val="000000"/>
                <w:sz w:val="24"/>
              </w:rPr>
              <w:t>601211</w:t>
            </w:r>
          </w:p>
        </w:tc>
        <w:tc>
          <w:tcPr>
            <w:vAlign w:val="center"/>
          </w:tcPr>
          <w:p>
            <w:pPr>
              <w:jc w:val="center"/>
            </w:pPr>
            <w:r>
              <w:rPr>
                <w:rFonts w:eastAsiaTheme="minorEastAsia"/>
                <w:color w:themeColor="text1" w:val="000000"/>
                <w:sz w:val="24"/>
              </w:rPr>
              <w:t>国泰君安</w:t>
            </w:r>
          </w:p>
        </w:tc>
        <w:tc>
          <w:tcPr>
            <w:vAlign w:val="center"/>
          </w:tcPr>
          <w:p>
            <w:pPr>
              <w:jc w:val="right"/>
            </w:pPr>
            <w:r>
              <w:rPr>
                <w:rFonts w:eastAsiaTheme="minorEastAsia"/>
                <w:color w:themeColor="text1" w:val="000000"/>
                <w:sz w:val="24"/>
              </w:rPr>
              <w:t>12,600</w:t>
            </w:r>
          </w:p>
        </w:tc>
        <w:tc>
          <w:tcPr>
            <w:vAlign w:val="center"/>
          </w:tcPr>
          <w:p>
            <w:pPr>
              <w:jc w:val="right"/>
            </w:pPr>
            <w:r>
              <w:rPr>
                <w:rFonts w:eastAsiaTheme="minorEastAsia"/>
                <w:color w:themeColor="text1" w:val="000000"/>
                <w:sz w:val="24"/>
              </w:rPr>
              <w:t>217,476.00</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8</w:t>
            </w:r>
          </w:p>
        </w:tc>
        <w:tc>
          <w:tcPr>
            <w:vAlign w:val="center"/>
          </w:tcPr>
          <w:p>
            <w:pPr>
              <w:jc w:val="center"/>
            </w:pPr>
            <w:r>
              <w:rPr>
                <w:rFonts w:eastAsiaTheme="minorEastAsia"/>
                <w:color w:themeColor="text1" w:val="000000"/>
                <w:sz w:val="24"/>
              </w:rPr>
              <w:t>601601</w:t>
            </w:r>
          </w:p>
        </w:tc>
        <w:tc>
          <w:tcPr>
            <w:vAlign w:val="center"/>
          </w:tcPr>
          <w:p>
            <w:pPr>
              <w:jc w:val="center"/>
            </w:pPr>
            <w:r>
              <w:rPr>
                <w:rFonts w:eastAsiaTheme="minorEastAsia"/>
                <w:color w:themeColor="text1" w:val="000000"/>
                <w:sz w:val="24"/>
              </w:rPr>
              <w:t>中国太保</w:t>
            </w:r>
          </w:p>
        </w:tc>
        <w:tc>
          <w:tcPr>
            <w:vAlign w:val="center"/>
          </w:tcPr>
          <w:p>
            <w:pPr>
              <w:jc w:val="right"/>
            </w:pPr>
            <w:r>
              <w:rPr>
                <w:rFonts w:eastAsiaTheme="minorEastAsia"/>
                <w:color w:themeColor="text1" w:val="000000"/>
                <w:sz w:val="24"/>
              </w:rPr>
              <w:t>7,500</w:t>
            </w:r>
          </w:p>
        </w:tc>
        <w:tc>
          <w:tcPr>
            <w:vAlign w:val="center"/>
          </w:tcPr>
          <w:p>
            <w:pPr>
              <w:jc w:val="right"/>
            </w:pPr>
            <w:r>
              <w:rPr>
                <w:rFonts w:eastAsiaTheme="minorEastAsia"/>
                <w:color w:themeColor="text1" w:val="000000"/>
                <w:sz w:val="24"/>
              </w:rPr>
              <w:t>204,375.00</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9</w:t>
            </w:r>
          </w:p>
        </w:tc>
        <w:tc>
          <w:tcPr>
            <w:vAlign w:val="center"/>
          </w:tcPr>
          <w:p>
            <w:pPr>
              <w:jc w:val="center"/>
            </w:pPr>
            <w:r>
              <w:rPr>
                <w:rFonts w:eastAsiaTheme="minorEastAsia"/>
                <w:color w:themeColor="text1" w:val="000000"/>
                <w:sz w:val="24"/>
              </w:rPr>
              <w:t>600999</w:t>
            </w:r>
          </w:p>
        </w:tc>
        <w:tc>
          <w:tcPr>
            <w:vAlign w:val="center"/>
          </w:tcPr>
          <w:p>
            <w:pPr>
              <w:jc w:val="center"/>
            </w:pPr>
            <w:r>
              <w:rPr>
                <w:rFonts w:eastAsiaTheme="minorEastAsia"/>
                <w:color w:themeColor="text1" w:val="000000"/>
                <w:sz w:val="24"/>
              </w:rPr>
              <w:t>招商证券</w:t>
            </w:r>
          </w:p>
        </w:tc>
        <w:tc>
          <w:tcPr>
            <w:vAlign w:val="center"/>
          </w:tcPr>
          <w:p>
            <w:pPr>
              <w:jc w:val="right"/>
            </w:pPr>
            <w:r>
              <w:rPr>
                <w:rFonts w:eastAsiaTheme="minorEastAsia"/>
                <w:color w:themeColor="text1" w:val="000000"/>
                <w:sz w:val="24"/>
              </w:rPr>
              <w:t>8,100</w:t>
            </w:r>
          </w:p>
        </w:tc>
        <w:tc>
          <w:tcPr>
            <w:vAlign w:val="center"/>
          </w:tcPr>
          <w:p>
            <w:pPr>
              <w:jc w:val="right"/>
            </w:pPr>
            <w:r>
              <w:rPr>
                <w:rFonts w:eastAsiaTheme="minorEastAsia"/>
                <w:color w:themeColor="text1" w:val="000000"/>
                <w:sz w:val="24"/>
              </w:rPr>
              <w:t>177,795.00</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10</w:t>
            </w:r>
          </w:p>
        </w:tc>
        <w:tc>
          <w:tcPr>
            <w:vAlign w:val="center"/>
          </w:tcPr>
          <w:p>
            <w:pPr>
              <w:jc w:val="center"/>
            </w:pPr>
            <w:r>
              <w:rPr>
                <w:rFonts w:eastAsiaTheme="minorEastAsia"/>
                <w:color w:themeColor="text1" w:val="000000"/>
                <w:sz w:val="24"/>
              </w:rPr>
              <w:t>601628</w:t>
            </w:r>
          </w:p>
        </w:tc>
        <w:tc>
          <w:tcPr>
            <w:vAlign w:val="center"/>
          </w:tcPr>
          <w:p>
            <w:pPr>
              <w:jc w:val="center"/>
            </w:pPr>
            <w:r>
              <w:rPr>
                <w:rFonts w:eastAsiaTheme="minorEastAsia"/>
                <w:color w:themeColor="text1" w:val="000000"/>
                <w:sz w:val="24"/>
              </w:rPr>
              <w:t>中国人寿</w:t>
            </w:r>
          </w:p>
        </w:tc>
        <w:tc>
          <w:tcPr>
            <w:vAlign w:val="center"/>
          </w:tcPr>
          <w:p>
            <w:pPr>
              <w:jc w:val="right"/>
            </w:pPr>
            <w:r>
              <w:rPr>
                <w:rFonts w:eastAsiaTheme="minorEastAsia"/>
                <w:color w:themeColor="text1" w:val="000000"/>
                <w:sz w:val="24"/>
              </w:rPr>
              <w:t>4,800</w:t>
            </w:r>
          </w:p>
        </w:tc>
        <w:tc>
          <w:tcPr>
            <w:vAlign w:val="center"/>
          </w:tcPr>
          <w:p>
            <w:pPr>
              <w:jc w:val="right"/>
            </w:pPr>
            <w:r>
              <w:rPr>
                <w:rFonts w:eastAsiaTheme="minorEastAsia"/>
                <w:color w:themeColor="text1" w:val="000000"/>
                <w:sz w:val="24"/>
              </w:rPr>
              <w:t>130,608.00</w:t>
            </w:r>
          </w:p>
        </w:tc>
        <w:tc>
          <w:tcPr>
            <w:vAlign w:val="center"/>
          </w:tcPr>
          <w:p>
            <w:pPr>
              <w:jc w:val="right"/>
            </w:pPr>
            <w:r>
              <w:rPr>
                <w:rFonts w:eastAsiaTheme="minorEastAsia"/>
                <w:color w:themeColor="text1" w:val="000000"/>
                <w:sz w:val="24"/>
              </w:rPr>
              <w:t>0.01</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widowControl/>
        <w:spacing w:line="360" w:lineRule="auto"/>
        <w:rPr>
          <w:rFonts w:eastAsiaTheme="minorEastAsia"/>
          <w:color w:themeColor="text1" w:val="000000"/>
          <w:sz w:val="24"/>
        </w:rPr>
      </w:pPr>
      <w:r>
        <w:rPr>
          <w:rFonts w:eastAsiaTheme="minorEastAsia"/>
          <w:color w:themeColor="text1" w:val="000000"/>
          <w:sz w:val="24"/>
        </w:rPr>
        <w:t>2020年4月8日，中国人民银行长春中心支行对招商证券股份有限公司长春人民大街证券营业部未按照规定履行客户身份识别义务的违法违规事实，责令整改并处罚款22万元的行政处罚。</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华泰证券、招商证券外，本基金的目标ETF投资的前十名证券的发行主体本期没有出现被监管部门立案调查，或在报告编制日前一年内受到公开谴责、处罚的情形。除华泰证券、招商证券外，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84,604.12</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7,702.64</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19,296.72</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11,398,976.25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93,262.50</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11,603,842.23</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tbl>
      <w:tblPr>
        <w:tblStyle w:val="af2"/>
        <w:tblW w:type="auto" w:w="0"/>
        <w:tblInd w:type="dxa" w:w="108"/>
        <w:tblLayout w:type="fixed"/>
        <w:tblLook w:firstColumn="1" w:firstRow="1" w:lastColumn="0" w:lastRow="0" w:noHBand="0" w:noVBand="1" w:val="04A0"/>
      </w:tblPr>
      <w:tblGrid>
        <w:gridCol w:w="1083"/>
        <w:gridCol w:w="1302"/>
        <w:gridCol w:w="1301"/>
        <w:gridCol w:w="1805"/>
        <w:gridCol w:w="1655"/>
        <w:gridCol w:w="1367"/>
      </w:tblGrid>
      <w:tr w:rsidR="00D3639B" w:rsidRPr="00B34368" w:rsidTr="00975D18">
        <w:tc>
          <w:tcPr>
            <w:tcW w:type="dxa" w:w="1083"/>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lastRenderedPageBreak/>
              <w:t>序号</w:t>
            </w:r>
          </w:p>
        </w:tc>
        <w:tc>
          <w:tcPr>
            <w:tcW w:type="dxa" w:w="1302"/>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301"/>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80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流通受限部分的公允价值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5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p>
        </w:tc>
        <w:tc>
          <w:tcPr>
            <w:tcW w:type="dxa" w:w="1367"/>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流通受限情况说明</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601816</w:t>
            </w:r>
          </w:p>
        </w:tc>
        <w:tc>
          <w:tcPr>
            <w:vAlign w:val="center"/>
          </w:tcPr>
          <w:p>
            <w:pPr>
              <w:jc w:val="center"/>
            </w:pPr>
            <w:r>
              <w:rPr>
                <w:rFonts w:eastAsiaTheme="minorEastAsia"/>
                <w:color w:themeColor="text1" w:val="000000"/>
                <w:sz w:val="24"/>
              </w:rPr>
              <w:t>京沪高铁</w:t>
            </w:r>
          </w:p>
        </w:tc>
        <w:tc>
          <w:tcPr>
            <w:vAlign w:val="center"/>
          </w:tcPr>
          <w:p>
            <w:pPr>
              <w:jc w:val="right"/>
            </w:pPr>
            <w:r>
              <w:rPr>
                <w:rFonts w:eastAsiaTheme="minorEastAsia"/>
                <w:color w:themeColor="text1" w:val="000000"/>
                <w:sz w:val="24"/>
              </w:rPr>
              <w:t>5,593,327.12</w:t>
            </w:r>
          </w:p>
        </w:tc>
        <w:tc>
          <w:tcPr>
            <w:vAlign w:val="center"/>
          </w:tcPr>
          <w:p>
            <w:pPr>
              <w:jc w:val="right"/>
            </w:pPr>
            <w:r>
              <w:rPr>
                <w:rFonts w:eastAsiaTheme="minorEastAsia"/>
                <w:color w:themeColor="text1" w:val="000000"/>
                <w:sz w:val="24"/>
              </w:rPr>
              <w:t>0.29</w:t>
            </w:r>
          </w:p>
        </w:tc>
        <w:tc>
          <w:tcPr>
            <w:vAlign w:val="center"/>
          </w:tcPr>
          <w:p>
            <w:pPr>
              <w:jc w:val="right"/>
            </w:pPr>
            <w:r>
              <w:rPr>
                <w:rFonts w:eastAsiaTheme="minorEastAsia"/>
                <w:color w:themeColor="text1" w:val="000000"/>
                <w:sz w:val="24"/>
              </w:rPr>
              <w:t>新股流通受限</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易方达沪深300非银联接A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易方达沪深300非银联接C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1,494,770,221.08</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57,002,632.68</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544,781,418.27</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91,263,720.96</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188,731,989.60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49,465,834.99</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1,850,819,649.75</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98,800,518.65</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1.中国证监会注册易方达沪深300非银行金融交易型开放式指数证券投资基金联接基金募集的文件；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2.《易方达沪深300非银行金融交易型开放式指数证券投资基金联接基金基金合同》；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3.《易方达沪深300非银行金融交易型开放式指数证券投资基金联接基金托管协议》；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易方达沪深300非银行金融交易型开放式指数证券投资基金联接基金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