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易方达掌柜季季盈理财债券型证券投资基金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兴业银行股份有限公司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易方达掌柜季季盈理财债券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000833</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2017年6月15日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1,393,828,841.01</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 xml:space="preserve">在有效控制投资风险和保持高流动性的基础上，力争获得高于业绩比较基准的投资回报。 </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对于银行存款及大额存单的投资，本基金根据宏观经济指标分析债券类资产和银行存款的预期收益率水平，制定和调整银行存款及大额存单投资比例、存款期限等。本基金对利率品种的投资，是在对国内、国外经济趋势进行分析和预测基础上，结合利率期限结构变化趋势和债券市场供求关系变化，据此确定组合的平均久期。在确定组合平均久期后，本基金对债券的期限结构进行分析，选择合适的期限结构配置策略，在合理控制风险的前提下，综合考虑组合的流动性，决定投资品种。</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中国人民银行公布的三个月银行定期整存整取存款利率（税后）</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 xml:space="preserve">本基金属于短期理财债券型证券投资基金，长期风险收益水平低于股票型基金、混合型基金和投资期限较长的债券型基金。 </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兴业银行股份有限公司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易方达掌柜季季盈理财债券A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易方达掌柜季季盈理财债券B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易方达掌柜季季盈理财债券C</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000833</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005099</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005100</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46,903,914.60</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1,346,623,914.93</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301,011.48</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 xml:space="preserve">注：自2017年9月5日起，本基金增设B类、C类份额类别，C类份额首次确认日为2017年9月6日，B类份额首次确认日为2017年9月14日。 </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易方达掌柜季季盈理财债券A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易方达掌柜季季盈理财债券B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易方达掌柜季季盈理财债券C</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312,662.87</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13,436,175.44</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6,924.09</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312,662.87</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13,436,175.44</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6,924.09</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46,903,914.60</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1,346,623,914.93</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301,011.48</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2.本基金利润分配是按运作期结转份额。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易方达掌柜季季盈理财债券A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0.5295%</w:t>
            </w:r>
          </w:p>
        </w:tc>
        <w:tc>
          <w:tcPr>
            <w:vAlign w:val="center"/>
          </w:tcPr>
          <w:p>
            <w:pPr>
              <w:jc w:val="center"/>
            </w:pPr>
            <w:r>
              <w:rPr>
                <w:color w:val="000000"/>
                <w:kern w:val="2"/>
                <w:sz w:val="24"/>
              </w:rPr>
              <w:t>0.0013%</w:t>
            </w:r>
          </w:p>
        </w:tc>
        <w:tc>
          <w:tcPr>
            <w:vAlign w:val="center"/>
          </w:tcPr>
          <w:p>
            <w:pPr>
              <w:jc w:val="center"/>
            </w:pPr>
            <w:r>
              <w:rPr>
                <w:color w:val="000000"/>
                <w:kern w:val="2"/>
                <w:sz w:val="24"/>
              </w:rPr>
              <w:t>0.2784%</w:t>
            </w:r>
          </w:p>
        </w:tc>
        <w:tc>
          <w:tcPr>
            <w:vAlign w:val="center"/>
          </w:tcPr>
          <w:p>
            <w:pPr>
              <w:jc w:val="center"/>
            </w:pPr>
            <w:r>
              <w:rPr>
                <w:color w:val="000000"/>
                <w:kern w:val="2"/>
                <w:sz w:val="24"/>
              </w:rPr>
              <w:t>0.0000%</w:t>
            </w:r>
          </w:p>
        </w:tc>
        <w:tc>
          <w:tcPr>
            <w:vAlign w:val="center"/>
          </w:tcPr>
          <w:p>
            <w:pPr>
              <w:jc w:val="center"/>
            </w:pPr>
            <w:r>
              <w:rPr>
                <w:color w:val="000000"/>
                <w:kern w:val="2"/>
                <w:sz w:val="24"/>
              </w:rPr>
              <w:t>0.2511%</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1.2241%</w:t>
            </w:r>
          </w:p>
        </w:tc>
        <w:tc>
          <w:tcPr>
            <w:vAlign w:val="center"/>
          </w:tcPr>
          <w:p>
            <w:pPr>
              <w:jc w:val="center"/>
            </w:pPr>
            <w:r>
              <w:rPr>
                <w:color w:val="000000"/>
                <w:kern w:val="2"/>
                <w:sz w:val="24"/>
              </w:rPr>
              <w:t>0.0014%</w:t>
            </w:r>
          </w:p>
        </w:tc>
        <w:tc>
          <w:tcPr>
            <w:vAlign w:val="center"/>
          </w:tcPr>
          <w:p>
            <w:pPr>
              <w:jc w:val="center"/>
            </w:pPr>
            <w:r>
              <w:rPr>
                <w:color w:val="000000"/>
                <w:kern w:val="2"/>
                <w:sz w:val="24"/>
              </w:rPr>
              <w:t>0.5577%</w:t>
            </w:r>
          </w:p>
        </w:tc>
        <w:tc>
          <w:tcPr>
            <w:vAlign w:val="center"/>
          </w:tcPr>
          <w:p>
            <w:pPr>
              <w:jc w:val="center"/>
            </w:pPr>
            <w:r>
              <w:rPr>
                <w:color w:val="000000"/>
                <w:kern w:val="2"/>
                <w:sz w:val="24"/>
              </w:rPr>
              <w:t>0.0000%</w:t>
            </w:r>
          </w:p>
        </w:tc>
        <w:tc>
          <w:tcPr>
            <w:vAlign w:val="center"/>
          </w:tcPr>
          <w:p>
            <w:pPr>
              <w:jc w:val="center"/>
            </w:pPr>
            <w:r>
              <w:rPr>
                <w:color w:val="000000"/>
                <w:kern w:val="2"/>
                <w:sz w:val="24"/>
              </w:rPr>
              <w:t>0.6664%</w:t>
            </w:r>
          </w:p>
        </w:tc>
        <w:tc>
          <w:tcPr>
            <w:vAlign w:val="center"/>
          </w:tcPr>
          <w:p>
            <w:pPr>
              <w:jc w:val="center"/>
            </w:pPr>
            <w:r>
              <w:rPr>
                <w:color w:val="000000"/>
                <w:kern w:val="2"/>
                <w:sz w:val="24"/>
              </w:rPr>
              <w:t>0.0014%</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2.5958%</w:t>
            </w:r>
          </w:p>
        </w:tc>
        <w:tc>
          <w:tcPr>
            <w:vAlign w:val="center"/>
          </w:tcPr>
          <w:p>
            <w:pPr>
              <w:jc w:val="center"/>
            </w:pPr>
            <w:r>
              <w:rPr>
                <w:color w:val="000000"/>
                <w:kern w:val="2"/>
                <w:sz w:val="24"/>
              </w:rPr>
              <w:t>0.0010%</w:t>
            </w:r>
          </w:p>
        </w:tc>
        <w:tc>
          <w:tcPr>
            <w:vAlign w:val="center"/>
          </w:tcPr>
          <w:p>
            <w:pPr>
              <w:jc w:val="center"/>
            </w:pPr>
            <w:r>
              <w:rPr>
                <w:color w:val="000000"/>
                <w:kern w:val="2"/>
                <w:sz w:val="24"/>
              </w:rPr>
              <w:t>1.1246%</w:t>
            </w:r>
          </w:p>
        </w:tc>
        <w:tc>
          <w:tcPr>
            <w:vAlign w:val="center"/>
          </w:tcPr>
          <w:p>
            <w:pPr>
              <w:jc w:val="center"/>
            </w:pPr>
            <w:r>
              <w:rPr>
                <w:color w:val="000000"/>
                <w:kern w:val="2"/>
                <w:sz w:val="24"/>
              </w:rPr>
              <w:t>0.0000%</w:t>
            </w:r>
          </w:p>
        </w:tc>
        <w:tc>
          <w:tcPr>
            <w:vAlign w:val="center"/>
          </w:tcPr>
          <w:p>
            <w:pPr>
              <w:jc w:val="center"/>
            </w:pPr>
            <w:r>
              <w:rPr>
                <w:color w:val="000000"/>
                <w:kern w:val="2"/>
                <w:sz w:val="24"/>
              </w:rPr>
              <w:t>1.4712%</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10.6591%</w:t>
            </w:r>
          </w:p>
        </w:tc>
        <w:tc>
          <w:tcPr>
            <w:vAlign w:val="center"/>
          </w:tcPr>
          <w:p>
            <w:pPr>
              <w:jc w:val="center"/>
            </w:pPr>
            <w:r>
              <w:rPr>
                <w:color w:val="000000"/>
                <w:kern w:val="2"/>
                <w:sz w:val="24"/>
              </w:rPr>
              <w:t>0.0025%</w:t>
            </w:r>
          </w:p>
        </w:tc>
        <w:tc>
          <w:tcPr>
            <w:vAlign w:val="center"/>
          </w:tcPr>
          <w:p>
            <w:pPr>
              <w:jc w:val="center"/>
            </w:pPr>
            <w:r>
              <w:rPr>
                <w:color w:val="000000"/>
                <w:kern w:val="2"/>
                <w:sz w:val="24"/>
              </w:rPr>
              <w:t>3.4055%</w:t>
            </w:r>
          </w:p>
        </w:tc>
        <w:tc>
          <w:tcPr>
            <w:vAlign w:val="center"/>
          </w:tcPr>
          <w:p>
            <w:pPr>
              <w:jc w:val="center"/>
            </w:pPr>
            <w:r>
              <w:rPr>
                <w:color w:val="000000"/>
                <w:kern w:val="2"/>
                <w:sz w:val="24"/>
              </w:rPr>
              <w:t>0.0000%</w:t>
            </w:r>
          </w:p>
        </w:tc>
        <w:tc>
          <w:tcPr>
            <w:vAlign w:val="center"/>
          </w:tcPr>
          <w:p>
            <w:pPr>
              <w:jc w:val="center"/>
            </w:pPr>
            <w:r>
              <w:rPr>
                <w:color w:val="000000"/>
                <w:kern w:val="2"/>
                <w:sz w:val="24"/>
              </w:rPr>
              <w:t>7.2536%</w:t>
            </w:r>
          </w:p>
        </w:tc>
        <w:tc>
          <w:tcPr>
            <w:vAlign w:val="center"/>
          </w:tcPr>
          <w:p>
            <w:pPr>
              <w:jc w:val="center"/>
            </w:pPr>
            <w:r>
              <w:rPr>
                <w:color w:val="000000"/>
                <w:kern w:val="2"/>
                <w:sz w:val="24"/>
              </w:rPr>
              <w:t>0.0025%</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10.8697%</w:t>
            </w:r>
          </w:p>
        </w:tc>
        <w:tc>
          <w:tcPr>
            <w:vAlign w:val="center"/>
          </w:tcPr>
          <w:p>
            <w:pPr>
              <w:jc w:val="center"/>
            </w:pPr>
            <w:r>
              <w:rPr>
                <w:color w:val="000000"/>
                <w:kern w:val="2"/>
                <w:sz w:val="24"/>
              </w:rPr>
              <w:t>0.0025%</w:t>
            </w:r>
          </w:p>
        </w:tc>
        <w:tc>
          <w:tcPr>
            <w:vAlign w:val="center"/>
          </w:tcPr>
          <w:p>
            <w:pPr>
              <w:jc w:val="center"/>
            </w:pPr>
            <w:r>
              <w:rPr>
                <w:color w:val="000000"/>
                <w:kern w:val="2"/>
                <w:sz w:val="24"/>
              </w:rPr>
              <w:t>3.4561%</w:t>
            </w:r>
          </w:p>
        </w:tc>
        <w:tc>
          <w:tcPr>
            <w:vAlign w:val="center"/>
          </w:tcPr>
          <w:p>
            <w:pPr>
              <w:jc w:val="center"/>
            </w:pPr>
            <w:r>
              <w:rPr>
                <w:color w:val="000000"/>
                <w:kern w:val="2"/>
                <w:sz w:val="24"/>
              </w:rPr>
              <w:t>0.0000%</w:t>
            </w:r>
          </w:p>
        </w:tc>
        <w:tc>
          <w:tcPr>
            <w:vAlign w:val="center"/>
          </w:tcPr>
          <w:p>
            <w:pPr>
              <w:jc w:val="center"/>
            </w:pPr>
            <w:r>
              <w:rPr>
                <w:color w:val="000000"/>
                <w:kern w:val="2"/>
                <w:sz w:val="24"/>
              </w:rPr>
              <w:t>7.4136%</w:t>
            </w:r>
          </w:p>
        </w:tc>
        <w:tc>
          <w:tcPr>
            <w:vAlign w:val="center"/>
          </w:tcPr>
          <w:p>
            <w:pPr>
              <w:jc w:val="center"/>
            </w:pPr>
            <w:r>
              <w:rPr>
                <w:color w:val="000000"/>
                <w:kern w:val="2"/>
                <w:sz w:val="24"/>
              </w:rPr>
              <w:t>0.0025%</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易方达掌柜季季盈理财债券B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0.5646%</w:t>
            </w:r>
          </w:p>
        </w:tc>
        <w:tc>
          <w:tcPr>
            <w:vAlign w:val="center"/>
          </w:tcPr>
          <w:p>
            <w:pPr>
              <w:jc w:val="center"/>
            </w:pPr>
            <w:r>
              <w:rPr>
                <w:color w:val="000000"/>
                <w:kern w:val="2"/>
                <w:sz w:val="24"/>
              </w:rPr>
              <w:t>0.0013%</w:t>
            </w:r>
          </w:p>
        </w:tc>
        <w:tc>
          <w:tcPr>
            <w:vAlign w:val="center"/>
          </w:tcPr>
          <w:p>
            <w:pPr>
              <w:jc w:val="center"/>
            </w:pPr>
            <w:r>
              <w:rPr>
                <w:color w:val="000000"/>
                <w:kern w:val="2"/>
                <w:sz w:val="24"/>
              </w:rPr>
              <w:t>0.2784%</w:t>
            </w:r>
          </w:p>
        </w:tc>
        <w:tc>
          <w:tcPr>
            <w:vAlign w:val="center"/>
          </w:tcPr>
          <w:p>
            <w:pPr>
              <w:jc w:val="center"/>
            </w:pPr>
            <w:r>
              <w:rPr>
                <w:color w:val="000000"/>
                <w:kern w:val="2"/>
                <w:sz w:val="24"/>
              </w:rPr>
              <w:t>0.0000%</w:t>
            </w:r>
          </w:p>
        </w:tc>
        <w:tc>
          <w:tcPr>
            <w:vAlign w:val="center"/>
          </w:tcPr>
          <w:p>
            <w:pPr>
              <w:jc w:val="center"/>
            </w:pPr>
            <w:r>
              <w:rPr>
                <w:color w:val="000000"/>
                <w:kern w:val="2"/>
                <w:sz w:val="24"/>
              </w:rPr>
              <w:t>0.2862%</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1.2947%</w:t>
            </w:r>
          </w:p>
        </w:tc>
        <w:tc>
          <w:tcPr>
            <w:vAlign w:val="center"/>
          </w:tcPr>
          <w:p>
            <w:pPr>
              <w:jc w:val="center"/>
            </w:pPr>
            <w:r>
              <w:rPr>
                <w:color w:val="000000"/>
                <w:kern w:val="2"/>
                <w:sz w:val="24"/>
              </w:rPr>
              <w:t>0.0014%</w:t>
            </w:r>
          </w:p>
        </w:tc>
        <w:tc>
          <w:tcPr>
            <w:vAlign w:val="center"/>
          </w:tcPr>
          <w:p>
            <w:pPr>
              <w:jc w:val="center"/>
            </w:pPr>
            <w:r>
              <w:rPr>
                <w:color w:val="000000"/>
                <w:kern w:val="2"/>
                <w:sz w:val="24"/>
              </w:rPr>
              <w:t>0.5577%</w:t>
            </w:r>
          </w:p>
        </w:tc>
        <w:tc>
          <w:tcPr>
            <w:vAlign w:val="center"/>
          </w:tcPr>
          <w:p>
            <w:pPr>
              <w:jc w:val="center"/>
            </w:pPr>
            <w:r>
              <w:rPr>
                <w:color w:val="000000"/>
                <w:kern w:val="2"/>
                <w:sz w:val="24"/>
              </w:rPr>
              <w:t>0.0000%</w:t>
            </w:r>
          </w:p>
        </w:tc>
        <w:tc>
          <w:tcPr>
            <w:vAlign w:val="center"/>
          </w:tcPr>
          <w:p>
            <w:pPr>
              <w:jc w:val="center"/>
            </w:pPr>
            <w:r>
              <w:rPr>
                <w:color w:val="000000"/>
                <w:kern w:val="2"/>
                <w:sz w:val="24"/>
              </w:rPr>
              <w:t>0.7370%</w:t>
            </w:r>
          </w:p>
        </w:tc>
        <w:tc>
          <w:tcPr>
            <w:vAlign w:val="center"/>
          </w:tcPr>
          <w:p>
            <w:pPr>
              <w:jc w:val="center"/>
            </w:pPr>
            <w:r>
              <w:rPr>
                <w:color w:val="000000"/>
                <w:kern w:val="2"/>
                <w:sz w:val="24"/>
              </w:rPr>
              <w:t>0.0014%</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2.7400%</w:t>
            </w:r>
          </w:p>
        </w:tc>
        <w:tc>
          <w:tcPr>
            <w:vAlign w:val="center"/>
          </w:tcPr>
          <w:p>
            <w:pPr>
              <w:jc w:val="center"/>
            </w:pPr>
            <w:r>
              <w:rPr>
                <w:color w:val="000000"/>
                <w:kern w:val="2"/>
                <w:sz w:val="24"/>
              </w:rPr>
              <w:t>0.0010%</w:t>
            </w:r>
          </w:p>
        </w:tc>
        <w:tc>
          <w:tcPr>
            <w:vAlign w:val="center"/>
          </w:tcPr>
          <w:p>
            <w:pPr>
              <w:jc w:val="center"/>
            </w:pPr>
            <w:r>
              <w:rPr>
                <w:color w:val="000000"/>
                <w:kern w:val="2"/>
                <w:sz w:val="24"/>
              </w:rPr>
              <w:t>1.1246%</w:t>
            </w:r>
          </w:p>
        </w:tc>
        <w:tc>
          <w:tcPr>
            <w:vAlign w:val="center"/>
          </w:tcPr>
          <w:p>
            <w:pPr>
              <w:jc w:val="center"/>
            </w:pPr>
            <w:r>
              <w:rPr>
                <w:color w:val="000000"/>
                <w:kern w:val="2"/>
                <w:sz w:val="24"/>
              </w:rPr>
              <w:t>0.0000%</w:t>
            </w:r>
          </w:p>
        </w:tc>
        <w:tc>
          <w:tcPr>
            <w:vAlign w:val="center"/>
          </w:tcPr>
          <w:p>
            <w:pPr>
              <w:jc w:val="center"/>
            </w:pPr>
            <w:r>
              <w:rPr>
                <w:color w:val="000000"/>
                <w:kern w:val="2"/>
                <w:sz w:val="24"/>
              </w:rPr>
              <w:t>1.6154%</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10.0745%</w:t>
            </w:r>
          </w:p>
        </w:tc>
        <w:tc>
          <w:tcPr>
            <w:vAlign w:val="center"/>
          </w:tcPr>
          <w:p>
            <w:pPr>
              <w:jc w:val="center"/>
            </w:pPr>
            <w:r>
              <w:rPr>
                <w:color w:val="000000"/>
                <w:kern w:val="2"/>
                <w:sz w:val="24"/>
              </w:rPr>
              <w:t>0.0024%</w:t>
            </w:r>
          </w:p>
        </w:tc>
        <w:tc>
          <w:tcPr>
            <w:vAlign w:val="center"/>
          </w:tcPr>
          <w:p>
            <w:pPr>
              <w:jc w:val="center"/>
            </w:pPr>
            <w:r>
              <w:rPr>
                <w:color w:val="000000"/>
                <w:kern w:val="2"/>
                <w:sz w:val="24"/>
              </w:rPr>
              <w:t>3.1688%</w:t>
            </w:r>
          </w:p>
        </w:tc>
        <w:tc>
          <w:tcPr>
            <w:vAlign w:val="center"/>
          </w:tcPr>
          <w:p>
            <w:pPr>
              <w:jc w:val="center"/>
            </w:pPr>
            <w:r>
              <w:rPr>
                <w:color w:val="000000"/>
                <w:kern w:val="2"/>
                <w:sz w:val="24"/>
              </w:rPr>
              <w:t>0.0000%</w:t>
            </w:r>
          </w:p>
        </w:tc>
        <w:tc>
          <w:tcPr>
            <w:vAlign w:val="center"/>
          </w:tcPr>
          <w:p>
            <w:pPr>
              <w:jc w:val="center"/>
            </w:pPr>
            <w:r>
              <w:rPr>
                <w:color w:val="000000"/>
                <w:kern w:val="2"/>
                <w:sz w:val="24"/>
              </w:rPr>
              <w:t>6.9057%</w:t>
            </w:r>
          </w:p>
        </w:tc>
        <w:tc>
          <w:tcPr>
            <w:vAlign w:val="center"/>
          </w:tcPr>
          <w:p>
            <w:pPr>
              <w:jc w:val="center"/>
            </w:pPr>
            <w:r>
              <w:rPr>
                <w:color w:val="000000"/>
                <w:kern w:val="2"/>
                <w:sz w:val="24"/>
              </w:rPr>
              <w:t>0.0024%</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易方达掌柜季季盈理财债券C</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0.5543%</w:t>
            </w:r>
          </w:p>
        </w:tc>
        <w:tc>
          <w:tcPr>
            <w:vAlign w:val="center"/>
          </w:tcPr>
          <w:p>
            <w:pPr>
              <w:jc w:val="center"/>
            </w:pPr>
            <w:r>
              <w:rPr>
                <w:color w:val="000000"/>
                <w:kern w:val="2"/>
                <w:sz w:val="24"/>
              </w:rPr>
              <w:t>0.0013%</w:t>
            </w:r>
          </w:p>
        </w:tc>
        <w:tc>
          <w:tcPr>
            <w:vAlign w:val="center"/>
          </w:tcPr>
          <w:p>
            <w:pPr>
              <w:jc w:val="center"/>
            </w:pPr>
            <w:r>
              <w:rPr>
                <w:color w:val="000000"/>
                <w:kern w:val="2"/>
                <w:sz w:val="24"/>
              </w:rPr>
              <w:t>0.2784%</w:t>
            </w:r>
          </w:p>
        </w:tc>
        <w:tc>
          <w:tcPr>
            <w:vAlign w:val="center"/>
          </w:tcPr>
          <w:p>
            <w:pPr>
              <w:jc w:val="center"/>
            </w:pPr>
            <w:r>
              <w:rPr>
                <w:color w:val="000000"/>
                <w:kern w:val="2"/>
                <w:sz w:val="24"/>
              </w:rPr>
              <w:t>0.0000%</w:t>
            </w:r>
          </w:p>
        </w:tc>
        <w:tc>
          <w:tcPr>
            <w:vAlign w:val="center"/>
          </w:tcPr>
          <w:p>
            <w:pPr>
              <w:jc w:val="center"/>
            </w:pPr>
            <w:r>
              <w:rPr>
                <w:color w:val="000000"/>
                <w:kern w:val="2"/>
                <w:sz w:val="24"/>
              </w:rPr>
              <w:t>0.2759%</w:t>
            </w:r>
          </w:p>
        </w:tc>
        <w:tc>
          <w:tcPr>
            <w:vAlign w:val="center"/>
          </w:tcPr>
          <w:p>
            <w:pPr>
              <w:jc w:val="center"/>
            </w:pPr>
            <w:r>
              <w:rPr>
                <w:color w:val="000000"/>
                <w:kern w:val="2"/>
                <w:sz w:val="24"/>
              </w:rPr>
              <w:t>0.0013%</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1.2743%</w:t>
            </w:r>
          </w:p>
        </w:tc>
        <w:tc>
          <w:tcPr>
            <w:vAlign w:val="center"/>
          </w:tcPr>
          <w:p>
            <w:pPr>
              <w:jc w:val="center"/>
            </w:pPr>
            <w:r>
              <w:rPr>
                <w:color w:val="000000"/>
                <w:kern w:val="2"/>
                <w:sz w:val="24"/>
              </w:rPr>
              <w:t>0.0014%</w:t>
            </w:r>
          </w:p>
        </w:tc>
        <w:tc>
          <w:tcPr>
            <w:vAlign w:val="center"/>
          </w:tcPr>
          <w:p>
            <w:pPr>
              <w:jc w:val="center"/>
            </w:pPr>
            <w:r>
              <w:rPr>
                <w:color w:val="000000"/>
                <w:kern w:val="2"/>
                <w:sz w:val="24"/>
              </w:rPr>
              <w:t>0.5577%</w:t>
            </w:r>
          </w:p>
        </w:tc>
        <w:tc>
          <w:tcPr>
            <w:vAlign w:val="center"/>
          </w:tcPr>
          <w:p>
            <w:pPr>
              <w:jc w:val="center"/>
            </w:pPr>
            <w:r>
              <w:rPr>
                <w:color w:val="000000"/>
                <w:kern w:val="2"/>
                <w:sz w:val="24"/>
              </w:rPr>
              <w:t>0.0000%</w:t>
            </w:r>
          </w:p>
        </w:tc>
        <w:tc>
          <w:tcPr>
            <w:vAlign w:val="center"/>
          </w:tcPr>
          <w:p>
            <w:pPr>
              <w:jc w:val="center"/>
            </w:pPr>
            <w:r>
              <w:rPr>
                <w:color w:val="000000"/>
                <w:kern w:val="2"/>
                <w:sz w:val="24"/>
              </w:rPr>
              <w:t>0.7166%</w:t>
            </w:r>
          </w:p>
        </w:tc>
        <w:tc>
          <w:tcPr>
            <w:vAlign w:val="center"/>
          </w:tcPr>
          <w:p>
            <w:pPr>
              <w:jc w:val="center"/>
            </w:pPr>
            <w:r>
              <w:rPr>
                <w:color w:val="000000"/>
                <w:kern w:val="2"/>
                <w:sz w:val="24"/>
              </w:rPr>
              <w:t>0.0014%</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2.6985%</w:t>
            </w:r>
          </w:p>
        </w:tc>
        <w:tc>
          <w:tcPr>
            <w:vAlign w:val="center"/>
          </w:tcPr>
          <w:p>
            <w:pPr>
              <w:jc w:val="center"/>
            </w:pPr>
            <w:r>
              <w:rPr>
                <w:color w:val="000000"/>
                <w:kern w:val="2"/>
                <w:sz w:val="24"/>
              </w:rPr>
              <w:t>0.0010%</w:t>
            </w:r>
          </w:p>
        </w:tc>
        <w:tc>
          <w:tcPr>
            <w:vAlign w:val="center"/>
          </w:tcPr>
          <w:p>
            <w:pPr>
              <w:jc w:val="center"/>
            </w:pPr>
            <w:r>
              <w:rPr>
                <w:color w:val="000000"/>
                <w:kern w:val="2"/>
                <w:sz w:val="24"/>
              </w:rPr>
              <w:t>1.1246%</w:t>
            </w:r>
          </w:p>
        </w:tc>
        <w:tc>
          <w:tcPr>
            <w:vAlign w:val="center"/>
          </w:tcPr>
          <w:p>
            <w:pPr>
              <w:jc w:val="center"/>
            </w:pPr>
            <w:r>
              <w:rPr>
                <w:color w:val="000000"/>
                <w:kern w:val="2"/>
                <w:sz w:val="24"/>
              </w:rPr>
              <w:t>0.0000%</w:t>
            </w:r>
          </w:p>
        </w:tc>
        <w:tc>
          <w:tcPr>
            <w:vAlign w:val="center"/>
          </w:tcPr>
          <w:p>
            <w:pPr>
              <w:jc w:val="center"/>
            </w:pPr>
            <w:r>
              <w:rPr>
                <w:color w:val="000000"/>
                <w:kern w:val="2"/>
                <w:sz w:val="24"/>
              </w:rPr>
              <w:t>1.5739%</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10.0624%</w:t>
            </w:r>
          </w:p>
        </w:tc>
        <w:tc>
          <w:tcPr>
            <w:vAlign w:val="center"/>
          </w:tcPr>
          <w:p>
            <w:pPr>
              <w:jc w:val="center"/>
            </w:pPr>
            <w:r>
              <w:rPr>
                <w:color w:val="000000"/>
                <w:kern w:val="2"/>
                <w:sz w:val="24"/>
              </w:rPr>
              <w:t>0.0024%</w:t>
            </w:r>
          </w:p>
        </w:tc>
        <w:tc>
          <w:tcPr>
            <w:vAlign w:val="center"/>
          </w:tcPr>
          <w:p>
            <w:pPr>
              <w:jc w:val="center"/>
            </w:pPr>
            <w:r>
              <w:rPr>
                <w:color w:val="000000"/>
                <w:kern w:val="2"/>
                <w:sz w:val="24"/>
              </w:rPr>
              <w:t>3.1941%</w:t>
            </w:r>
          </w:p>
        </w:tc>
        <w:tc>
          <w:tcPr>
            <w:vAlign w:val="center"/>
          </w:tcPr>
          <w:p>
            <w:pPr>
              <w:jc w:val="center"/>
            </w:pPr>
            <w:r>
              <w:rPr>
                <w:color w:val="000000"/>
                <w:kern w:val="2"/>
                <w:sz w:val="24"/>
              </w:rPr>
              <w:t>0.0000%</w:t>
            </w:r>
          </w:p>
        </w:tc>
        <w:tc>
          <w:tcPr>
            <w:vAlign w:val="center"/>
          </w:tcPr>
          <w:p>
            <w:pPr>
              <w:jc w:val="center"/>
            </w:pPr>
            <w:r>
              <w:rPr>
                <w:color w:val="000000"/>
                <w:kern w:val="2"/>
                <w:sz w:val="24"/>
              </w:rPr>
              <w:t>6.8683%</w:t>
            </w:r>
          </w:p>
        </w:tc>
        <w:tc>
          <w:tcPr>
            <w:vAlign w:val="center"/>
          </w:tcPr>
          <w:p>
            <w:pPr>
              <w:jc w:val="center"/>
            </w:pPr>
            <w:r>
              <w:rPr>
                <w:color w:val="000000"/>
                <w:kern w:val="2"/>
                <w:sz w:val="24"/>
              </w:rPr>
              <w:t>0.0024%</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易方达掌柜季季盈理财债券型证券投资基金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易方达掌柜季季盈理财债券A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（2017年6月15日至2020年6月30日）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易方达掌柜季季盈理财债券B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（2017年9月14日至2020年6月30日）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易方达掌柜季季盈理财债券C</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（2017年9月6日至2020年6月30日）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注：1.自2017年9月5日起，本基金增设B类、C类份额类别，C类份额首次确认日为2017年9月6日，B类份额首次确认日为2017年9月14日，增设当期的相关数据和指标按实际存续期计算。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 xml:space="preserve">2.自基金合同生效至报告期末，A类基金份额净值收益率为10.8697%，同期业绩比较基准收益率为3.4561%。B类基金份额净值收益率为10.0745%，同期业绩比较基准收益率为3.1688%。C类基金份额净值收益率为10.0624%，同期业绩比较基准收益率为3.1941%。 </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保证金收益货币市场基金的基金经理、易方达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2017-06-15</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龙宝货币市场基金的基金经理、易方达天天增利货币市场基金的基金经理、易方达财富快线货币市场基金的基金经理、易方达现金增利货币市场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2017-07-11</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0.5295%，同期业绩比较基准收益率为0.2784%；B类基金份额净值收益率为0.5646%，同期业绩比较基准收益率为0.2784%；C类基金份额净值收益率为0.5543%，同期业绩比较基准收益率为0.2784%。</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975,908,834.89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62.08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975,908,834.89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62.08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357,998,027.00</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22.77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232,191,121.02</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14.77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5,904,471.32</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0.38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1,572,002,454.23</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10.19</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177,313,711.34</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12.72</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 xml:space="preserve">注：上表中报告期内债券回购融资余额占基金资产净值的比例为报告期内每个交易日融资余额占基金资产净值比例的简单平均值。 </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 xml:space="preserve">本基金合同约定“本基金在全国银行间债券市场债券正回购的资金余额不得超过基金资产净值的40%”，本报告期内本基金未发生超标情况。 </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89</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103</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67</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 xml:space="preserve">本基金合同约定“本基金投资组合的平均剩余期限在每个交易日均不得超过180天”,本报告期内本基金投资组合平均剩余期限未超过180天。 </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17.25</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12.72</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20.07</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36.46</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17.96</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20.61</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112.36</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12.72</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本基金属于理财债券型基金，不适用本项目。</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150,573,646.63</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10.80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100,573,223.34</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7.22</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170,129,881.93</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12.21</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110,532,413.59</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7.93</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544,672,892.74</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39.08</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975,908,834.89</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70.02</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111904091</w:t>
            </w:r>
          </w:p>
        </w:tc>
        <w:tc>
          <w:tcPr>
            <w:vAlign w:val="center"/>
          </w:tcPr>
          <w:p>
            <w:pPr>
              <w:jc w:val="center"/>
            </w:pPr>
            <w:r>
              <w:rPr>
                <w:color w:val="000000"/>
                <w:sz w:val="24"/>
              </w:rPr>
              <w:t>19中国银行CD091</w:t>
            </w:r>
          </w:p>
        </w:tc>
        <w:tc>
          <w:tcPr>
            <w:vAlign w:val="center"/>
          </w:tcPr>
          <w:p>
            <w:pPr>
              <w:jc w:val="right"/>
            </w:pPr>
            <w:r>
              <w:rPr>
                <w:color w:val="000000"/>
                <w:sz w:val="24"/>
              </w:rPr>
              <w:t>2,000,000</w:t>
            </w:r>
          </w:p>
        </w:tc>
        <w:tc>
          <w:tcPr>
            <w:vAlign w:val="center"/>
          </w:tcPr>
          <w:p>
            <w:pPr>
              <w:jc w:val="right"/>
            </w:pPr>
            <w:r>
              <w:rPr>
                <w:color w:val="000000"/>
                <w:sz w:val="24"/>
              </w:rPr>
              <w:t>198,710,219.01</w:t>
            </w:r>
          </w:p>
        </w:tc>
        <w:tc>
          <w:tcPr>
            <w:vAlign w:val="center"/>
          </w:tcPr>
          <w:p>
            <w:pPr>
              <w:jc w:val="right"/>
            </w:pPr>
            <w:r>
              <w:rPr>
                <w:color w:val="000000"/>
                <w:sz w:val="24"/>
              </w:rPr>
              <w:t>14.26</w:t>
            </w:r>
          </w:p>
        </w:tc>
      </w:tr>
      <w:tr>
        <w:tc>
          <w:tcPr>
            <w:vAlign w:val="center"/>
          </w:tcPr>
          <w:p>
            <w:pPr>
              <w:jc w:val="center"/>
            </w:pPr>
            <w:r>
              <w:rPr>
                <w:color w:val="000000"/>
                <w:sz w:val="24"/>
              </w:rPr>
              <w:t>2</w:t>
            </w:r>
          </w:p>
        </w:tc>
        <w:tc>
          <w:tcPr>
            <w:vAlign w:val="center"/>
          </w:tcPr>
          <w:p>
            <w:pPr>
              <w:jc w:val="center"/>
            </w:pPr>
            <w:r>
              <w:rPr>
                <w:color w:val="000000"/>
                <w:sz w:val="24"/>
              </w:rPr>
              <w:t>111903111</w:t>
            </w:r>
          </w:p>
        </w:tc>
        <w:tc>
          <w:tcPr>
            <w:vAlign w:val="center"/>
          </w:tcPr>
          <w:p>
            <w:pPr>
              <w:jc w:val="center"/>
            </w:pPr>
            <w:r>
              <w:rPr>
                <w:color w:val="000000"/>
                <w:sz w:val="24"/>
              </w:rPr>
              <w:t>19农业银行CD111</w:t>
            </w:r>
          </w:p>
        </w:tc>
        <w:tc>
          <w:tcPr>
            <w:vAlign w:val="center"/>
          </w:tcPr>
          <w:p>
            <w:pPr>
              <w:jc w:val="right"/>
            </w:pPr>
            <w:r>
              <w:rPr>
                <w:color w:val="000000"/>
                <w:sz w:val="24"/>
              </w:rPr>
              <w:t>1,000,000</w:t>
            </w:r>
          </w:p>
        </w:tc>
        <w:tc>
          <w:tcPr>
            <w:vAlign w:val="center"/>
          </w:tcPr>
          <w:p>
            <w:pPr>
              <w:jc w:val="right"/>
            </w:pPr>
            <w:r>
              <w:rPr>
                <w:color w:val="000000"/>
                <w:sz w:val="24"/>
              </w:rPr>
              <w:t>99,626,383.90</w:t>
            </w:r>
          </w:p>
        </w:tc>
        <w:tc>
          <w:tcPr>
            <w:vAlign w:val="center"/>
          </w:tcPr>
          <w:p>
            <w:pPr>
              <w:jc w:val="right"/>
            </w:pPr>
            <w:r>
              <w:rPr>
                <w:color w:val="000000"/>
                <w:sz w:val="24"/>
              </w:rPr>
              <w:t>7.15</w:t>
            </w:r>
          </w:p>
        </w:tc>
      </w:tr>
      <w:tr>
        <w:tc>
          <w:tcPr>
            <w:vAlign w:val="center"/>
          </w:tcPr>
          <w:p>
            <w:pPr>
              <w:jc w:val="center"/>
            </w:pPr>
            <w:r>
              <w:rPr>
                <w:color w:val="000000"/>
                <w:sz w:val="24"/>
              </w:rPr>
              <w:t>3</w:t>
            </w:r>
          </w:p>
        </w:tc>
        <w:tc>
          <w:tcPr>
            <w:vAlign w:val="center"/>
          </w:tcPr>
          <w:p>
            <w:pPr>
              <w:jc w:val="center"/>
            </w:pPr>
            <w:r>
              <w:rPr>
                <w:color w:val="000000"/>
                <w:sz w:val="24"/>
              </w:rPr>
              <w:t>112080843</w:t>
            </w:r>
          </w:p>
        </w:tc>
        <w:tc>
          <w:tcPr>
            <w:vAlign w:val="center"/>
          </w:tcPr>
          <w:p>
            <w:pPr>
              <w:jc w:val="center"/>
            </w:pPr>
            <w:r>
              <w:rPr>
                <w:color w:val="000000"/>
                <w:sz w:val="24"/>
              </w:rPr>
              <w:t>20南京银行CD070</w:t>
            </w:r>
          </w:p>
        </w:tc>
        <w:tc>
          <w:tcPr>
            <w:vAlign w:val="center"/>
          </w:tcPr>
          <w:p>
            <w:pPr>
              <w:jc w:val="right"/>
            </w:pPr>
            <w:r>
              <w:rPr>
                <w:color w:val="000000"/>
                <w:sz w:val="24"/>
              </w:rPr>
              <w:t>1,000,000</w:t>
            </w:r>
          </w:p>
        </w:tc>
        <w:tc>
          <w:tcPr>
            <w:vAlign w:val="center"/>
          </w:tcPr>
          <w:p>
            <w:pPr>
              <w:jc w:val="right"/>
            </w:pPr>
            <w:r>
              <w:rPr>
                <w:color w:val="000000"/>
                <w:sz w:val="24"/>
              </w:rPr>
              <w:t>99,587,720.21</w:t>
            </w:r>
          </w:p>
        </w:tc>
        <w:tc>
          <w:tcPr>
            <w:vAlign w:val="center"/>
          </w:tcPr>
          <w:p>
            <w:pPr>
              <w:jc w:val="right"/>
            </w:pPr>
            <w:r>
              <w:rPr>
                <w:color w:val="000000"/>
                <w:sz w:val="24"/>
              </w:rPr>
              <w:t>7.14</w:t>
            </w:r>
          </w:p>
        </w:tc>
      </w:tr>
      <w:tr>
        <w:tc>
          <w:tcPr>
            <w:vAlign w:val="center"/>
          </w:tcPr>
          <w:p>
            <w:pPr>
              <w:jc w:val="center"/>
            </w:pPr>
            <w:r>
              <w:rPr>
                <w:color w:val="000000"/>
                <w:sz w:val="24"/>
              </w:rPr>
              <w:t>4</w:t>
            </w:r>
          </w:p>
        </w:tc>
        <w:tc>
          <w:tcPr>
            <w:vAlign w:val="center"/>
          </w:tcPr>
          <w:p>
            <w:pPr>
              <w:jc w:val="center"/>
            </w:pPr>
            <w:r>
              <w:rPr>
                <w:color w:val="000000"/>
                <w:sz w:val="24"/>
              </w:rPr>
              <w:t>112006020</w:t>
            </w:r>
          </w:p>
        </w:tc>
        <w:tc>
          <w:tcPr>
            <w:vAlign w:val="center"/>
          </w:tcPr>
          <w:p>
            <w:pPr>
              <w:jc w:val="center"/>
            </w:pPr>
            <w:r>
              <w:rPr>
                <w:color w:val="000000"/>
                <w:sz w:val="24"/>
              </w:rPr>
              <w:t>20交通银行CD020</w:t>
            </w:r>
          </w:p>
        </w:tc>
        <w:tc>
          <w:tcPr>
            <w:vAlign w:val="center"/>
          </w:tcPr>
          <w:p>
            <w:pPr>
              <w:jc w:val="right"/>
            </w:pPr>
            <w:r>
              <w:rPr>
                <w:color w:val="000000"/>
                <w:sz w:val="24"/>
              </w:rPr>
              <w:t>1,000,000</w:t>
            </w:r>
          </w:p>
        </w:tc>
        <w:tc>
          <w:tcPr>
            <w:vAlign w:val="center"/>
          </w:tcPr>
          <w:p>
            <w:pPr>
              <w:jc w:val="right"/>
            </w:pPr>
            <w:r>
              <w:rPr>
                <w:color w:val="000000"/>
                <w:sz w:val="24"/>
              </w:rPr>
              <w:t>97,835,229.05</w:t>
            </w:r>
          </w:p>
        </w:tc>
        <w:tc>
          <w:tcPr>
            <w:vAlign w:val="center"/>
          </w:tcPr>
          <w:p>
            <w:pPr>
              <w:jc w:val="right"/>
            </w:pPr>
            <w:r>
              <w:rPr>
                <w:color w:val="000000"/>
                <w:sz w:val="24"/>
              </w:rPr>
              <w:t>7.02</w:t>
            </w:r>
          </w:p>
        </w:tc>
      </w:tr>
      <w:tr>
        <w:tc>
          <w:tcPr>
            <w:vAlign w:val="center"/>
          </w:tcPr>
          <w:p>
            <w:pPr>
              <w:jc w:val="center"/>
            </w:pPr>
            <w:r>
              <w:rPr>
                <w:color w:val="000000"/>
                <w:sz w:val="24"/>
              </w:rPr>
              <w:t>5</w:t>
            </w:r>
          </w:p>
        </w:tc>
        <w:tc>
          <w:tcPr>
            <w:vAlign w:val="center"/>
          </w:tcPr>
          <w:p>
            <w:pPr>
              <w:jc w:val="center"/>
            </w:pPr>
            <w:r>
              <w:rPr>
                <w:color w:val="000000"/>
                <w:sz w:val="24"/>
              </w:rPr>
              <w:t>200201</w:t>
            </w:r>
          </w:p>
        </w:tc>
        <w:tc>
          <w:tcPr>
            <w:vAlign w:val="center"/>
          </w:tcPr>
          <w:p>
            <w:pPr>
              <w:jc w:val="center"/>
            </w:pPr>
            <w:r>
              <w:rPr>
                <w:color w:val="000000"/>
                <w:sz w:val="24"/>
              </w:rPr>
              <w:t>20国开01</w:t>
            </w:r>
          </w:p>
        </w:tc>
        <w:tc>
          <w:tcPr>
            <w:vAlign w:val="center"/>
          </w:tcPr>
          <w:p>
            <w:pPr>
              <w:jc w:val="right"/>
            </w:pPr>
            <w:r>
              <w:rPr>
                <w:color w:val="000000"/>
                <w:sz w:val="24"/>
              </w:rPr>
              <w:t>700,000</w:t>
            </w:r>
          </w:p>
        </w:tc>
        <w:tc>
          <w:tcPr>
            <w:vAlign w:val="center"/>
          </w:tcPr>
          <w:p>
            <w:pPr>
              <w:jc w:val="right"/>
            </w:pPr>
            <w:r>
              <w:rPr>
                <w:color w:val="000000"/>
                <w:sz w:val="24"/>
              </w:rPr>
              <w:t>70,378,471.54</w:t>
            </w:r>
          </w:p>
        </w:tc>
        <w:tc>
          <w:tcPr>
            <w:vAlign w:val="center"/>
          </w:tcPr>
          <w:p>
            <w:pPr>
              <w:jc w:val="right"/>
            </w:pPr>
            <w:r>
              <w:rPr>
                <w:color w:val="000000"/>
                <w:sz w:val="24"/>
              </w:rPr>
              <w:t>5.05</w:t>
            </w:r>
          </w:p>
        </w:tc>
      </w:tr>
      <w:tr>
        <w:tc>
          <w:tcPr>
            <w:vAlign w:val="center"/>
          </w:tcPr>
          <w:p>
            <w:pPr>
              <w:jc w:val="center"/>
            </w:pPr>
            <w:r>
              <w:rPr>
                <w:color w:val="000000"/>
                <w:sz w:val="24"/>
              </w:rPr>
              <w:t>6</w:t>
            </w:r>
          </w:p>
        </w:tc>
        <w:tc>
          <w:tcPr>
            <w:vAlign w:val="center"/>
          </w:tcPr>
          <w:p>
            <w:pPr>
              <w:jc w:val="center"/>
            </w:pPr>
            <w:r>
              <w:rPr>
                <w:color w:val="000000"/>
                <w:sz w:val="24"/>
              </w:rPr>
              <w:t>011902840</w:t>
            </w:r>
          </w:p>
        </w:tc>
        <w:tc>
          <w:tcPr>
            <w:vAlign w:val="center"/>
          </w:tcPr>
          <w:p>
            <w:pPr>
              <w:jc w:val="center"/>
            </w:pPr>
            <w:r>
              <w:rPr>
                <w:color w:val="000000"/>
                <w:sz w:val="24"/>
              </w:rPr>
              <w:t>19中航机载SCP001</w:t>
            </w:r>
          </w:p>
        </w:tc>
        <w:tc>
          <w:tcPr>
            <w:vAlign w:val="center"/>
          </w:tcPr>
          <w:p>
            <w:pPr>
              <w:jc w:val="right"/>
            </w:pPr>
            <w:r>
              <w:rPr>
                <w:color w:val="000000"/>
                <w:sz w:val="24"/>
              </w:rPr>
              <w:t>500,000</w:t>
            </w:r>
          </w:p>
        </w:tc>
        <w:tc>
          <w:tcPr>
            <w:vAlign w:val="center"/>
          </w:tcPr>
          <w:p>
            <w:pPr>
              <w:jc w:val="right"/>
            </w:pPr>
            <w:r>
              <w:rPr>
                <w:color w:val="000000"/>
                <w:sz w:val="24"/>
              </w:rPr>
              <w:t>50,070,171.80</w:t>
            </w:r>
          </w:p>
        </w:tc>
        <w:tc>
          <w:tcPr>
            <w:vAlign w:val="center"/>
          </w:tcPr>
          <w:p>
            <w:pPr>
              <w:jc w:val="right"/>
            </w:pPr>
            <w:r>
              <w:rPr>
                <w:color w:val="000000"/>
                <w:sz w:val="24"/>
              </w:rPr>
              <w:t>3.59</w:t>
            </w:r>
          </w:p>
        </w:tc>
      </w:tr>
      <w:tr>
        <w:tc>
          <w:tcPr>
            <w:vAlign w:val="center"/>
          </w:tcPr>
          <w:p>
            <w:pPr>
              <w:jc w:val="center"/>
            </w:pPr>
            <w:r>
              <w:rPr>
                <w:color w:val="000000"/>
                <w:sz w:val="24"/>
              </w:rPr>
              <w:t>7</w:t>
            </w:r>
          </w:p>
        </w:tc>
        <w:tc>
          <w:tcPr>
            <w:vAlign w:val="center"/>
          </w:tcPr>
          <w:p>
            <w:pPr>
              <w:jc w:val="center"/>
            </w:pPr>
            <w:r>
              <w:rPr>
                <w:color w:val="000000"/>
                <w:sz w:val="24"/>
              </w:rPr>
              <w:t>012000558</w:t>
            </w:r>
          </w:p>
        </w:tc>
        <w:tc>
          <w:tcPr>
            <w:vAlign w:val="center"/>
          </w:tcPr>
          <w:p>
            <w:pPr>
              <w:jc w:val="center"/>
            </w:pPr>
            <w:r>
              <w:rPr>
                <w:color w:val="000000"/>
                <w:sz w:val="24"/>
              </w:rPr>
              <w:t>20宝钢(疫情防控债)SCP003</w:t>
            </w:r>
          </w:p>
        </w:tc>
        <w:tc>
          <w:tcPr>
            <w:vAlign w:val="center"/>
          </w:tcPr>
          <w:p>
            <w:pPr>
              <w:jc w:val="right"/>
            </w:pPr>
            <w:r>
              <w:rPr>
                <w:color w:val="000000"/>
                <w:sz w:val="24"/>
              </w:rPr>
              <w:t>500,000</w:t>
            </w:r>
          </w:p>
        </w:tc>
        <w:tc>
          <w:tcPr>
            <w:vAlign w:val="center"/>
          </w:tcPr>
          <w:p>
            <w:pPr>
              <w:jc w:val="right"/>
            </w:pPr>
            <w:r>
              <w:rPr>
                <w:color w:val="000000"/>
                <w:sz w:val="24"/>
              </w:rPr>
              <w:t>50,033,626.73</w:t>
            </w:r>
          </w:p>
        </w:tc>
        <w:tc>
          <w:tcPr>
            <w:vAlign w:val="center"/>
          </w:tcPr>
          <w:p>
            <w:pPr>
              <w:jc w:val="right"/>
            </w:pPr>
            <w:r>
              <w:rPr>
                <w:color w:val="000000"/>
                <w:sz w:val="24"/>
              </w:rPr>
              <w:t>3.59</w:t>
            </w:r>
          </w:p>
        </w:tc>
      </w:tr>
      <w:tr>
        <w:tc>
          <w:tcPr>
            <w:vAlign w:val="center"/>
          </w:tcPr>
          <w:p>
            <w:pPr>
              <w:jc w:val="center"/>
            </w:pPr>
            <w:r>
              <w:rPr>
                <w:color w:val="000000"/>
                <w:sz w:val="24"/>
              </w:rPr>
              <w:t>8</w:t>
            </w:r>
          </w:p>
        </w:tc>
        <w:tc>
          <w:tcPr>
            <w:vAlign w:val="center"/>
          </w:tcPr>
          <w:p>
            <w:pPr>
              <w:jc w:val="center"/>
            </w:pPr>
            <w:r>
              <w:rPr>
                <w:color w:val="000000"/>
                <w:sz w:val="24"/>
              </w:rPr>
              <w:t>072000134</w:t>
            </w:r>
          </w:p>
        </w:tc>
        <w:tc>
          <w:tcPr>
            <w:vAlign w:val="center"/>
          </w:tcPr>
          <w:p>
            <w:pPr>
              <w:jc w:val="center"/>
            </w:pPr>
            <w:r>
              <w:rPr>
                <w:color w:val="000000"/>
                <w:sz w:val="24"/>
              </w:rPr>
              <w:t>20招商CP011BC</w:t>
            </w:r>
          </w:p>
        </w:tc>
        <w:tc>
          <w:tcPr>
            <w:vAlign w:val="center"/>
          </w:tcPr>
          <w:p>
            <w:pPr>
              <w:jc w:val="right"/>
            </w:pPr>
            <w:r>
              <w:rPr>
                <w:color w:val="000000"/>
                <w:sz w:val="24"/>
              </w:rPr>
              <w:t>500,000</w:t>
            </w:r>
          </w:p>
        </w:tc>
        <w:tc>
          <w:tcPr>
            <w:vAlign w:val="center"/>
          </w:tcPr>
          <w:p>
            <w:pPr>
              <w:jc w:val="right"/>
            </w:pPr>
            <w:r>
              <w:rPr>
                <w:color w:val="000000"/>
                <w:sz w:val="24"/>
              </w:rPr>
              <w:t>50,000,423.29</w:t>
            </w:r>
          </w:p>
        </w:tc>
        <w:tc>
          <w:tcPr>
            <w:vAlign w:val="center"/>
          </w:tcPr>
          <w:p>
            <w:pPr>
              <w:jc w:val="right"/>
            </w:pPr>
            <w:r>
              <w:rPr>
                <w:color w:val="000000"/>
                <w:sz w:val="24"/>
              </w:rPr>
              <w:t>3.59</w:t>
            </w:r>
          </w:p>
        </w:tc>
      </w:tr>
      <w:tr>
        <w:tc>
          <w:tcPr>
            <w:vAlign w:val="center"/>
          </w:tcPr>
          <w:p>
            <w:pPr>
              <w:jc w:val="center"/>
            </w:pPr>
            <w:r>
              <w:rPr>
                <w:color w:val="000000"/>
                <w:sz w:val="24"/>
              </w:rPr>
              <w:t>9</w:t>
            </w:r>
          </w:p>
        </w:tc>
        <w:tc>
          <w:tcPr>
            <w:vAlign w:val="center"/>
          </w:tcPr>
          <w:p>
            <w:pPr>
              <w:jc w:val="center"/>
            </w:pPr>
            <w:r>
              <w:rPr>
                <w:color w:val="000000"/>
                <w:sz w:val="24"/>
              </w:rPr>
              <w:t>112003016</w:t>
            </w:r>
          </w:p>
        </w:tc>
        <w:tc>
          <w:tcPr>
            <w:vAlign w:val="center"/>
          </w:tcPr>
          <w:p>
            <w:pPr>
              <w:jc w:val="center"/>
            </w:pPr>
            <w:r>
              <w:rPr>
                <w:color w:val="000000"/>
                <w:sz w:val="24"/>
              </w:rPr>
              <w:t>20农业银行CD016</w:t>
            </w:r>
          </w:p>
        </w:tc>
        <w:tc>
          <w:tcPr>
            <w:vAlign w:val="center"/>
          </w:tcPr>
          <w:p>
            <w:pPr>
              <w:jc w:val="right"/>
            </w:pPr>
            <w:r>
              <w:rPr>
                <w:color w:val="000000"/>
                <w:sz w:val="24"/>
              </w:rPr>
              <w:t>500,000</w:t>
            </w:r>
          </w:p>
        </w:tc>
        <w:tc>
          <w:tcPr>
            <w:vAlign w:val="center"/>
          </w:tcPr>
          <w:p>
            <w:pPr>
              <w:jc w:val="right"/>
            </w:pPr>
            <w:r>
              <w:rPr>
                <w:color w:val="000000"/>
                <w:sz w:val="24"/>
              </w:rPr>
              <w:t>48,913,340.57</w:t>
            </w:r>
          </w:p>
        </w:tc>
        <w:tc>
          <w:tcPr>
            <w:vAlign w:val="center"/>
          </w:tcPr>
          <w:p>
            <w:pPr>
              <w:jc w:val="right"/>
            </w:pPr>
            <w:r>
              <w:rPr>
                <w:color w:val="000000"/>
                <w:sz w:val="24"/>
              </w:rPr>
              <w:t>3.51</w:t>
            </w:r>
          </w:p>
        </w:tc>
      </w:tr>
      <w:tr>
        <w:tc>
          <w:tcPr>
            <w:vAlign w:val="center"/>
          </w:tcPr>
          <w:p>
            <w:pPr>
              <w:jc w:val="center"/>
            </w:pPr>
            <w:r>
              <w:rPr>
                <w:color w:val="000000"/>
                <w:sz w:val="24"/>
              </w:rPr>
              <w:t>10</w:t>
            </w:r>
          </w:p>
        </w:tc>
        <w:tc>
          <w:tcPr>
            <w:vAlign w:val="center"/>
          </w:tcPr>
          <w:p>
            <w:pPr>
              <w:jc w:val="center"/>
            </w:pPr>
            <w:r>
              <w:rPr>
                <w:color w:val="000000"/>
                <w:sz w:val="24"/>
              </w:rPr>
              <w:t>101782014</w:t>
            </w:r>
          </w:p>
        </w:tc>
        <w:tc>
          <w:tcPr>
            <w:vAlign w:val="center"/>
          </w:tcPr>
          <w:p>
            <w:pPr>
              <w:jc w:val="center"/>
            </w:pPr>
            <w:r>
              <w:rPr>
                <w:color w:val="000000"/>
                <w:sz w:val="24"/>
              </w:rPr>
              <w:t>17津城建MTN004</w:t>
            </w:r>
          </w:p>
        </w:tc>
        <w:tc>
          <w:tcPr>
            <w:vAlign w:val="center"/>
          </w:tcPr>
          <w:p>
            <w:pPr>
              <w:jc w:val="right"/>
            </w:pPr>
            <w:r>
              <w:rPr>
                <w:color w:val="000000"/>
                <w:sz w:val="24"/>
              </w:rPr>
              <w:t>400,000</w:t>
            </w:r>
          </w:p>
        </w:tc>
        <w:tc>
          <w:tcPr>
            <w:vAlign w:val="center"/>
          </w:tcPr>
          <w:p>
            <w:pPr>
              <w:jc w:val="right"/>
            </w:pPr>
            <w:r>
              <w:rPr>
                <w:color w:val="000000"/>
                <w:sz w:val="24"/>
              </w:rPr>
              <w:t>40,380,820.32</w:t>
            </w:r>
          </w:p>
        </w:tc>
        <w:tc>
          <w:tcPr>
            <w:vAlign w:val="center"/>
          </w:tcPr>
          <w:p>
            <w:pPr>
              <w:jc w:val="right"/>
            </w:pPr>
            <w:r>
              <w:rPr>
                <w:color w:val="000000"/>
                <w:sz w:val="24"/>
              </w:rPr>
              <w:t>2.90</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10</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0.2800%</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0.0649%</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0.1962%</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 xml:space="preserve">本基金本报告期内不存在负偏离度的绝对值达到0.25%的情况。 </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 xml:space="preserve">本基金本报告期内不存在正偏离度的绝对值达到0.5%的情况。 </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本基金本报告期末未持有资产支持证券。</w:t>
      </w:r>
    </w:p>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2020年4月20日，中国银行保险监督管理委员会对中国银行股份有限公司的如下违法违规行为作出罚款270万元的行政处罚决定：中国银行监管标准化数据（EAST）系统数据质量及数据报送存在（一）理财产品数量漏报；（二）资金交易信息漏报严重；（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color w:val="000000"/>
          <w:sz w:val="24"/>
        </w:rPr>
        <w:t>2019年12月31日，中国银行保险监督管理委员会江苏监管局对南京银行股份有限公司如下违法违规行为作出“没收违法所得137701元，处以人民币610万元罚款”的行政处罚：1.未将部分银行承担风险的业务纳入统一授信管理；2.同业投资资金违规用于支付土地出让金；3.同业投资资金违规用于上市公司定向增发；4.同业投资资金违规用于土地储备开发；5.违规为第三方金融机构同业投资业务提供信用担保；6.理财产品之间相互调节收益；7.理财资金投资非标债权资产总额超过规定上限；8.面向一般个人客户销售的理财产品违规投资权益类资产；9.理财资金与自营资金未充分隔离；10.理财投资非标业务未比照自营贷款管理；11.关联方管理不全面；12.违规向关系人发放信用贷款；13.债券投资操作不规范。</w:t>
      </w:r>
    </w:p>
    <w:p>
      <w:pPr>
        <w:widowControl/>
        <w:spacing w:line="360" w:lineRule="auto"/>
        <w:rPr>
          <w:color w:val="000000"/>
          <w:sz w:val="24"/>
        </w:rPr>
      </w:pPr>
      <w:r>
        <w:rPr>
          <w:color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color w:val="000000"/>
          <w:sz w:val="24"/>
        </w:rPr>
      </w:pPr>
      <w:r>
        <w:rPr>
          <w:color w:val="000000"/>
          <w:sz w:val="24"/>
        </w:rPr>
        <w:t>2020年4月8日，中国人民银行长春中心支行对招商证券股份有限公司长春人民大街证券营业部未按照规定履行客户身份识别义务的违法行为罚款22万元。</w:t>
      </w:r>
    </w:p>
    <w:p>
      <w:pPr>
        <w:widowControl/>
        <w:spacing w:line="360" w:lineRule="auto"/>
        <w:rPr>
          <w:color w:val="000000"/>
          <w:sz w:val="24"/>
        </w:rPr>
      </w:pPr>
      <w:r>
        <w:rPr>
          <w:color w:val="000000"/>
          <w:sz w:val="24"/>
        </w:rPr>
        <w:t>本基金投资19中国银行CD091、19农业银行CD111、20南京银行CD070、20交通银行CD020、20招商CP011BC、 20农业银行CD016的投资决策程序符合公司投资制度的规定。</w:t>
      </w:r>
    </w:p>
    <w:p>
      <w:pPr>
        <w:widowControl/>
        <w:spacing w:line="360" w:lineRule="auto"/>
        <w:rPr>
          <w:color w:val="000000"/>
          <w:sz w:val="24"/>
        </w:rPr>
      </w:pPr>
      <w:r>
        <w:rPr>
          <w:color w:val="000000"/>
          <w:sz w:val="24"/>
        </w:rPr>
        <w:t>除19中国银行CD091、19农业银行CD111、20南京银行CD070、20交通银行CD020、20招商CP011BC、 20农业银行CD016外，本基金投资的前十名证券的发行主体本期没有出现被监管部门立案调查，或在报告编制日前一年内受到公开谴责、处罚的情形。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17,684.90</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5,886,786.42</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5,904,471.32</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易方达掌柜季季盈理财债券A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易方达掌柜季季盈理财债券B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易方达掌柜季季盈理财债券C</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60,974,680.93</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2,958,653,662.24</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1,357,132.05</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312,662.87</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13,436,175.44</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6,924.09</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14,383,429.20</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1,625,465,922.75</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1,063,044.66</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46,903,914.60</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1,346,623,914.93</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301,011.48</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本报告期内基金管理人未运用固有资金申购、赎回、买卖本基金份额。</w:t>
      </w:r>
    </w:p>
    <w:p w:rsidP="00A74DD3" w:rsidR="00A74DD3" w:rsidRDefault="00A74DD3"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§8</w:t>
      </w:r>
      <w:r w:rsidR="004F459B" w:rsidRPr="0097021E">
        <w:rPr>
          <w:rFonts w:ascii="宋体" w:cs="Arial"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53782E" w:rsidR="0053782E" w:rsidRDefault="0053782E"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709"/>
        <w:gridCol w:w="709"/>
        <w:gridCol w:w="2126"/>
        <w:gridCol w:w="1276"/>
        <w:gridCol w:w="1276"/>
        <w:gridCol w:w="1276"/>
        <w:gridCol w:w="1417"/>
        <w:gridCol w:w="851"/>
      </w:tblGrid>
      <w:tr w:rsidR="00086731" w:rsidRPr="00FC0759" w:rsidTr="00086731">
        <w:trPr>
          <w:jc w:val="center"/>
        </w:trPr>
        <w:tc>
          <w:tcPr>
            <w:tcW w:type="dxa" w:w="709"/>
            <w:vMerge w:val="restart"/>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投资者类别</w:t>
            </w:r>
            <w:r w:rsidRPr="00086731">
              <w:rPr>
                <w:rFonts w:eastAsia="仿宋"/>
                <w:color w:val="000000"/>
                <w:sz w:val="24"/>
              </w:rPr>
              <w:t/>
            </w:r>
          </w:p>
        </w:tc>
        <w:tc>
          <w:tcPr>
            <w:tcW w:type="dxa" w:w="6663"/>
            <w:gridSpan w:val="5"/>
            <w:shd w:color="auto" w:fill="auto" w:val="clear"/>
            <w:vAlign w:val="center"/>
          </w:tcPr>
          <w:p w:rsidP="00086731" w:rsidR="0053782E" w:rsidRDefault="0053782E" w:rsidRPr="00086731">
            <w:pPr>
              <w:autoSpaceDE w:val="0"/>
              <w:autoSpaceDN w:val="0"/>
              <w:adjustRightInd w:val="0"/>
              <w:ind w:firstLine="1126"/>
              <w:jc w:val="center"/>
              <w:rPr>
                <w:b/>
                <w:bCs/>
                <w:color w:val="000000"/>
                <w:sz w:val="24"/>
              </w:rPr>
            </w:pPr>
            <w:r w:rsidRPr="00086731">
              <w:rPr>
                <w:color w:val="000000"/>
                <w:sz w:val="24"/>
              </w:rPr>
              <w:t>报告期内持有基金份额变化情况</w:t>
            </w:r>
          </w:p>
        </w:tc>
        <w:tc>
          <w:tcPr>
            <w:tcW w:type="dxa" w:w="2268"/>
            <w:gridSpan w:val="2"/>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报告期末持有基金情况</w:t>
            </w:r>
          </w:p>
        </w:tc>
      </w:tr>
      <w:tr w:rsidR="00086731" w:rsidRPr="00FC0759" w:rsidTr="00086731">
        <w:trPr>
          <w:jc w:val="center"/>
        </w:trPr>
        <w:tc>
          <w:tcPr>
            <w:tcW w:type="dxa" w:w="709"/>
            <w:vMerge/>
            <w:shd w:color="auto" w:fill="auto" w:val="clear"/>
            <w:vAlign w:val="center"/>
          </w:tcPr>
          <w:p w:rsidP="00086731" w:rsidR="0053782E" w:rsidRDefault="0053782E" w:rsidRPr="00086731">
            <w:pPr>
              <w:autoSpaceDE w:val="0"/>
              <w:autoSpaceDN w:val="0"/>
              <w:adjustRightInd w:val="0"/>
              <w:ind w:firstLine="1234"/>
              <w:jc w:val="center"/>
              <w:rPr>
                <w:b/>
                <w:bCs/>
                <w:color w:val="000000"/>
                <w:sz w:val="24"/>
              </w:rPr>
            </w:pPr>
          </w:p>
        </w:tc>
        <w:tc>
          <w:tcPr>
            <w:tcW w:type="dxa" w:w="709"/>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序号</w:t>
            </w:r>
          </w:p>
        </w:tc>
        <w:tc>
          <w:tcPr>
            <w:tcW w:type="dxa" w:w="2126"/>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持有基金份额比例达到或者超过</w:t>
            </w:r>
            <w:r w:rsidRPr="00086731">
              <w:rPr>
                <w:color w:val="000000"/>
                <w:sz w:val="24"/>
              </w:rPr>
              <w:t>20%</w:t>
            </w:r>
            <w:r w:rsidRPr="00086731">
              <w:rPr>
                <w:color w:val="000000"/>
                <w:sz w:val="24"/>
              </w:rPr>
              <w:t>的时间区间</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期初份额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申购份额</w:t>
            </w:r>
          </w:p>
        </w:tc>
        <w:tc>
          <w:tcPr>
            <w:tcW w:type="dxa" w:w="1276"/>
            <w:shd w:color="auto" w:fill="auto" w:val="clear"/>
            <w:vAlign w:val="center"/>
          </w:tcPr>
          <w:p w:rsidP="00086731" w:rsidR="0053782E" w:rsidRDefault="0053782E" w:rsidRPr="00086731">
            <w:pPr>
              <w:widowControl/>
              <w:rPr>
                <w:b/>
                <w:bCs/>
                <w:color w:val="000000"/>
                <w:sz w:val="24"/>
              </w:rPr>
            </w:pPr>
            <w:r w:rsidRPr="00086731">
              <w:rPr>
                <w:color w:val="000000"/>
                <w:sz w:val="24"/>
              </w:rPr>
              <w:t>赎回份额</w:t>
            </w:r>
          </w:p>
        </w:tc>
        <w:tc>
          <w:tcPr>
            <w:tcW w:type="dxa" w:w="1417"/>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持有份额</w:t>
            </w:r>
          </w:p>
        </w:tc>
        <w:tc>
          <w:tcPr>
            <w:tcW w:type="dxa" w:w="851"/>
            <w:shd w:color="auto" w:fill="auto" w:val="clear"/>
            <w:vAlign w:val="center"/>
          </w:tcPr>
          <w:p w:rsidP="00086731" w:rsidR="0053782E" w:rsidRDefault="0053782E" w:rsidRPr="00086731">
            <w:pPr>
              <w:autoSpaceDE w:val="0"/>
              <w:autoSpaceDN w:val="0"/>
              <w:adjustRightInd w:val="0"/>
              <w:jc w:val="center"/>
              <w:rPr>
                <w:b/>
                <w:bCs/>
                <w:color w:val="000000"/>
                <w:sz w:val="24"/>
              </w:rPr>
            </w:pPr>
            <w:r w:rsidRPr="00086731">
              <w:rPr>
                <w:color w:val="000000"/>
                <w:sz w:val="24"/>
              </w:rPr>
              <w:t>份额占比</w:t>
            </w:r>
          </w:p>
        </w:tc>
      </w:tr>
      <w:tr>
        <w:tc>
          <w:tcPr>
            <w:vMerge w:val="restart"/>
            <w:vAlign w:val="center"/>
          </w:tcPr>
          <w:p>
            <w:r>
              <w:rPr>
                <w:bCs/>
                <w:color w:val="000000"/>
                <w:sz w:val="24"/>
              </w:rPr>
              <w:t>机构</w:t>
            </w:r>
          </w:p>
        </w:tc>
        <w:tc>
          <w:tcPr>
            <w:vAlign w:val="center"/>
          </w:tcPr>
          <w:p>
            <w:pPr>
              <w:jc w:val="center"/>
            </w:pPr>
            <w:r>
              <w:rPr>
                <w:sz w:val="24"/>
              </w:rPr>
              <w:t>1</w:t>
            </w:r>
          </w:p>
        </w:tc>
        <w:tc>
          <w:tcPr>
            <w:vAlign w:val="center"/>
          </w:tcPr>
          <w:p>
            <w:pPr>
              <w:jc w:val="center"/>
            </w:pPr>
            <w:r>
              <w:rPr>
                <w:sz w:val="24"/>
              </w:rPr>
              <w:t>2020年05月07日~2020年06月30日</w:t>
            </w:r>
          </w:p>
        </w:tc>
        <w:tc>
          <w:tcPr>
            <w:vAlign w:val="center"/>
          </w:tcPr>
          <w:p>
            <w:pPr>
              <w:jc w:val="center"/>
            </w:pPr>
            <w:r>
              <w:rPr>
                <w:sz w:val="24"/>
              </w:rPr>
              <w:t>534,384,983.60</w:t>
            </w:r>
          </w:p>
        </w:tc>
        <w:tc>
          <w:tcPr>
            <w:vAlign w:val="center"/>
          </w:tcPr>
          <w:p>
            <w:pPr>
              <w:jc w:val="center"/>
            </w:pPr>
            <w:r>
              <w:rPr>
                <w:sz w:val="24"/>
              </w:rPr>
              <w:t>3,215,153.47</w:t>
            </w:r>
          </w:p>
        </w:tc>
        <w:tc>
          <w:tcPr>
            <w:vAlign w:val="center"/>
          </w:tcPr>
          <w:p>
            <w:pPr>
              <w:jc w:val="center"/>
            </w:pPr>
            <w:r>
              <w:rPr>
                <w:sz w:val="24"/>
              </w:rPr>
              <w:t>-</w:t>
            </w:r>
          </w:p>
        </w:tc>
        <w:tc>
          <w:tcPr>
            <w:vAlign w:val="center"/>
          </w:tcPr>
          <w:p>
            <w:pPr>
              <w:jc w:val="center"/>
            </w:pPr>
            <w:r>
              <w:rPr>
                <w:sz w:val="24"/>
              </w:rPr>
              <w:t>537,600,137.07</w:t>
            </w:r>
          </w:p>
        </w:tc>
        <w:tc>
          <w:tcPr>
            <w:vAlign w:val="center"/>
          </w:tcPr>
          <w:p>
            <w:pPr>
              <w:jc w:val="center"/>
            </w:pPr>
            <w:r>
              <w:rPr>
                <w:sz w:val="24"/>
              </w:rPr>
              <w:t>38.57%</w:t>
            </w:r>
          </w:p>
        </w:tc>
      </w:tr>
      <w:tr>
        <w:tc>
          <w:tcPr>
            <w:vMerge/>
          </w:tcPr>
          <w:p/>
        </w:tc>
        <w:tc>
          <w:tcPr>
            <w:vAlign w:val="center"/>
          </w:tcPr>
          <w:p>
            <w:pPr>
              <w:jc w:val="center"/>
            </w:pPr>
            <w:r>
              <w:rPr>
                <w:sz w:val="24"/>
              </w:rPr>
              <w:t>2</w:t>
            </w:r>
          </w:p>
        </w:tc>
        <w:tc>
          <w:tcPr>
            <w:vAlign w:val="center"/>
          </w:tcPr>
          <w:p>
            <w:pPr>
              <w:jc w:val="center"/>
            </w:pPr>
            <w:r>
              <w:rPr>
                <w:sz w:val="24"/>
              </w:rPr>
              <w:t>2020年05月07日~2020年06月30日</w:t>
            </w:r>
          </w:p>
        </w:tc>
        <w:tc>
          <w:tcPr>
            <w:vAlign w:val="center"/>
          </w:tcPr>
          <w:p>
            <w:pPr>
              <w:jc w:val="center"/>
            </w:pPr>
            <w:r>
              <w:rPr>
                <w:sz w:val="24"/>
              </w:rPr>
              <w:t>534,072,190.28</w:t>
            </w:r>
          </w:p>
        </w:tc>
        <w:tc>
          <w:tcPr>
            <w:vAlign w:val="center"/>
          </w:tcPr>
          <w:p>
            <w:pPr>
              <w:jc w:val="center"/>
            </w:pPr>
            <w:r>
              <w:rPr>
                <w:sz w:val="24"/>
              </w:rPr>
              <w:t>3,091,621.38</w:t>
            </w:r>
          </w:p>
        </w:tc>
        <w:tc>
          <w:tcPr>
            <w:vAlign w:val="center"/>
          </w:tcPr>
          <w:p>
            <w:pPr>
              <w:jc w:val="center"/>
            </w:pPr>
            <w:r>
              <w:rPr>
                <w:sz w:val="24"/>
              </w:rPr>
              <w:t>-</w:t>
            </w:r>
          </w:p>
        </w:tc>
        <w:tc>
          <w:tcPr>
            <w:vAlign w:val="center"/>
          </w:tcPr>
          <w:p>
            <w:pPr>
              <w:jc w:val="center"/>
            </w:pPr>
            <w:r>
              <w:rPr>
                <w:sz w:val="24"/>
              </w:rPr>
              <w:t>537,163,811.66</w:t>
            </w:r>
          </w:p>
        </w:tc>
        <w:tc>
          <w:tcPr>
            <w:vAlign w:val="center"/>
          </w:tcPr>
          <w:p>
            <w:pPr>
              <w:jc w:val="center"/>
            </w:pPr>
            <w:r>
              <w:rPr>
                <w:sz w:val="24"/>
              </w:rPr>
              <w:t>38.54%</w:t>
            </w:r>
          </w:p>
        </w:tc>
      </w:tr>
      <w:tr>
        <w:tc>
          <w:tcPr>
            <w:vMerge/>
          </w:tcPr>
          <w:p/>
        </w:tc>
        <w:tc>
          <w:tcPr>
            <w:vAlign w:val="center"/>
          </w:tcPr>
          <w:p>
            <w:pPr>
              <w:jc w:val="center"/>
            </w:pPr>
            <w:r>
              <w:rPr>
                <w:sz w:val="24"/>
              </w:rPr>
              <w:t>3</w:t>
            </w:r>
          </w:p>
        </w:tc>
        <w:tc>
          <w:tcPr>
            <w:vAlign w:val="center"/>
          </w:tcPr>
          <w:p>
            <w:pPr>
              <w:jc w:val="center"/>
            </w:pPr>
            <w:r>
              <w:rPr>
                <w:sz w:val="24"/>
              </w:rPr>
              <w:t>2020年05月07日~2020年06月29日</w:t>
            </w:r>
          </w:p>
        </w:tc>
        <w:tc>
          <w:tcPr>
            <w:vAlign w:val="center"/>
          </w:tcPr>
          <w:p>
            <w:pPr>
              <w:jc w:val="center"/>
            </w:pPr>
            <w:r>
              <w:rPr>
                <w:sz w:val="24"/>
              </w:rPr>
              <w:t>527,673,480.14</w:t>
            </w:r>
          </w:p>
        </w:tc>
        <w:tc>
          <w:tcPr>
            <w:vAlign w:val="center"/>
          </w:tcPr>
          <w:p>
            <w:pPr>
              <w:jc w:val="center"/>
            </w:pPr>
            <w:r>
              <w:rPr>
                <w:sz w:val="24"/>
              </w:rPr>
              <w:t>-</w:t>
            </w:r>
          </w:p>
        </w:tc>
        <w:tc>
          <w:tcPr>
            <w:vAlign w:val="center"/>
          </w:tcPr>
          <w:p>
            <w:pPr>
              <w:jc w:val="center"/>
            </w:pPr>
            <w:r>
              <w:rPr>
                <w:sz w:val="24"/>
              </w:rPr>
              <w:t>527,673,480.14</w:t>
            </w:r>
          </w:p>
        </w:tc>
        <w:tc>
          <w:tcPr>
            <w:vAlign w:val="center"/>
          </w:tcPr>
          <w:p>
            <w:pPr>
              <w:jc w:val="center"/>
            </w:pPr>
            <w:r>
              <w:rPr>
                <w:sz w:val="24"/>
              </w:rPr>
              <w:t>-</w:t>
            </w:r>
          </w:p>
        </w:tc>
        <w:tc>
          <w:tcPr>
            <w:vAlign w:val="center"/>
          </w:tcPr>
          <w:p>
            <w:pPr>
              <w:jc w:val="center"/>
            </w:pPr>
            <w:r>
              <w:rPr>
                <w:sz w:val="24"/>
              </w:rPr>
              <w:t>-</w:t>
            </w:r>
          </w:p>
        </w:tc>
      </w:tr>
    </w:tbl>
    <w:tbl>
      <w:tblPr>
        <w:tblW w:type="dxa" w:w="963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9637"/>
      </w:tblGrid>
      <w:tr w:rsidR="0053782E" w:rsidRPr="00FC0759" w:rsidTr="00086731">
        <w:trPr>
          <w:jc w:val="center"/>
        </w:trPr>
        <w:tc>
          <w:tcPr>
            <w:tcW w:type="dxa" w:w="9637"/>
            <w:shd w:color="auto" w:fill="auto" w:val="clear"/>
            <w:vAlign w:val="center"/>
          </w:tcPr>
          <w:p w:rsidP="00B65C2B" w:rsidR="0053782E" w:rsidRDefault="0053782E" w:rsidRPr="00086731">
            <w:pPr>
              <w:autoSpaceDE w:val="0"/>
              <w:autoSpaceDN w:val="0"/>
              <w:adjustRightInd w:val="0"/>
              <w:jc w:val="center"/>
              <w:rPr>
                <w:sz w:val="24"/>
              </w:rPr>
            </w:pPr>
            <w:r w:rsidRPr="00086731">
              <w:rPr>
                <w:color w:val="000000"/>
                <w:sz w:val="24"/>
              </w:rPr>
              <w:lastRenderedPageBreak/>
              <w:t>产品特有风险</w:t>
            </w:r>
            <w:r w:rsidRPr="00086731">
              <w:rPr>
                <w:sz w:val="24"/>
              </w:rPr>
              <w:t/>
            </w:r>
          </w:p>
        </w:tc>
      </w:tr>
      <w:tr w:rsidR="0053782E" w:rsidRPr="00FC0759" w:rsidTr="00086731">
        <w:trPr>
          <w:jc w:val="center"/>
        </w:trPr>
        <w:tc>
          <w:tcPr>
            <w:tcW w:type="dxa" w:w="9637"/>
            <w:shd w:color="auto" w:fill="auto" w:val="clear"/>
            <w:vAlign w:val="center"/>
          </w:tcPr>
          <w:p w:rsidP="00086731" w:rsidR="0053782E" w:rsidRDefault="0053782E" w:rsidRPr="00086731">
            <w:pPr>
              <w:autoSpaceDE w:val="0"/>
              <w:autoSpaceDN w:val="0"/>
              <w:adjustRightInd w:val="0"/>
              <w:jc w:val="left"/>
              <w:rPr>
                <w:sz w:val="24"/>
              </w:rPr>
            </w:pPr>
            <w:r w:rsidRPr="00086731">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53782E" w:rsidR="0053782E" w:rsidRDefault="0053782E"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8.2 影响投资者决策的其他重要信息</w:t>
      </w:r>
    </w:p>
    <w:p w:rsidP="0053782E" w:rsidR="00EA3F40" w:rsidRDefault="0053782E" w:rsidRPr="001752C7">
      <w:pPr>
        <w:adjustRightInd w:val="0"/>
        <w:spacing w:line="360" w:lineRule="auto"/>
        <w:ind w:firstLine="480" w:firstLineChars="200"/>
        <w:rPr>
          <w:color w:val="000000"/>
          <w:sz w:val="24"/>
        </w:rPr>
      </w:pPr>
      <w:r w:rsidRPr="0053782E">
        <w:rPr>
          <w:color w:val="000000"/>
          <w:sz w:val="24"/>
        </w:rPr>
        <w:t>根据《关于规范金融机构资产管理业务的指导意见》（以下简称《资管新规》）要求，资产管理产品以摊余成本进行计量需满足产品为封闭式产品等条件，本基金将在《资管新规》规定的过渡期结束前（即2020年12月31日前）进行整改规范，请投资者关注相关风险以及基金管理人届时发布的相关公告。</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9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1.中国证监会准予易方达掌柜季季盈理财债券型证券投资基金注册的文件；</w:t>
      </w:r>
    </w:p>
    <w:p>
      <w:pPr>
        <w:adjustRightInd w:val="0"/>
        <w:spacing w:line="360" w:lineRule="auto"/>
        <w:ind w:firstLine="480" w:firstLineChars="200"/>
        <w:rPr>
          <w:color w:val="000000"/>
          <w:sz w:val="24"/>
        </w:rPr>
      </w:pPr>
      <w:r>
        <w:rPr>
          <w:color w:val="000000"/>
          <w:sz w:val="24"/>
        </w:rPr>
        <w:t>2.《易方达掌柜季季盈理财债券型证券投资基金基金合同》；</w:t>
      </w:r>
    </w:p>
    <w:p>
      <w:pPr>
        <w:adjustRightInd w:val="0"/>
        <w:spacing w:line="360" w:lineRule="auto"/>
        <w:ind w:firstLine="480" w:firstLineChars="200"/>
        <w:rPr>
          <w:color w:val="000000"/>
          <w:sz w:val="24"/>
        </w:rPr>
      </w:pPr>
      <w:r>
        <w:rPr>
          <w:color w:val="000000"/>
          <w:sz w:val="24"/>
        </w:rPr>
        <w:t>3.《易方达掌柜季季盈理财债券型证券投资基金托管协议》；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易方达掌柜季季盈理财债券型证券投资基金2020年第2季度报告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