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02085F" w:rsidR="00941F6C" w:rsidRDefault="00941F6C" w:rsidRPr="0097021E">
      <w:pPr>
        <w:spacing w:line="360" w:lineRule="auto"/>
        <w:jc w:val="center"/>
        <w:rPr>
          <w:rFonts w:ascii="宋体" w:hAnsi="宋体"/>
          <w:b/>
          <w:sz w:val="36"/>
          <w:szCs w:val="36"/>
        </w:rPr>
      </w:pPr>
      <w:r w:rsidRPr="0097021E">
        <w:rPr>
          <w:rFonts w:ascii="宋体"/>
          <w:b/>
          <w:sz w:val="36"/>
          <w:szCs w:val="36"/>
        </w:rPr>
        <w:t/>
      </w:r>
      <w:proofErr w:type="spellStart"/>
      <w:proofErr w:type="gramStart"/>
      <w:r w:rsidRPr="0097021E">
        <w:rPr>
          <w:rFonts w:ascii="宋体" w:hAnsi="宋体"/>
          <w:b/>
          <w:sz w:val="36"/>
          <w:szCs w:val="36"/>
        </w:rPr>
        <w:t/>
      </w:r>
      <w:proofErr w:type="spellEnd"/>
      <w:proofErr w:type="gramEnd"/>
      <w:r w:rsidRPr="0097021E">
        <w:rPr>
          <w:rFonts w:ascii="宋体" w:hAnsi="宋体"/>
          <w:b/>
          <w:sz w:val="36"/>
          <w:szCs w:val="36"/>
        </w:rPr>
        <w:t>易方达天天发货币市场基金</w:t>
      </w:r>
    </w:p>
    <w:p w:rsidP="0002085F" w:rsidR="00941F6C" w:rsidRDefault="00941F6C" w:rsidRPr="0097021E">
      <w:pPr>
        <w:spacing w:line="360" w:lineRule="auto"/>
        <w:jc w:val="center"/>
        <w:rPr>
          <w:rFonts w:ascii="宋体" w:hAnsi="宋体"/>
          <w:b/>
          <w:sz w:val="36"/>
          <w:szCs w:val="36"/>
        </w:rPr>
      </w:pPr>
      <w:r w:rsidRPr="0097021E">
        <w:rPr>
          <w:rFonts w:ascii="宋体" w:hAnsi="宋体"/>
          <w:b/>
          <w:sz w:val="36"/>
          <w:szCs w:val="36"/>
        </w:rPr>
        <w:t/>
      </w:r>
      <w:proofErr w:type="spellStart"/>
      <w:r w:rsidRPr="0097021E">
        <w:rPr>
          <w:rFonts w:ascii="宋体" w:hAnsi="宋体"/>
          <w:b/>
          <w:sz w:val="36"/>
          <w:szCs w:val="36"/>
        </w:rPr>
        <w:t/>
      </w:r>
      <w:proofErr w:type="spellEnd"/>
      <w:r w:rsidRPr="0097021E">
        <w:rPr>
          <w:rFonts w:ascii="宋体" w:hAnsi="宋体"/>
          <w:b/>
          <w:sz w:val="36"/>
          <w:szCs w:val="36"/>
        </w:rPr>
        <w:t>2020年第2季度报告</w:t>
      </w:r>
    </w:p>
    <w:p w:rsidP="0002085F" w:rsidR="00941F6C" w:rsidRDefault="00941F6C" w:rsidRPr="004F32E4">
      <w:pPr>
        <w:spacing w:line="360" w:lineRule="auto"/>
        <w:jc w:val="center"/>
        <w:rPr>
          <w:rFonts w:ascii="宋体" w:hAnsi="宋体"/>
          <w:b/>
          <w:sz w:val="24"/>
          <w:szCs w:val="36"/>
        </w:rPr>
      </w:pPr>
      <w:r w:rsidRPr="004F32E4">
        <w:rPr>
          <w:rFonts w:ascii="宋体"/>
          <w:b/>
          <w:sz w:val="24"/>
          <w:szCs w:val="36"/>
        </w:rPr>
        <w:t/>
      </w:r>
      <w:proofErr w:type="spellStart"/>
      <w:proofErr w:type="gramStart"/>
      <w:r w:rsidRPr="004F32E4">
        <w:rPr>
          <w:rFonts w:ascii="宋体" w:hAnsi="宋体"/>
          <w:b/>
          <w:sz w:val="24"/>
          <w:szCs w:val="36"/>
        </w:rPr>
        <w:t/>
      </w:r>
      <w:proofErr w:type="spellEnd"/>
      <w:proofErr w:type="gramEnd"/>
      <w:r w:rsidRPr="004F32E4">
        <w:rPr>
          <w:rFonts w:ascii="宋体" w:hAnsi="宋体"/>
          <w:b/>
          <w:sz w:val="24"/>
          <w:szCs w:val="36"/>
        </w:rPr>
        <w:t>2020年6月30日</w:t>
      </w: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rPr>
          <w:rFonts w:ascii="宋体"/>
          <w:b/>
          <w:color w:val="000000"/>
          <w:sz w:val="24"/>
        </w:rPr>
      </w:pPr>
    </w:p>
    <w:p w:rsidP="00DC22A1" w:rsidR="00941F6C" w:rsidRDefault="00941F6C"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易方达基金管理有限公司</w:t>
      </w:r>
    </w:p>
    <w:p w:rsidP="00DC22A1" w:rsidR="00941F6C" w:rsidRDefault="00941F6C"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广发银行股份有限公司</w:t>
      </w:r>
    </w:p>
    <w:p w:rsidP="00DC22A1" w:rsidR="00941F6C" w:rsidRDefault="00941F6C" w:rsidRPr="0097021E">
      <w:pPr>
        <w:spacing w:line="360" w:lineRule="auto"/>
        <w:ind w:firstLine="2168" w:firstLineChars="900"/>
        <w:rPr>
          <w:rFonts w:ascii="宋体" w:hAnsi="宋体"/>
          <w:b/>
          <w:color w:val="000000"/>
          <w:sz w:val="24"/>
        </w:rPr>
        <w:sectPr w:rsidR="00941F6C"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二〇二〇年七月二十一日</w:t>
      </w:r>
    </w:p>
    <w:p w:rsidP="00CE0B87" w:rsidR="00941F6C" w:rsidRDefault="00941F6C"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基金托管人广发银行股份有限公司根据本基金合同规定，于2020年7月17日复核了本报告中的财务指标、净值表现和投资组合报告等内容，保证复核内容不存在虚假记载、误导性陈述或者重大遗漏。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DC22A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proofErr w:type="gramStart"/>
      <w:r w:rsidRPr="00A15461">
        <w:rPr>
          <w:color w:val="000000"/>
          <w:sz w:val="24"/>
        </w:rPr>
        <w:t/>
      </w:r>
      <w:proofErr w:type="spellEnd"/>
      <w:proofErr w:type="gramEnd"/>
      <w:r w:rsidRPr="00A15461">
        <w:rPr>
          <w:color w:val="000000"/>
          <w:sz w:val="24"/>
        </w:rPr>
        <w:t>本报告期自2020年4月1日起至6月30日止。</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941F6C" w:rsidRPr="0097021E" w:rsidTr="00F11244">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基金简称</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易方达天天发货币</w:t>
            </w:r>
          </w:p>
        </w:tc>
      </w:tr>
      <w:tr w:rsidR="00941F6C" w:rsidRPr="0097021E" w:rsidTr="00D06255">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基金主代码</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000829</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基金运作方式</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契约型开放式</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基金合同生效日</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2017年2月16日</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报告期末基金份额总额</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10,715,657,128.45</w:t>
            </w:r>
            <w:r w:rsidRPr="00A15461">
              <w:rPr>
                <w:color w:val="000000"/>
                <w:kern w:val="0"/>
                <w:sz w:val="24"/>
              </w:rPr>
              <w:t>份</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投资目标</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在有效控制投资风险和保持高流动性的基础上，力争获得高于业绩比较基准的投资回报。</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投资策略</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本基金将对基金资产组合进行积极管理，在深入研究国内外的宏观经济走势、货币政策变化趋势、市场资金供求状况的基础上，综合考虑各类投资品种的收益性、流动性和风险特征，力争获得高于业绩比较基准的投资回报。银行存款及同业存单是本基金重要的投资对象。对于银行存款及同业存单的投资，本基金根据宏观经济指标分析债券类资产和银行存款的预期收益率水平，制定和调整银行存款及同业存单投资比例、存款期限等。本基金对利率品种的投资，是在对国内、国外经济趋势进行分析和预测基础上，结合利率期限结构变化趋势和债券市场供求关系变化，据此确定组合的平均久期。在确定组合平均久期后，本基金对债券的期限结构进行分析，选择合适的期限结构配置策略，在合理控制风险的前提下，综合考虑组合的流动性，决定投资品种。</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业绩比较基准</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中国人民银行公布的七天通知存款利率（税后）</w:t>
            </w:r>
          </w:p>
        </w:tc>
      </w:tr>
      <w:tr w:rsidR="00941F6C" w:rsidRPr="0097021E" w:rsidTr="00F11244">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风险收益特征</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roofErr w:type="spellStart"/>
            <w:r w:rsidRPr="00A15461">
              <w:rPr>
                <w:color w:val="000000"/>
                <w:kern w:val="0"/>
                <w:sz w:val="24"/>
              </w:rPr>
              <w:t/>
            </w:r>
            <w:proofErr w:type="spellEnd"/>
            <w:r w:rsidRPr="00A15461">
              <w:rPr>
                <w:color w:val="000000"/>
                <w:kern w:val="0"/>
                <w:sz w:val="24"/>
              </w:rPr>
              <w:t>本基金为货币市场基金，是证券投资基金中的低风险品种。本基金的预期风险和预期收益低于股票型基金、混合型基金和债券型基金。</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基金管理人</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易方达基金管理有限公司</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基金托管人</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广发银行股份有限公司</w:t>
            </w:r>
          </w:p>
        </w:tc>
      </w:tr>
      <w:tr w:rsidR="00941F6C" w:rsidRPr="0097021E" w:rsidTr="00F11244">
        <w:tc>
          <w:tcPr>
            <w:tcW w:type="dxa" w:w="2835"/>
          </w:tcPr>
          <w:p w:rsidP="00607D19" w:rsidR="00941F6C" w:rsidRDefault="00941F6C" w:rsidRPr="00A15461">
            <w:pPr>
              <w:adjustRightInd w:val="0"/>
              <w:spacing w:before="29" w:line="360" w:lineRule="auto"/>
              <w:ind w:left="17"/>
              <w:jc w:val="left"/>
              <w:rPr>
                <w:kern w:val="0"/>
                <w:sz w:val="24"/>
              </w:rPr>
            </w:pPr>
            <w:r w:rsidRPr="00A15461">
              <w:rPr>
                <w:color w:val="000000"/>
                <w:sz w:val="24"/>
              </w:rPr>
              <w:t>下属</w:t>
            </w:r>
            <w:r w:rsidR="00607D19" w:rsidRPr="00A15461">
              <w:rPr>
                <w:color w:val="000000"/>
                <w:sz w:val="24"/>
              </w:rPr>
              <w:t>分</w:t>
            </w:r>
            <w:r w:rsidRPr="00A15461">
              <w:rPr>
                <w:color w:val="000000"/>
                <w:sz w:val="24"/>
              </w:rPr>
              <w:t>级基金的基金简称</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易方达天天发货币A</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易方达天天发货币B</w:t>
            </w:r>
          </w:p>
        </w:tc>
      </w:tr>
      <w:tr w:rsidR="00941F6C" w:rsidRPr="0097021E" w:rsidTr="00F11244">
        <w:tc>
          <w:tcPr>
            <w:tcW w:type="dxa" w:w="2835"/>
          </w:tcPr>
          <w:p w:rsidP="00607D19" w:rsidR="00941F6C" w:rsidRDefault="00941F6C" w:rsidRPr="00A15461">
            <w:pPr>
              <w:adjustRightInd w:val="0"/>
              <w:spacing w:before="29" w:line="360" w:lineRule="auto"/>
              <w:ind w:left="17"/>
              <w:jc w:val="left"/>
              <w:rPr>
                <w:color w:val="000000"/>
                <w:sz w:val="24"/>
              </w:rPr>
            </w:pPr>
            <w:r w:rsidRPr="00A15461">
              <w:rPr>
                <w:color w:val="000000"/>
                <w:sz w:val="24"/>
              </w:rPr>
              <w:lastRenderedPageBreak/>
              <w:t>下属</w:t>
            </w:r>
            <w:r w:rsidR="00607D19" w:rsidRPr="00A15461">
              <w:rPr>
                <w:color w:val="000000"/>
                <w:sz w:val="24"/>
              </w:rPr>
              <w:t>分</w:t>
            </w:r>
            <w:r w:rsidRPr="00A15461">
              <w:rPr>
                <w:color w:val="000000"/>
                <w:sz w:val="24"/>
              </w:rPr>
              <w:t>级基金的交易代码</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000829</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000830</w:t>
            </w:r>
          </w:p>
        </w:tc>
      </w:tr>
      <w:tr w:rsidR="00941F6C" w:rsidRPr="0097021E" w:rsidTr="00F11244">
        <w:tc>
          <w:tcPr>
            <w:tcW w:type="dxa" w:w="2835"/>
          </w:tcPr>
          <w:p w:rsidP="00607D19" w:rsidR="00941F6C" w:rsidRDefault="00941F6C" w:rsidRPr="00A15461">
            <w:pPr>
              <w:adjustRightInd w:val="0"/>
              <w:spacing w:before="29" w:line="360" w:lineRule="auto"/>
              <w:ind w:left="17"/>
              <w:jc w:val="left"/>
              <w:rPr>
                <w:color w:val="000000"/>
                <w:sz w:val="24"/>
              </w:rPr>
            </w:pPr>
            <w:r w:rsidRPr="00A15461">
              <w:rPr>
                <w:color w:val="000000"/>
                <w:sz w:val="24"/>
              </w:rPr>
              <w:t>报告期末下属</w:t>
            </w:r>
            <w:r w:rsidR="00607D19" w:rsidRPr="00A15461">
              <w:rPr>
                <w:color w:val="000000"/>
                <w:sz w:val="24"/>
              </w:rPr>
              <w:t>分</w:t>
            </w:r>
            <w:r w:rsidRPr="00A15461">
              <w:rPr>
                <w:color w:val="000000"/>
                <w:sz w:val="24"/>
              </w:rPr>
              <w:t>级基金的份额总额</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color w:val="000000"/>
                <w:kern w:val="0"/>
                <w:sz w:val="24"/>
              </w:rPr>
              <w:t/>
            </w:r>
            <w:proofErr w:type="spellEnd"/>
            <w:r w:rsidRPr="00A15461">
              <w:rPr>
                <w:sz w:val="24"/>
              </w:rPr>
              <w:t>538,524,418.48</w:t>
            </w:r>
            <w:r w:rsidRPr="00A15461">
              <w:rPr>
                <w:sz w:val="24"/>
              </w:rPr>
              <w:t>份</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color w:val="000000"/>
                <w:kern w:val="0"/>
                <w:sz w:val="24"/>
              </w:rPr>
              <w:t/>
            </w:r>
            <w:proofErr w:type="spellEnd"/>
            <w:r w:rsidRPr="00A15461">
              <w:rPr>
                <w:sz w:val="24"/>
              </w:rPr>
              <w:t>10,177,132,709.97</w:t>
            </w:r>
            <w:r w:rsidRPr="00A15461">
              <w:rPr>
                <w:sz w:val="24"/>
              </w:rPr>
              <w:t>份</w:t>
            </w:r>
          </w:p>
        </w:tc>
      </w:tr>
    </w:tbl>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941F6C" w:rsidRDefault="00941F6C"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941F6C" w:rsidRPr="00A15461" w:rsidTr="00F11244">
        <w:tc>
          <w:tcPr>
            <w:tcW w:type="dxa" w:w="3402"/>
            <w:vMerge w:val="restart"/>
            <w:vAlign w:val="center"/>
          </w:tcPr>
          <w:p w:rsidP="00196812" w:rsidR="00941F6C" w:rsidRDefault="00941F6C" w:rsidRPr="00A15461">
            <w:pPr>
              <w:adjustRightInd w:val="0"/>
              <w:spacing w:before="29" w:line="360" w:lineRule="auto"/>
              <w:ind w:left="17"/>
              <w:jc w:val="center"/>
              <w:rPr>
                <w:kern w:val="0"/>
                <w:sz w:val="24"/>
              </w:rPr>
            </w:pPr>
            <w:r w:rsidRPr="00A15461">
              <w:rPr>
                <w:kern w:val="0"/>
                <w:sz w:val="24"/>
              </w:rPr>
              <w:t>主要财务指标</w:t>
            </w:r>
          </w:p>
        </w:tc>
        <w:tc>
          <w:tcPr>
            <w:tcW w:type="dxa" w:w="4962"/>
            <w:gridSpan w:val="2"/>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sz w:val="24"/>
              </w:rPr>
              <w:t>报告期</w:t>
            </w:r>
            <w:r w:rsidRPr="00A15461">
              <w:rPr>
                <w:color w:val="000000"/>
                <w:sz w:val="24"/>
              </w:rPr>
              <w:t>(</w:t>
            </w:r>
            <w:proofErr w:type="spellStart"/>
            <w:r w:rsidRPr="00A15461">
              <w:rPr>
                <w:color w:val="000000"/>
                <w:sz w:val="24"/>
              </w:rPr>
              <w:t/>
            </w:r>
            <w:proofErr w:type="spellEnd"/>
            <w:r w:rsidRPr="00A15461">
              <w:rPr>
                <w:color w:val="000000"/>
                <w:sz w:val="24"/>
              </w:rPr>
              <w:t>2020年4月1日-</w:t>
            </w:r>
            <w:proofErr w:type="spellStart"/>
            <w:r w:rsidRPr="00A15461">
              <w:rPr>
                <w:color w:val="000000"/>
                <w:sz w:val="24"/>
              </w:rPr>
              <w:t/>
            </w:r>
            <w:proofErr w:type="spellEnd"/>
            <w:r w:rsidRPr="00A15461">
              <w:rPr>
                <w:color w:val="000000"/>
                <w:sz w:val="24"/>
              </w:rPr>
              <w:t>2020年6月30日)</w:t>
            </w:r>
          </w:p>
        </w:tc>
      </w:tr>
      <w:tr w:rsidR="00941F6C" w:rsidRPr="00A15461" w:rsidTr="00F11244">
        <w:tc>
          <w:tcPr>
            <w:tcW w:type="dxa" w:w="3402"/>
            <w:vMerge/>
            <w:vAlign w:val="center"/>
          </w:tcPr>
          <w:p w:rsidP="00196812" w:rsidR="00941F6C" w:rsidRDefault="00941F6C" w:rsidRPr="00A15461">
            <w:pPr>
              <w:adjustRightInd w:val="0"/>
              <w:spacing w:before="29" w:line="360" w:lineRule="auto"/>
              <w:ind w:left="17"/>
              <w:jc w:val="center"/>
              <w:rPr>
                <w:kern w:val="0"/>
                <w:sz w:val="24"/>
              </w:rPr>
            </w:pPr>
          </w:p>
        </w:tc>
        <w:tc>
          <w:tcPr>
            <w:tcW w:type="dxa" w:w="2481"/>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kern w:val="0"/>
                <w:sz w:val="24"/>
              </w:rPr>
              <w:t/>
            </w:r>
            <w:proofErr w:type="spellStart"/>
            <w:r w:rsidRPr="00A15461">
              <w:rPr>
                <w:sz w:val="24"/>
              </w:rPr>
              <w:t/>
            </w:r>
            <w:proofErr w:type="spellEnd"/>
            <w:r w:rsidRPr="00A15461">
              <w:rPr>
                <w:sz w:val="24"/>
              </w:rPr>
              <w:t>易方达天天发货币A</w:t>
            </w:r>
          </w:p>
        </w:tc>
        <w:tc>
          <w:tcPr>
            <w:tcW w:type="dxa" w:w="2481"/>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kern w:val="0"/>
                <w:sz w:val="24"/>
              </w:rPr>
              <w:t/>
            </w:r>
            <w:proofErr w:type="spellStart"/>
            <w:r w:rsidRPr="00A15461">
              <w:rPr>
                <w:sz w:val="24"/>
              </w:rPr>
              <w:t/>
            </w:r>
            <w:proofErr w:type="spellEnd"/>
            <w:r w:rsidRPr="00A15461">
              <w:rPr>
                <w:sz w:val="24"/>
              </w:rPr>
              <w:t>易方达天天发货币B</w:t>
            </w:r>
          </w:p>
        </w:tc>
      </w:tr>
      <w:tr w:rsidR="00941F6C" w:rsidRPr="00A15461" w:rsidTr="00F11244">
        <w:trPr>
          <w:trHeight w:val="840"/>
        </w:trPr>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1.</w:t>
            </w:r>
            <w:r w:rsidRPr="00A15461">
              <w:rPr>
                <w:kern w:val="0"/>
                <w:sz w:val="24"/>
              </w:rPr>
              <w:t>本期已实现收益</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2,016,644.14</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60,419,167.48</w:t>
            </w:r>
          </w:p>
        </w:tc>
      </w:tr>
      <w:tr w:rsidR="00941F6C" w:rsidRPr="00A15461" w:rsidTr="00F11244">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2.</w:t>
            </w:r>
            <w:r w:rsidRPr="00A15461">
              <w:rPr>
                <w:kern w:val="0"/>
                <w:sz w:val="24"/>
              </w:rPr>
              <w:t>本期利润</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2,016,644.14</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60,419,167.48</w:t>
            </w:r>
          </w:p>
        </w:tc>
      </w:tr>
      <w:tr w:rsidR="00941F6C" w:rsidRPr="00A15461" w:rsidTr="00F11244">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3.</w:t>
            </w:r>
            <w:r w:rsidRPr="00A15461">
              <w:rPr>
                <w:kern w:val="0"/>
                <w:sz w:val="24"/>
              </w:rPr>
              <w:t>期末基金资产净值</w:t>
            </w:r>
          </w:p>
        </w:tc>
        <w:tc>
          <w:tcPr>
            <w:tcW w:type="dxa" w:w="2481"/>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538,524,418.48</w:t>
            </w:r>
          </w:p>
        </w:tc>
        <w:tc>
          <w:tcPr>
            <w:tcW w:type="dxa" w:w="2481"/>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10,177,132,709.97</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proofErr w:type="gramStart"/>
      <w:r w:rsidRPr="00A15461">
        <w:rPr>
          <w:color w:val="000000"/>
          <w:sz w:val="24"/>
        </w:rPr>
        <w:t/>
      </w:r>
      <w:proofErr w:type="spellEnd"/>
      <w:proofErr w:type="gramEnd"/>
      <w:r w:rsidRPr="00A15461">
        <w:rPr>
          <w:color w:val="000000"/>
          <w:sz w:val="24"/>
        </w:rPr>
        <w:t>2.本基金利润分配是按日结转份额。</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3.2.1</w:t>
        </w:r>
      </w:smartTag>
      <w:r w:rsidRPr="0097021E">
        <w:rPr>
          <w:rFonts w:ascii="宋体" w:cs="Arial" w:hAnsi="宋体" w:hint="eastAsia"/>
          <w:b/>
          <w:color w:val="000000"/>
          <w:kern w:val="0"/>
          <w:sz w:val="24"/>
        </w:rPr>
        <w:t>本报告</w:t>
      </w:r>
      <w:proofErr w:type="gramStart"/>
      <w:r w:rsidRPr="0097021E">
        <w:rPr>
          <w:rFonts w:ascii="宋体" w:cs="Arial" w:hAnsi="宋体" w:hint="eastAsia"/>
          <w:b/>
          <w:color w:val="000000"/>
          <w:kern w:val="0"/>
          <w:sz w:val="24"/>
        </w:rPr>
        <w:t>期基金</w:t>
      </w:r>
      <w:proofErr w:type="gramEnd"/>
      <w:r w:rsidRPr="0097021E">
        <w:rPr>
          <w:rFonts w:ascii="宋体" w:cs="Arial" w:hAnsi="宋体" w:hint="eastAsia"/>
          <w:b/>
          <w:color w:val="000000"/>
          <w:kern w:val="0"/>
          <w:sz w:val="24"/>
        </w:rPr>
        <w:t>份额净值收益率及其与同期业绩比较基准收益率的比较</w:t>
      </w:r>
    </w:p>
    <w:p w:rsidP="004C44F3" w:rsidR="00941F6C" w:rsidRDefault="00941F6C" w:rsidRPr="0097021E">
      <w:pPr>
        <w:pStyle w:val="20"/>
        <w:spacing w:line="360" w:lineRule="auto"/>
        <w:ind w:firstLine="402"/>
        <w:rPr>
          <w:b/>
        </w:rPr>
      </w:pPr>
      <w:r w:rsidRPr="0097021E">
        <w:rPr>
          <w:b/>
          <w:color w:val="000000"/>
        </w:rPr>
        <w:t/>
      </w:r>
      <w:r w:rsidRPr="0097021E">
        <w:rPr>
          <w:rFonts w:cs="宋体"/>
          <w:b/>
          <w:color w:val="000000"/>
        </w:rPr>
        <w:t/>
      </w:r>
      <w:proofErr w:type="spellStart"/>
      <w:r w:rsidRPr="0097021E">
        <w:rPr>
          <w:b/>
          <w:color w:val="000000"/>
        </w:rPr>
        <w:t/>
      </w:r>
      <w:r w:rsidRPr="0097021E">
        <w:rPr>
          <w:b/>
        </w:rPr>
        <w:t/>
      </w:r>
      <w:proofErr w:type="spellEnd"/>
      <w:r w:rsidRPr="0097021E">
        <w:rPr>
          <w:b/>
        </w:rPr>
        <w:t/>
      </w:r>
      <w:r>
        <w:rPr>
          <w:b/>
        </w:rPr>
        <w:t>易方达天天发货币A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941F6C" w:rsidRPr="0097021E" w:rsidTr="00CA7D55">
        <w:tc>
          <w:tcPr>
            <w:tcW w:type="dxa" w:w="1328"/>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阶段</w:t>
            </w:r>
            <w:r w:rsidRPr="00A15461">
              <w:rPr>
                <w:rFonts w:ascii="Times New Roman" w:hAnsi="Times New Roman"/>
                <w:color w:val="000000"/>
                <w:szCs w:val="24"/>
              </w:rPr>
              <w:t/>
            </w:r>
            <w:proofErr w:type="spellStart"/>
            <w:r w:rsidRPr="00A15461">
              <w:rPr>
                <w:rFonts w:ascii="Times New Roman" w:hAnsi="Times New Roman"/>
                <w:color w:val="000000"/>
                <w:szCs w:val="24"/>
              </w:rPr>
              <w:t/>
            </w:r>
            <w:proofErr w:type="spellEnd"/>
            <w:r w:rsidRPr="00A15461">
              <w:rPr>
                <w:rFonts w:ascii="Times New Roman" w:hAnsi="Times New Roman"/>
                <w:color w:val="000000"/>
                <w:szCs w:val="24"/>
              </w:rPr>
              <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净值收益率</w:t>
            </w:r>
            <w:r w:rsidRPr="00A15461">
              <w:rPr>
                <w:rFonts w:cs="宋体" w:hint="eastAsia"/>
                <w:color w:val="000000"/>
                <w:szCs w:val="24"/>
              </w:rPr>
              <w:t>①</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净值收益率标准差</w:t>
            </w:r>
            <w:r w:rsidRPr="00A15461">
              <w:rPr>
                <w:rFonts w:cs="宋体" w:hint="eastAsia"/>
                <w:color w:val="000000"/>
                <w:szCs w:val="24"/>
              </w:rPr>
              <w:t>②</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业绩比较基准收益率标准差</w:t>
            </w:r>
            <w:r w:rsidRPr="00A15461">
              <w:rPr>
                <w:rFonts w:cs="宋体" w:hint="eastAsia"/>
                <w:color w:val="000000"/>
                <w:szCs w:val="24"/>
              </w:rPr>
              <w:t>④</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①</w:t>
            </w:r>
            <w:r w:rsidRPr="00A15461">
              <w:rPr>
                <w:rFonts w:ascii="Times New Roman" w:hAnsi="Times New Roman"/>
                <w:color w:val="000000"/>
                <w:szCs w:val="24"/>
              </w:rPr>
              <w:t>-</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②</w:t>
            </w:r>
            <w:r w:rsidRPr="00A15461">
              <w:rPr>
                <w:rFonts w:ascii="Times New Roman" w:hAnsi="Times New Roman"/>
                <w:color w:val="000000"/>
                <w:szCs w:val="24"/>
              </w:rPr>
              <w:t>-</w:t>
            </w:r>
            <w:r w:rsidRPr="00A15461">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0.3900%</w:t>
            </w:r>
          </w:p>
        </w:tc>
        <w:tc>
          <w:tcPr>
            <w:vAlign w:val="center"/>
          </w:tcPr>
          <w:p>
            <w:pPr>
              <w:jc w:val="center"/>
            </w:pPr>
            <w:r>
              <w:rPr>
                <w:color w:val="000000"/>
                <w:kern w:val="2"/>
                <w:sz w:val="24"/>
              </w:rPr>
              <w:t>0.0013%</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0.0482%</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0.9707%</w:t>
            </w:r>
          </w:p>
        </w:tc>
        <w:tc>
          <w:tcPr>
            <w:vAlign w:val="center"/>
          </w:tcPr>
          <w:p>
            <w:pPr>
              <w:jc w:val="center"/>
            </w:pPr>
            <w:r>
              <w:rPr>
                <w:color w:val="000000"/>
                <w:kern w:val="2"/>
                <w:sz w:val="24"/>
              </w:rPr>
              <w:t>0.0016%</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0.2859%</w:t>
            </w:r>
          </w:p>
        </w:tc>
        <w:tc>
          <w:tcPr>
            <w:vAlign w:val="center"/>
          </w:tcPr>
          <w:p>
            <w:pPr>
              <w:jc w:val="center"/>
            </w:pPr>
            <w:r>
              <w:rPr>
                <w:color w:val="000000"/>
                <w:kern w:val="2"/>
                <w:sz w:val="24"/>
              </w:rPr>
              <w:t>0.0016%</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2.2091%</w:t>
            </w:r>
          </w:p>
        </w:tc>
        <w:tc>
          <w:tcPr>
            <w:vAlign w:val="center"/>
          </w:tcPr>
          <w:p>
            <w:pPr>
              <w:jc w:val="center"/>
            </w:pPr>
            <w:r>
              <w:rPr>
                <w:color w:val="000000"/>
                <w:kern w:val="2"/>
                <w:sz w:val="24"/>
              </w:rPr>
              <w:t>0.0015%</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0.8272%</w:t>
            </w:r>
          </w:p>
        </w:tc>
        <w:tc>
          <w:tcPr>
            <w:vAlign w:val="center"/>
          </w:tcPr>
          <w:p>
            <w:pPr>
              <w:jc w:val="center"/>
            </w:pPr>
            <w:r>
              <w:rPr>
                <w:color w:val="000000"/>
                <w:kern w:val="2"/>
                <w:sz w:val="24"/>
              </w:rPr>
              <w:t>0.0015%</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9.4809%</w:t>
            </w:r>
          </w:p>
        </w:tc>
        <w:tc>
          <w:tcPr>
            <w:vAlign w:val="center"/>
          </w:tcPr>
          <w:p>
            <w:pPr>
              <w:jc w:val="center"/>
            </w:pPr>
            <w:r>
              <w:rPr>
                <w:color w:val="000000"/>
                <w:kern w:val="2"/>
                <w:sz w:val="24"/>
              </w:rPr>
              <w:t>0.0026%</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5.2854%</w:t>
            </w:r>
          </w:p>
        </w:tc>
        <w:tc>
          <w:tcPr>
            <w:vAlign w:val="center"/>
          </w:tcPr>
          <w:p>
            <w:pPr>
              <w:jc w:val="center"/>
            </w:pPr>
            <w:r>
              <w:rPr>
                <w:color w:val="000000"/>
                <w:kern w:val="2"/>
                <w:sz w:val="24"/>
              </w:rPr>
              <w:t>0.0026%</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11.0571%</w:t>
            </w:r>
          </w:p>
        </w:tc>
        <w:tc>
          <w:tcPr>
            <w:vAlign w:val="center"/>
          </w:tcPr>
          <w:p>
            <w:pPr>
              <w:jc w:val="center"/>
            </w:pPr>
            <w:r>
              <w:rPr>
                <w:color w:val="000000"/>
                <w:kern w:val="2"/>
                <w:sz w:val="24"/>
              </w:rPr>
              <w:t>0.0026%</w:t>
            </w:r>
          </w:p>
        </w:tc>
        <w:tc>
          <w:tcPr>
            <w:vAlign w:val="center"/>
          </w:tcPr>
          <w:p>
            <w:pPr>
              <w:jc w:val="center"/>
            </w:pPr>
            <w:r>
              <w:rPr>
                <w:color w:val="000000"/>
                <w:kern w:val="2"/>
                <w:sz w:val="24"/>
              </w:rPr>
              <w:t>4.7244%</w:t>
            </w:r>
          </w:p>
        </w:tc>
        <w:tc>
          <w:tcPr>
            <w:vAlign w:val="center"/>
          </w:tcPr>
          <w:p>
            <w:pPr>
              <w:jc w:val="center"/>
            </w:pPr>
            <w:r>
              <w:rPr>
                <w:color w:val="000000"/>
                <w:kern w:val="2"/>
                <w:sz w:val="24"/>
              </w:rPr>
              <w:t>0.0000%</w:t>
            </w:r>
          </w:p>
        </w:tc>
        <w:tc>
          <w:tcPr>
            <w:vAlign w:val="center"/>
          </w:tcPr>
          <w:p>
            <w:pPr>
              <w:jc w:val="center"/>
            </w:pPr>
            <w:r>
              <w:rPr>
                <w:color w:val="000000"/>
                <w:kern w:val="2"/>
                <w:sz w:val="24"/>
              </w:rPr>
              <w:t>6.3327%</w:t>
            </w:r>
          </w:p>
        </w:tc>
        <w:tc>
          <w:tcPr>
            <w:vAlign w:val="center"/>
          </w:tcPr>
          <w:p>
            <w:pPr>
              <w:jc w:val="center"/>
            </w:pPr>
            <w:r>
              <w:rPr>
                <w:color w:val="000000"/>
                <w:kern w:val="2"/>
                <w:sz w:val="24"/>
              </w:rPr>
              <w:t>0.0026%</w:t>
            </w:r>
          </w:p>
        </w:tc>
      </w:tr>
    </w:tbl>
    <w:p w:rsidP="004C44F3" w:rsidR="00941F6C" w:rsidRDefault="00941F6C" w:rsidRPr="0097021E">
      <w:pPr>
        <w:pStyle w:val="20"/>
        <w:spacing w:line="360" w:lineRule="auto"/>
        <w:ind w:firstLine="402"/>
        <w:rPr>
          <w:b/>
        </w:rPr>
      </w:pPr>
      <w:r w:rsidRPr="0097021E">
        <w:rPr>
          <w:b/>
          <w:color w:val="000000"/>
        </w:rPr>
        <w:t/>
      </w:r>
      <w:r w:rsidRPr="0097021E">
        <w:rPr>
          <w:rFonts w:cs="宋体"/>
          <w:b/>
          <w:color w:val="000000"/>
        </w:rPr>
        <w:t/>
      </w:r>
      <w:proofErr w:type="spellStart"/>
      <w:r w:rsidRPr="0097021E">
        <w:rPr>
          <w:b/>
          <w:color w:val="000000"/>
        </w:rPr>
        <w:t/>
      </w:r>
      <w:proofErr w:type="spellEnd"/>
      <w:r w:rsidRPr="0097021E">
        <w:rPr>
          <w:b/>
          <w:color w:val="000000"/>
        </w:rPr>
        <w:t>易方达天天发货币B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941F6C" w:rsidRPr="0097021E" w:rsidTr="00CA7D55">
        <w:tc>
          <w:tcPr>
            <w:tcW w:type="dxa" w:w="1328"/>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阶段</w:t>
            </w:r>
            <w:r w:rsidRPr="00A15461">
              <w:rPr>
                <w:rFonts w:ascii="Times New Roman" w:hAnsi="Times New Roman"/>
                <w:color w:val="000000"/>
                <w:szCs w:val="24"/>
              </w:rPr>
              <w:lastRenderedPageBreak/>
              <w:t/>
            </w:r>
            <w:proofErr w:type="spellStart"/>
            <w:r w:rsidRPr="00A15461">
              <w:rPr>
                <w:rFonts w:ascii="Times New Roman" w:hAnsi="Times New Roman"/>
                <w:color w:val="000000"/>
                <w:szCs w:val="24"/>
              </w:rPr>
              <w:t/>
            </w:r>
            <w:proofErr w:type="spellEnd"/>
            <w:r w:rsidRPr="00A15461">
              <w:rPr>
                <w:rFonts w:ascii="Times New Roman" w:hAnsi="Times New Roman"/>
                <w:color w:val="000000"/>
                <w:szCs w:val="24"/>
              </w:rPr>
              <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净值收益</w:t>
            </w:r>
            <w:r w:rsidRPr="00A15461">
              <w:rPr>
                <w:rFonts w:ascii="Times New Roman" w:hAnsi="Times New Roman"/>
                <w:color w:val="000000"/>
                <w:szCs w:val="24"/>
              </w:rPr>
              <w:lastRenderedPageBreak/>
              <w:t>率</w:t>
            </w:r>
            <w:r w:rsidRPr="00A15461">
              <w:rPr>
                <w:rFonts w:cs="宋体" w:hint="eastAsia"/>
                <w:color w:val="000000"/>
                <w:szCs w:val="24"/>
              </w:rPr>
              <w:t>①</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净值收益</w:t>
            </w:r>
            <w:r w:rsidRPr="00A15461">
              <w:rPr>
                <w:rFonts w:ascii="Times New Roman" w:hAnsi="Times New Roman"/>
                <w:color w:val="000000"/>
                <w:szCs w:val="24"/>
              </w:rPr>
              <w:lastRenderedPageBreak/>
              <w:t>率标准差</w:t>
            </w:r>
            <w:r w:rsidRPr="00A15461">
              <w:rPr>
                <w:rFonts w:cs="宋体" w:hint="eastAsia"/>
                <w:color w:val="000000"/>
                <w:szCs w:val="24"/>
              </w:rPr>
              <w:t>②</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业绩比较</w:t>
            </w:r>
            <w:r w:rsidRPr="00A15461">
              <w:rPr>
                <w:rFonts w:ascii="Times New Roman" w:hAnsi="Times New Roman"/>
                <w:color w:val="000000"/>
                <w:szCs w:val="24"/>
              </w:rPr>
              <w:lastRenderedPageBreak/>
              <w:t>基准收益率</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业绩比较</w:t>
            </w:r>
            <w:r w:rsidRPr="00A15461">
              <w:rPr>
                <w:rFonts w:ascii="Times New Roman" w:hAnsi="Times New Roman"/>
                <w:color w:val="000000"/>
                <w:szCs w:val="24"/>
              </w:rPr>
              <w:lastRenderedPageBreak/>
              <w:t>基准收益率标准差</w:t>
            </w:r>
            <w:r w:rsidRPr="00A15461">
              <w:rPr>
                <w:rFonts w:cs="宋体" w:hint="eastAsia"/>
                <w:color w:val="000000"/>
                <w:szCs w:val="24"/>
              </w:rPr>
              <w:t>④</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lastRenderedPageBreak/>
              <w:t>①</w:t>
            </w:r>
            <w:r w:rsidRPr="00A15461">
              <w:rPr>
                <w:rFonts w:ascii="Times New Roman" w:hAnsi="Times New Roman"/>
                <w:color w:val="000000"/>
                <w:szCs w:val="24"/>
              </w:rPr>
              <w:t>-</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②</w:t>
            </w:r>
            <w:r w:rsidRPr="00A15461">
              <w:rPr>
                <w:rFonts w:ascii="Times New Roman" w:hAnsi="Times New Roman"/>
                <w:color w:val="000000"/>
                <w:szCs w:val="24"/>
              </w:rPr>
              <w:t>-</w:t>
            </w:r>
            <w:r w:rsidRPr="00A15461">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0.4499%</w:t>
            </w:r>
          </w:p>
        </w:tc>
        <w:tc>
          <w:tcPr>
            <w:vAlign w:val="center"/>
          </w:tcPr>
          <w:p>
            <w:pPr>
              <w:jc w:val="center"/>
            </w:pPr>
            <w:r>
              <w:rPr>
                <w:color w:val="000000"/>
                <w:kern w:val="2"/>
                <w:sz w:val="24"/>
              </w:rPr>
              <w:t>0.0013%</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0.1081%</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1.0913%</w:t>
            </w:r>
          </w:p>
        </w:tc>
        <w:tc>
          <w:tcPr>
            <w:vAlign w:val="center"/>
          </w:tcPr>
          <w:p>
            <w:pPr>
              <w:jc w:val="center"/>
            </w:pPr>
            <w:r>
              <w:rPr>
                <w:color w:val="000000"/>
                <w:kern w:val="2"/>
                <w:sz w:val="24"/>
              </w:rPr>
              <w:t>0.0016%</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0.4065%</w:t>
            </w:r>
          </w:p>
        </w:tc>
        <w:tc>
          <w:tcPr>
            <w:vAlign w:val="center"/>
          </w:tcPr>
          <w:p>
            <w:pPr>
              <w:jc w:val="center"/>
            </w:pPr>
            <w:r>
              <w:rPr>
                <w:color w:val="000000"/>
                <w:kern w:val="2"/>
                <w:sz w:val="24"/>
              </w:rPr>
              <w:t>0.0016%</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2.4536%</w:t>
            </w:r>
          </w:p>
        </w:tc>
        <w:tc>
          <w:tcPr>
            <w:vAlign w:val="center"/>
          </w:tcPr>
          <w:p>
            <w:pPr>
              <w:jc w:val="center"/>
            </w:pPr>
            <w:r>
              <w:rPr>
                <w:color w:val="000000"/>
                <w:kern w:val="2"/>
                <w:sz w:val="24"/>
              </w:rPr>
              <w:t>0.0015%</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1.0717%</w:t>
            </w:r>
          </w:p>
        </w:tc>
        <w:tc>
          <w:tcPr>
            <w:vAlign w:val="center"/>
          </w:tcPr>
          <w:p>
            <w:pPr>
              <w:jc w:val="center"/>
            </w:pPr>
            <w:r>
              <w:rPr>
                <w:color w:val="000000"/>
                <w:kern w:val="2"/>
                <w:sz w:val="24"/>
              </w:rPr>
              <w:t>0.0015%</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10.2802%</w:t>
            </w:r>
          </w:p>
        </w:tc>
        <w:tc>
          <w:tcPr>
            <w:vAlign w:val="center"/>
          </w:tcPr>
          <w:p>
            <w:pPr>
              <w:jc w:val="center"/>
            </w:pPr>
            <w:r>
              <w:rPr>
                <w:color w:val="000000"/>
                <w:kern w:val="2"/>
                <w:sz w:val="24"/>
              </w:rPr>
              <w:t>0.0026%</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6.0847%</w:t>
            </w:r>
          </w:p>
        </w:tc>
        <w:tc>
          <w:tcPr>
            <w:vAlign w:val="center"/>
          </w:tcPr>
          <w:p>
            <w:pPr>
              <w:jc w:val="center"/>
            </w:pPr>
            <w:r>
              <w:rPr>
                <w:color w:val="000000"/>
                <w:kern w:val="2"/>
                <w:sz w:val="24"/>
              </w:rPr>
              <w:t>0.0026%</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11.9661%</w:t>
            </w:r>
          </w:p>
        </w:tc>
        <w:tc>
          <w:tcPr>
            <w:vAlign w:val="center"/>
          </w:tcPr>
          <w:p>
            <w:pPr>
              <w:jc w:val="center"/>
            </w:pPr>
            <w:r>
              <w:rPr>
                <w:color w:val="000000"/>
                <w:kern w:val="2"/>
                <w:sz w:val="24"/>
              </w:rPr>
              <w:t>0.0026%</w:t>
            </w:r>
          </w:p>
        </w:tc>
        <w:tc>
          <w:tcPr>
            <w:vAlign w:val="center"/>
          </w:tcPr>
          <w:p>
            <w:pPr>
              <w:jc w:val="center"/>
            </w:pPr>
            <w:r>
              <w:rPr>
                <w:color w:val="000000"/>
                <w:kern w:val="2"/>
                <w:sz w:val="24"/>
              </w:rPr>
              <w:t>4.7244%</w:t>
            </w:r>
          </w:p>
        </w:tc>
        <w:tc>
          <w:tcPr>
            <w:vAlign w:val="center"/>
          </w:tcPr>
          <w:p>
            <w:pPr>
              <w:jc w:val="center"/>
            </w:pPr>
            <w:r>
              <w:rPr>
                <w:color w:val="000000"/>
                <w:kern w:val="2"/>
                <w:sz w:val="24"/>
              </w:rPr>
              <w:t>0.0000%</w:t>
            </w:r>
          </w:p>
        </w:tc>
        <w:tc>
          <w:tcPr>
            <w:vAlign w:val="center"/>
          </w:tcPr>
          <w:p>
            <w:pPr>
              <w:jc w:val="center"/>
            </w:pPr>
            <w:r>
              <w:rPr>
                <w:color w:val="000000"/>
                <w:kern w:val="2"/>
                <w:sz w:val="24"/>
              </w:rPr>
              <w:t>7.2417%</w:t>
            </w:r>
          </w:p>
        </w:tc>
        <w:tc>
          <w:tcPr>
            <w:vAlign w:val="center"/>
          </w:tcPr>
          <w:p>
            <w:pPr>
              <w:jc w:val="center"/>
            </w:pPr>
            <w:r>
              <w:rPr>
                <w:color w:val="000000"/>
                <w:kern w:val="2"/>
                <w:sz w:val="24"/>
              </w:rPr>
              <w:t>0.0026%</w:t>
            </w:r>
          </w:p>
        </w:tc>
      </w:tr>
    </w:tbl>
    <w:p w:rsidP="009A755D"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3.2.2</w:t>
        </w:r>
        <w:r w:rsidR="000C572D" w:rsidRPr="00370BEA">
          <w:rPr>
            <w:rStyle w:val="af"/>
            <w:rFonts w:hint="eastAsia"/>
            <w:color w:val="000000"/>
            <w:sz w:val="24"/>
            <w:shd w:color="auto" w:fill="FFFFFF" w:val="clear"/>
          </w:rPr>
          <w:t/>
        </w:r>
        <w:proofErr w:type="spellStart"/>
        <w:r w:rsidR="000C572D" w:rsidRPr="00370BEA">
          <w:rPr>
            <w:rStyle w:val="af"/>
            <w:rFonts w:hint="eastAsia"/>
            <w:color w:val="000000"/>
            <w:sz w:val="24"/>
            <w:shd w:color="auto" w:fill="FFFFFF" w:val="clear"/>
          </w:rPr>
          <w:t/>
        </w:r>
        <w:proofErr w:type="spellEnd"/>
        <w:r w:rsidR="000C572D"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941F6C" w:rsidRDefault="00941F6C" w:rsidRPr="00A15461">
      <w:pPr>
        <w:spacing w:line="360" w:lineRule="auto"/>
        <w:jc w:val="center"/>
        <w:rPr>
          <w:sz w:val="24"/>
        </w:rPr>
      </w:pPr>
      <w:r w:rsidRPr="00A15461">
        <w:rPr>
          <w:sz w:val="24"/>
        </w:rPr>
        <w:t/>
      </w:r>
      <w:proofErr w:type="spellStart"/>
      <w:r w:rsidRPr="00A15461">
        <w:rPr>
          <w:sz w:val="24"/>
        </w:rPr>
        <w:t/>
      </w:r>
      <w:proofErr w:type="spellEnd"/>
      <w:r w:rsidRPr="00A15461">
        <w:rPr>
          <w:sz w:val="24"/>
        </w:rPr>
        <w:t>易方达天天发货币市场基金</w:t>
      </w:r>
    </w:p>
    <w:p w:rsidP="007C6CF9" w:rsidR="007C6CF9" w:rsidRDefault="00941F6C">
      <w:pPr>
        <w:pStyle w:val="a6"/>
        <w:snapToGrid w:val="0"/>
        <w:spacing w:line="360" w:lineRule="auto"/>
        <w:jc w:val="center"/>
        <w:rPr>
          <w:rFonts w:ascii="Times New Roman" w:eastAsiaTheme="minorEastAsia" w:hAnsi="Times New Roman"/>
          <w:color w:themeColor="text1" w:val="000000"/>
          <w:sz w:val="24"/>
          <w:szCs w:val="24"/>
        </w:rPr>
      </w:pPr>
      <w:r w:rsidRPr="00A15461">
        <w:rPr>
          <w:rFonts w:ascii="Times New Roman" w:hAnsi="Times New Roman"/>
          <w:sz w:val="24"/>
          <w:szCs w:val="24"/>
        </w:rPr>
        <w:t>累计净值收益率与业绩比较基准收益率的历史走势对比图</w:t>
      </w:r>
    </w:p>
    <w:p w:rsidP="007C6CF9" w:rsidR="007C6CF9" w:rsidRDefault="007C6CF9">
      <w:pPr>
        <w:pStyle w:val="a6"/>
        <w:snapToGrid w:val="0"/>
        <w:spacing w:line="360" w:lineRule="auto"/>
        <w:jc w:val="center"/>
        <w:rPr>
          <w:rFonts w:ascii="Times New Roman" w:hAnsi="Times New Roman"/>
          <w:sz w:val="24"/>
          <w:szCs w:val="24"/>
        </w:rPr>
      </w:pPr>
      <w:r>
        <w:rPr>
          <w:rFonts w:ascii="Times New Roman" w:hAnsi="Times New Roman"/>
          <w:sz w:val="24"/>
          <w:szCs w:val="24"/>
        </w:rPr>
        <w:t/>
      </w:r>
      <w:proofErr w:type="spellStart"/>
      <w:r>
        <w:rPr>
          <w:rFonts w:ascii="Times New Roman" w:hAnsi="Times New Roman"/>
          <w:sz w:val="24"/>
          <w:szCs w:val="24"/>
        </w:rPr>
        <w:t/>
      </w:r>
      <w:proofErr w:type="spellEnd"/>
      <w:r>
        <w:rPr>
          <w:rFonts w:ascii="Times New Roman" w:hAnsi="Times New Roman"/>
          <w:sz w:val="24"/>
          <w:szCs w:val="24"/>
        </w:rPr>
        <w:t>（2017年2月16日至2020年6月30日）</w:t>
      </w:r>
    </w:p>
    <w:p w:rsidP="007C6CF9" w:rsidR="007C6CF9" w:rsidRDefault="00941F6C">
      <w:pPr>
        <w:snapToGrid w:val="0"/>
        <w:spacing w:line="360" w:lineRule="auto"/>
        <w:rPr>
          <w:rFonts w:eastAsiaTheme="minorEastAsia" w:hAnsiTheme="minorEastAsia"/>
          <w:color w:themeColor="text1"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易方达天天发货币A</w:t>
      </w:r>
    </w:p>
    <w:p w:rsidP="00196812" w:rsidR="00941F6C" w:rsidRDefault="00BC3C5E" w:rsidRPr="0097021E">
      <w:pPr>
        <w:tabs>
          <w:tab w:pos="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7C6CF9" w:rsidR="007C6CF9" w:rsidRDefault="00941F6C">
      <w:pPr>
        <w:snapToGrid w:val="0"/>
        <w:spacing w:before="312" w:beforeLines="100" w:line="360" w:lineRule="auto"/>
        <w:rPr>
          <w:rFonts w:eastAsiaTheme="minorEastAsia" w:hAnsiTheme="minorEastAsia"/>
          <w:color w:themeColor="text1"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易方达天天发货币B</w:t>
      </w:r>
    </w:p>
    <w:p w:rsidP="00196812" w:rsidR="00941F6C" w:rsidRDefault="00BC3C5E" w:rsidRPr="0097021E">
      <w:pPr>
        <w:snapToGrid w:val="0"/>
        <w:spacing w:line="360" w:lineRule="auto"/>
        <w:jc w:val="center"/>
        <w:rPr>
          <w:rFonts w:ascii="宋体"/>
          <w:color w:val="000000"/>
          <w:sz w:val="24"/>
        </w:rPr>
      </w:pPr>
      <w:r>
        <w:rPr>
          <w:rFonts w:ascii="宋体"/>
          <w:noProof/>
          <w:color w:val="000000"/>
          <w:sz w:val="24"/>
        </w:rPr>
        <w:pict>
          <v:shape id="图片 2" o:spid="_x0000_i1026" style="width:452.25pt;height:267pt;visibility:visible" type="#_x0000_t75">
            <v:imagedata o:title="" r:id="rId11"/>
          </v:shape>
        </w:pic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lastRenderedPageBreak/>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注：自基金合同生效至报告期末，A类基金份额净值收益率为11.0571%，B类基金份额净值收益率为11.9661%，同期业绩比较基准收益率为4.7244%。</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CE0B87" w:rsidR="00CE0B87" w:rsidRDefault="00941F6C"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00DC22A1">
        <w:rPr>
          <w:rFonts w:ascii="宋体" w:cs="Arial" w:hAnsi="宋体" w:hint="eastAsia"/>
          <w:b/>
          <w:color w:val="000000"/>
          <w:kern w:val="0"/>
          <w:sz w:val="24"/>
        </w:rPr>
        <w:t>基金经理（</w:t>
      </w:r>
      <w:r w:rsidR="00DC22A1" w:rsidRPr="0097021E">
        <w:rPr>
          <w:rFonts w:ascii="宋体" w:cs="Arial" w:hAnsi="宋体" w:hint="eastAsia"/>
          <w:b/>
          <w:color w:val="000000"/>
          <w:kern w:val="0"/>
          <w:sz w:val="24"/>
        </w:rPr>
        <w:t>或基金经理小组</w:t>
      </w:r>
      <w:r w:rsidR="00DC22A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CE0B87" w:rsidRPr="0078105B" w:rsidTr="00B7074C">
        <w:trPr>
          <w:cantSplit/>
        </w:trPr>
        <w:tc>
          <w:tcPr>
            <w:tcW w:type="dxa" w:w="567"/>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CE0B87" w:rsidRPr="0078105B" w:rsidTr="00B7074C">
        <w:trPr>
          <w:cantSplit/>
        </w:trPr>
        <w:tc>
          <w:tcPr>
            <w:tcW w:type="dxa" w:w="567"/>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货币市场基金的基金经理、易方达保证金收益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2017-02-16</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CE0B87" w:rsidR="00BF6648" w:rsidRDefault="00CE0B87"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BF6648" w:rsidR="00941F6C" w:rsidRDefault="00941F6C"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4.2</w:t>
      </w:r>
      <w:r w:rsidRPr="00756761">
        <w:rPr>
          <w:rFonts w:cs="Arial" w:hint="eastAsia"/>
          <w:b/>
          <w:color w:val="000000"/>
          <w:kern w:val="0"/>
          <w:sz w:val="24"/>
        </w:rPr>
        <w:t>管理人对报告期内本基金运作遵规守信情况的说明</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941F6C" w:rsidRDefault="00941F6C"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4.3.1</w:t>
        </w:r>
      </w:smartTag>
      <w:r w:rsidRPr="0097021E">
        <w:rPr>
          <w:rFonts w:ascii="宋体" w:hAnsi="宋体" w:hint="eastAsia"/>
          <w:sz w:val="24"/>
        </w:rPr>
        <w:t>公平交易制度的执行情况</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4.3.2</w:t>
        </w:r>
      </w:smartTag>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本报告期内，未发现本基金有可能导致不公平交易和利益输送的异常交易。</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国内宏观经济在一季度经历了疫情的冲击后，二季度出现了企稳复苏的迹象，4月工业增加值同比增长3.9%，5月工业增加值同比增长4.4%，显示经济回升的速度虽然在放缓，但是仍然处于持续回升的过程中。投资的数据也在恢复，2020年1-5月份全国固定资产投资同比下降6.3%，降幅比1-3月份收窄9.8个百分点，从结构上看基建和制造业投资连续两个月回升，房地产投资在5月出现小幅回落。消费数据方面，4月和5月社会消费品零售总额同比下降分别为7.5%和2.8%，也呈现持续恢复的态势，其中服装、日用品等商品消费的恢复较快，餐饮消费拖累较多。通胀方面，4月和5月CPI同比分别上涨3.3%和2.4%，结构上，主要是食品价格明显低于预期，非食品价格总体来看基本符合预期，但从高频数据来看环比已经开始上涨，反映供需平衡的状况在持续改善。4月新增社会融资数据较好，5月社融数据符合市场预期，总体融资环境持续有所改善。</w:t>
      </w:r>
    </w:p>
    <w:p>
      <w:pPr>
        <w:adjustRightInd w:val="0"/>
        <w:spacing w:line="360" w:lineRule="auto"/>
        <w:ind w:firstLine="480" w:firstLineChars="200"/>
        <w:rPr>
          <w:color w:val="000000"/>
          <w:sz w:val="24"/>
        </w:rPr>
      </w:pPr>
      <w:r>
        <w:rPr>
          <w:color w:val="000000"/>
          <w:sz w:val="24"/>
        </w:rPr>
        <w:t>债券市场收益率在二季度先下后上，整体波动较大。季度初，海内外疫情的影响仍在持续，市场风险偏好仍处于低位。清明节期间央行实行了定向降准、下调超额准备金利率等操作，资金面整体非常宽松，长端收益率震荡下行。但到了5月上旬，货币政策进一步宽松不及预期叠加经济修复延续，长端收益率开始上行。随后，社融数据走高强化了经济修复的预期，收益率进一步大幅上行。其中短端上行幅度更大，收益率曲线呈现熊平走势。进入6月，资金面仍未好转，叠加首批1000亿元特别国债发行但央行无配套动作，市场情绪进一步悲观，资金利率上行推动长端收益率上行。直到半年末，央行适时开启逆回购呵护半年末流动性，市场情绪有所恢复，长端收益率趋于稳定。货币市场金的收益在二季度探底回升。</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操作方面，报告期内基金以同业存单、短期融资券、短期逆回购为主要配置资产。在二季度组合保持适中的剩余期限和杠杆率。总体来看，组合在二季度保持了较好的流动性和较高的收益率。</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4.4.2</w:t>
        </w:r>
      </w:smartTag>
      <w:r w:rsidRPr="0097021E">
        <w:rPr>
          <w:rFonts w:ascii="宋体" w:hAnsi="宋体" w:hint="eastAsia"/>
          <w:sz w:val="24"/>
        </w:rPr>
        <w:t>报告期内基金的业绩表现</w:t>
      </w:r>
    </w:p>
    <w:p w:rsidP="00A15461" w:rsidR="00941F6C" w:rsidRDefault="00941F6C" w:rsidRPr="00A15461">
      <w:pPr>
        <w:adjustRightInd w:val="0"/>
        <w:spacing w:line="360" w:lineRule="auto"/>
        <w:ind w:firstLine="480" w:firstLineChars="200"/>
        <w:rPr>
          <w:color w:val="000000"/>
          <w:sz w:val="24"/>
        </w:rPr>
      </w:pPr>
      <w:bookmarkStart w:id="0" w:name="_Toc255486598"/>
      <w:bookmarkStart w:id="1" w:name="_Toc245193825"/>
      <w:r w:rsidRPr="00A15461">
        <w:rPr>
          <w:color w:val="000000"/>
          <w:sz w:val="24"/>
        </w:rPr>
        <w:t/>
      </w:r>
      <w:proofErr w:type="spellStart"/>
      <w:r w:rsidRPr="00A15461">
        <w:rPr>
          <w:color w:val="000000"/>
          <w:sz w:val="24"/>
        </w:rPr>
        <w:t/>
      </w:r>
      <w:proofErr w:type="spellEnd"/>
      <w:r w:rsidRPr="00A15461">
        <w:rPr>
          <w:color w:val="000000"/>
          <w:sz w:val="24"/>
        </w:rPr>
        <w:t>本基金本报告期内A类基金份额净值收益率为0.3900%，同期业绩比较基准收益率为0.3418%；B类基金份额净值收益率为0.4499%，同期业绩比较基准收益率为0.3418%。</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序号</w:t>
            </w:r>
          </w:p>
        </w:tc>
        <w:tc>
          <w:tcPr>
            <w:tcW w:type="dxa" w:w="3357"/>
            <w:vAlign w:val="center"/>
          </w:tcPr>
          <w:p w:rsidP="00196812" w:rsidR="00941F6C" w:rsidRDefault="00941F6C" w:rsidRPr="00A15461">
            <w:pPr>
              <w:spacing w:before="29" w:line="360" w:lineRule="auto"/>
              <w:ind w:left="17"/>
              <w:jc w:val="center"/>
              <w:rPr>
                <w:color w:val="000000"/>
                <w:sz w:val="24"/>
              </w:rPr>
            </w:pPr>
            <w:r w:rsidRPr="00A15461">
              <w:rPr>
                <w:color w:val="000000"/>
                <w:sz w:val="24"/>
              </w:rPr>
              <w:t>项目</w:t>
            </w:r>
          </w:p>
        </w:tc>
        <w:tc>
          <w:tcPr>
            <w:tcW w:type="dxa" w:w="3119"/>
            <w:vAlign w:val="center"/>
          </w:tcPr>
          <w:p w:rsidP="00196812" w:rsidR="00941F6C" w:rsidRDefault="00941F6C" w:rsidRPr="00A15461">
            <w:pPr>
              <w:spacing w:before="29" w:line="360" w:lineRule="auto"/>
              <w:ind w:left="17"/>
              <w:jc w:val="center"/>
              <w:rPr>
                <w:color w:val="000000"/>
                <w:sz w:val="24"/>
              </w:rPr>
            </w:pPr>
            <w:r w:rsidRPr="00A15461">
              <w:rPr>
                <w:color w:val="000000"/>
                <w:sz w:val="24"/>
              </w:rPr>
              <w:t>金额</w:t>
            </w:r>
            <w:r w:rsidR="00DC22A1" w:rsidRPr="00A15461">
              <w:rPr>
                <w:color w:val="000000"/>
                <w:sz w:val="24"/>
              </w:rPr>
              <w:t>（元）</w:t>
            </w:r>
          </w:p>
        </w:tc>
        <w:tc>
          <w:tcPr>
            <w:tcW w:type="dxa" w:w="1843"/>
            <w:vAlign w:val="center"/>
          </w:tcPr>
          <w:p w:rsidP="00196812" w:rsidR="00941F6C" w:rsidRDefault="00941F6C" w:rsidRPr="00A15461">
            <w:pPr>
              <w:spacing w:before="29" w:line="360" w:lineRule="auto"/>
              <w:ind w:left="17"/>
              <w:jc w:val="center"/>
              <w:rPr>
                <w:color w:val="000000"/>
                <w:sz w:val="24"/>
              </w:rPr>
            </w:pPr>
            <w:r w:rsidRPr="00A15461">
              <w:rPr>
                <w:color w:val="000000"/>
                <w:sz w:val="24"/>
              </w:rPr>
              <w:t>占基金总资产的比例</w:t>
            </w:r>
            <w:r w:rsidRPr="00A15461">
              <w:rPr>
                <w:color w:val="000000"/>
                <w:sz w:val="24"/>
              </w:rPr>
              <w:t>(%)</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1</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固定收益投资</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4,730,929,248.94</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44.13</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其中：债券</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4,730,929,248.94</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44.13</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autoSpaceDE w:val="0"/>
              <w:autoSpaceDN w:val="0"/>
              <w:adjustRightInd w:val="0"/>
              <w:spacing w:before="29" w:line="360" w:lineRule="auto"/>
              <w:ind w:left="17"/>
              <w:jc w:val="left"/>
              <w:rPr>
                <w:color w:val="000000"/>
                <w:sz w:val="24"/>
              </w:rPr>
            </w:pPr>
            <w:r w:rsidRPr="00A15461">
              <w:rPr>
                <w:color w:val="000000"/>
                <w:sz w:val="24"/>
              </w:rPr>
              <w:t>资产支持证券</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2</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买入返售金融资产</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5,281,000,528.80</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r w:rsidRPr="00A15461">
              <w:rPr>
                <w:color w:val="000000"/>
                <w:sz w:val="24"/>
              </w:rPr>
              <w:lastRenderedPageBreak/>
              <w:t>49.27</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其中：买断式回购的买入返售金融资产</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3</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银行存款和结算备付金合计</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560,009,383.99</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5.22</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4</w:t>
            </w:r>
          </w:p>
        </w:tc>
        <w:tc>
          <w:tcPr>
            <w:tcW w:type="dxa" w:w="3357"/>
            <w:vAlign w:val="center"/>
          </w:tcPr>
          <w:p w:rsidP="00196812" w:rsidR="00941F6C" w:rsidRDefault="00941F6C" w:rsidRPr="00A15461">
            <w:pPr>
              <w:spacing w:line="360" w:lineRule="auto"/>
              <w:jc w:val="left"/>
              <w:rPr>
                <w:sz w:val="24"/>
              </w:rPr>
            </w:pPr>
            <w:r w:rsidRPr="00A15461">
              <w:rPr>
                <w:color w:val="000000"/>
                <w:sz w:val="24"/>
              </w:rPr>
              <w:t>其他资产</w:t>
            </w:r>
          </w:p>
        </w:tc>
        <w:tc>
          <w:tcPr>
            <w:tcW w:type="dxa" w:w="3119"/>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147,299,486.60</w:t>
            </w:r>
          </w:p>
        </w:tc>
        <w:tc>
          <w:tcPr>
            <w:tcW w:type="dxa" w:w="1843"/>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r w:rsidRPr="00A15461">
              <w:rPr>
                <w:color w:val="000000"/>
                <w:sz w:val="24"/>
              </w:rPr>
              <w:lastRenderedPageBreak/>
              <w:t/>
            </w:r>
            <w:proofErr w:type="spellEnd"/>
            <w:r w:rsidRPr="00A15461">
              <w:rPr>
                <w:color w:val="000000"/>
                <w:sz w:val="24"/>
              </w:rPr>
              <w:t>1.37</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lastRenderedPageBreak/>
              <w:t>5</w:t>
            </w:r>
          </w:p>
        </w:tc>
        <w:tc>
          <w:tcPr>
            <w:tcW w:type="dxa" w:w="3357"/>
            <w:vAlign w:val="center"/>
          </w:tcPr>
          <w:p w:rsidP="00196812" w:rsidR="00941F6C" w:rsidRDefault="00941F6C" w:rsidRPr="00A15461">
            <w:pPr>
              <w:spacing w:line="360" w:lineRule="auto"/>
              <w:jc w:val="left"/>
              <w:rPr>
                <w:sz w:val="24"/>
              </w:rPr>
            </w:pPr>
            <w:r w:rsidRPr="00A15461">
              <w:rPr>
                <w:color w:val="000000"/>
                <w:sz w:val="24"/>
              </w:rPr>
              <w:t>合计</w:t>
            </w:r>
          </w:p>
        </w:tc>
        <w:tc>
          <w:tcPr>
            <w:tcW w:type="dxa" w:w="3119"/>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10,719,238,648.33</w:t>
            </w:r>
          </w:p>
        </w:tc>
        <w:tc>
          <w:tcPr>
            <w:tcW w:type="dxa" w:w="1843"/>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100.00</w:t>
            </w:r>
          </w:p>
        </w:tc>
      </w:tr>
    </w:tbl>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61"/>
        <w:gridCol w:w="3108"/>
        <w:gridCol w:w="2977"/>
        <w:gridCol w:w="2126"/>
      </w:tblGrid>
      <w:tr w:rsidR="00941F6C" w:rsidRPr="0097021E" w:rsidTr="00C400D7">
        <w:tc>
          <w:tcPr>
            <w:tcW w:type="dxa" w:w="861"/>
            <w:vAlign w:val="center"/>
          </w:tcPr>
          <w:p w:rsidP="00196812" w:rsidR="00941F6C" w:rsidRDefault="00941F6C" w:rsidRPr="00A15461">
            <w:pPr>
              <w:spacing w:line="360" w:lineRule="auto"/>
              <w:rPr>
                <w:color w:val="000000"/>
                <w:kern w:val="0"/>
                <w:sz w:val="24"/>
              </w:rPr>
            </w:pPr>
            <w:r w:rsidRPr="00A15461">
              <w:rPr>
                <w:color w:val="000000"/>
                <w:kern w:val="0"/>
                <w:sz w:val="24"/>
              </w:rPr>
              <w:t>序号</w:t>
            </w:r>
          </w:p>
        </w:tc>
        <w:tc>
          <w:tcPr>
            <w:tcW w:type="dxa" w:w="3108"/>
            <w:vAlign w:val="center"/>
          </w:tcPr>
          <w:p w:rsidP="00196812" w:rsidR="00941F6C" w:rsidRDefault="00941F6C" w:rsidRPr="00A15461">
            <w:pPr>
              <w:spacing w:line="360" w:lineRule="auto"/>
              <w:rPr>
                <w:color w:val="000000"/>
                <w:kern w:val="0"/>
                <w:sz w:val="24"/>
              </w:rPr>
            </w:pPr>
            <w:r w:rsidRPr="00A15461">
              <w:rPr>
                <w:color w:val="000000"/>
                <w:kern w:val="0"/>
                <w:sz w:val="24"/>
              </w:rPr>
              <w:t>项目</w:t>
            </w:r>
          </w:p>
        </w:tc>
        <w:tc>
          <w:tcPr>
            <w:tcW w:type="dxa" w:w="5103"/>
            <w:gridSpan w:val="2"/>
            <w:vAlign w:val="center"/>
          </w:tcPr>
          <w:p w:rsidP="00196812" w:rsidR="00941F6C" w:rsidRDefault="00941F6C" w:rsidRPr="00A15461">
            <w:pPr>
              <w:spacing w:line="360" w:lineRule="auto"/>
              <w:rPr>
                <w:color w:val="000000"/>
                <w:kern w:val="0"/>
                <w:sz w:val="24"/>
              </w:rPr>
            </w:pPr>
            <w:r w:rsidRPr="00A15461">
              <w:rPr>
                <w:color w:val="000000"/>
                <w:kern w:val="0"/>
                <w:sz w:val="24"/>
              </w:rPr>
              <w:t>占基金资产净值的比例（％）</w:t>
            </w:r>
          </w:p>
        </w:tc>
      </w:tr>
      <w:tr w:rsidR="00941F6C" w:rsidRPr="0097021E" w:rsidTr="00C400D7">
        <w:tc>
          <w:tcPr>
            <w:tcW w:type="dxa" w:w="861"/>
            <w:vAlign w:val="center"/>
          </w:tcPr>
          <w:p w:rsidP="00196812" w:rsidR="00941F6C" w:rsidRDefault="00941F6C" w:rsidRPr="00A15461">
            <w:pPr>
              <w:spacing w:line="360" w:lineRule="auto"/>
              <w:rPr>
                <w:color w:val="000000"/>
                <w:kern w:val="0"/>
                <w:sz w:val="24"/>
              </w:rPr>
            </w:pPr>
            <w:r w:rsidRPr="00A15461">
              <w:rPr>
                <w:color w:val="000000"/>
                <w:kern w:val="0"/>
                <w:sz w:val="24"/>
              </w:rPr>
              <w:t>1</w:t>
            </w:r>
          </w:p>
        </w:tc>
        <w:tc>
          <w:tcPr>
            <w:tcW w:type="dxa" w:w="3108"/>
          </w:tcPr>
          <w:p w:rsidP="00196812" w:rsidR="00941F6C" w:rsidRDefault="00941F6C" w:rsidRPr="00A15461">
            <w:pPr>
              <w:spacing w:line="360" w:lineRule="auto"/>
              <w:rPr>
                <w:sz w:val="24"/>
              </w:rPr>
            </w:pPr>
            <w:r w:rsidRPr="00A15461">
              <w:rPr>
                <w:sz w:val="24"/>
              </w:rPr>
              <w:t>报告期内债券回购融资余额</w:t>
            </w:r>
          </w:p>
        </w:tc>
        <w:tc>
          <w:tcPr>
            <w:tcW w:type="dxa" w:w="5103"/>
            <w:gridSpan w:val="2"/>
            <w:vAlign w:val="center"/>
          </w:tcPr>
          <w:p w:rsidP="00196812" w:rsidR="00941F6C" w:rsidRDefault="00941F6C" w:rsidRPr="00A15461">
            <w:pPr>
              <w:spacing w:line="360" w:lineRule="auto"/>
              <w:rPr>
                <w:sz w:val="24"/>
              </w:rPr>
            </w:pPr>
            <w:r w:rsidRPr="00A15461">
              <w:rPr>
                <w:sz w:val="24"/>
              </w:rPr>
              <w:t>6.88</w:t>
            </w:r>
          </w:p>
        </w:tc>
      </w:tr>
      <w:tr w:rsidR="00941F6C" w:rsidRPr="0097021E" w:rsidTr="00C400D7">
        <w:trPr>
          <w:trHeight w:val="712"/>
        </w:trPr>
        <w:tc>
          <w:tcPr>
            <w:tcW w:type="dxa" w:w="861"/>
            <w:vAlign w:val="center"/>
          </w:tcPr>
          <w:p w:rsidP="00196812" w:rsidR="00941F6C" w:rsidRDefault="00941F6C" w:rsidRPr="00A15461">
            <w:pPr>
              <w:spacing w:line="360" w:lineRule="auto"/>
              <w:rPr>
                <w:color w:val="000000"/>
                <w:sz w:val="24"/>
              </w:rPr>
            </w:pPr>
          </w:p>
        </w:tc>
        <w:tc>
          <w:tcPr>
            <w:tcW w:type="dxa" w:w="3108"/>
          </w:tcPr>
          <w:p w:rsidP="00196812" w:rsidR="00941F6C" w:rsidRDefault="00941F6C" w:rsidRPr="00A15461">
            <w:pPr>
              <w:spacing w:line="360" w:lineRule="auto"/>
              <w:rPr>
                <w:sz w:val="24"/>
              </w:rPr>
            </w:pPr>
            <w:r w:rsidRPr="00A15461">
              <w:rPr>
                <w:sz w:val="24"/>
              </w:rPr>
              <w:t>其中：买断式回购融资</w:t>
            </w:r>
          </w:p>
        </w:tc>
        <w:tc>
          <w:tcPr>
            <w:tcW w:type="dxa" w:w="5103"/>
            <w:gridSpan w:val="2"/>
            <w:vAlign w:val="center"/>
          </w:tcPr>
          <w:p w:rsidP="00196812" w:rsidR="00941F6C" w:rsidRDefault="00941F6C" w:rsidRPr="00A15461">
            <w:pPr>
              <w:spacing w:line="360" w:lineRule="auto"/>
              <w:rPr>
                <w:sz w:val="24"/>
              </w:rPr>
            </w:pPr>
            <w:r w:rsidRPr="00A15461">
              <w:rPr>
                <w:sz w:val="24"/>
              </w:rPr>
              <w:t>-</w:t>
            </w:r>
          </w:p>
        </w:tc>
      </w:tr>
      <w:tr w:rsidR="00941F6C" w:rsidRPr="0097021E" w:rsidTr="00C400D7">
        <w:tc>
          <w:tcPr>
            <w:tcW w:type="dxa" w:w="861"/>
            <w:vAlign w:val="center"/>
          </w:tcPr>
          <w:p w:rsidP="00196812" w:rsidR="00941F6C" w:rsidRDefault="00941F6C" w:rsidRPr="00A15461">
            <w:pPr>
              <w:spacing w:line="360" w:lineRule="auto"/>
              <w:rPr>
                <w:color w:val="000000"/>
                <w:sz w:val="24"/>
              </w:rPr>
            </w:pPr>
            <w:r w:rsidRPr="00A15461">
              <w:rPr>
                <w:color w:val="000000"/>
                <w:kern w:val="0"/>
                <w:sz w:val="24"/>
              </w:rPr>
              <w:t>序号</w:t>
            </w:r>
          </w:p>
        </w:tc>
        <w:tc>
          <w:tcPr>
            <w:tcW w:type="dxa" w:w="3108"/>
          </w:tcPr>
          <w:p w:rsidP="00196812" w:rsidR="00941F6C" w:rsidRDefault="00941F6C" w:rsidRPr="00A15461">
            <w:pPr>
              <w:spacing w:line="360" w:lineRule="auto"/>
              <w:rPr>
                <w:sz w:val="24"/>
              </w:rPr>
            </w:pPr>
            <w:r w:rsidRPr="00A15461">
              <w:rPr>
                <w:sz w:val="24"/>
              </w:rPr>
              <w:t>项目</w:t>
            </w:r>
          </w:p>
        </w:tc>
        <w:tc>
          <w:tcPr>
            <w:tcW w:type="dxa" w:w="2977"/>
            <w:vAlign w:val="center"/>
          </w:tcPr>
          <w:p w:rsidP="00196812" w:rsidR="00941F6C" w:rsidRDefault="00941F6C" w:rsidRPr="00A15461">
            <w:pPr>
              <w:spacing w:line="360" w:lineRule="auto"/>
              <w:rPr>
                <w:sz w:val="24"/>
              </w:rPr>
            </w:pPr>
            <w:r w:rsidRPr="00A15461">
              <w:rPr>
                <w:sz w:val="24"/>
              </w:rPr>
              <w:t>金额</w:t>
            </w:r>
          </w:p>
        </w:tc>
        <w:tc>
          <w:tcPr>
            <w:tcW w:type="dxa" w:w="2126"/>
            <w:vAlign w:val="center"/>
          </w:tcPr>
          <w:p w:rsidP="00196812" w:rsidR="00941F6C" w:rsidRDefault="00941F6C" w:rsidRPr="00A15461">
            <w:pPr>
              <w:spacing w:line="360" w:lineRule="auto"/>
              <w:rPr>
                <w:sz w:val="24"/>
              </w:rPr>
            </w:pPr>
            <w:r w:rsidRPr="00A15461">
              <w:rPr>
                <w:color w:val="000000"/>
                <w:kern w:val="0"/>
                <w:sz w:val="24"/>
              </w:rPr>
              <w:t>占基金资产净值的比例（％）</w:t>
            </w:r>
          </w:p>
        </w:tc>
      </w:tr>
      <w:tr w:rsidR="00941F6C" w:rsidRPr="0097021E" w:rsidTr="00C400D7">
        <w:tc>
          <w:tcPr>
            <w:tcW w:type="dxa" w:w="861"/>
            <w:vMerge w:val="restart"/>
            <w:vAlign w:val="center"/>
          </w:tcPr>
          <w:p w:rsidP="00196812" w:rsidR="00941F6C" w:rsidRDefault="00941F6C" w:rsidRPr="00A15461">
            <w:pPr>
              <w:spacing w:line="360" w:lineRule="auto"/>
              <w:rPr>
                <w:color w:val="000000"/>
                <w:sz w:val="24"/>
              </w:rPr>
            </w:pPr>
            <w:r w:rsidRPr="00A15461">
              <w:rPr>
                <w:color w:val="000000"/>
                <w:sz w:val="24"/>
              </w:rPr>
              <w:t>2</w:t>
            </w:r>
          </w:p>
        </w:tc>
        <w:tc>
          <w:tcPr>
            <w:tcW w:type="dxa" w:w="3108"/>
          </w:tcPr>
          <w:p w:rsidP="00196812" w:rsidR="00941F6C" w:rsidRDefault="00941F6C" w:rsidRPr="00A15461">
            <w:pPr>
              <w:spacing w:line="360" w:lineRule="auto"/>
              <w:rPr>
                <w:sz w:val="24"/>
              </w:rPr>
            </w:pPr>
            <w:r w:rsidRPr="00A15461">
              <w:rPr>
                <w:sz w:val="24"/>
              </w:rPr>
              <w:t>报告期末债券回购融资余额</w:t>
            </w:r>
          </w:p>
        </w:tc>
        <w:tc>
          <w:tcPr>
            <w:tcW w:type="dxa" w:w="2977"/>
            <w:vAlign w:val="center"/>
          </w:tcPr>
          <w:p w:rsidP="00196812" w:rsidR="00941F6C" w:rsidRDefault="00941F6C" w:rsidRPr="00A15461">
            <w:pPr>
              <w:spacing w:line="360" w:lineRule="auto"/>
              <w:rPr>
                <w:sz w:val="24"/>
              </w:rPr>
            </w:pPr>
            <w:r w:rsidRPr="00A15461">
              <w:rPr>
                <w:sz w:val="24"/>
              </w:rPr>
              <w:t/>
            </w:r>
            <w:proofErr w:type="spellStart"/>
            <w:r w:rsidRPr="00A15461">
              <w:rPr>
                <w:sz w:val="24"/>
              </w:rPr>
              <w:t/>
            </w:r>
            <w:proofErr w:type="spellEnd"/>
            <w:r w:rsidRPr="00A15461">
              <w:rPr>
                <w:sz w:val="24"/>
              </w:rPr>
              <w:t>-</w:t>
            </w:r>
          </w:p>
        </w:tc>
        <w:tc>
          <w:tcPr>
            <w:tcW w:type="dxa" w:w="2126"/>
            <w:vAlign w:val="center"/>
          </w:tcPr>
          <w:p w:rsidP="00196812" w:rsidR="00941F6C" w:rsidRDefault="00941F6C" w:rsidRPr="00A15461">
            <w:pPr>
              <w:spacing w:line="360" w:lineRule="auto"/>
              <w:rPr>
                <w:sz w:val="24"/>
              </w:rPr>
            </w:pPr>
            <w:r w:rsidRPr="00A15461">
              <w:rPr>
                <w:sz w:val="24"/>
              </w:rPr>
              <w:t>-</w:t>
            </w:r>
          </w:p>
        </w:tc>
      </w:tr>
      <w:tr w:rsidR="00941F6C" w:rsidRPr="0097021E" w:rsidTr="00C400D7">
        <w:tc>
          <w:tcPr>
            <w:tcW w:type="dxa" w:w="861"/>
            <w:vMerge/>
            <w:vAlign w:val="center"/>
          </w:tcPr>
          <w:p w:rsidP="00196812" w:rsidR="00941F6C" w:rsidRDefault="00941F6C" w:rsidRPr="00A15461">
            <w:pPr>
              <w:spacing w:line="360" w:lineRule="auto"/>
              <w:rPr>
                <w:color w:val="000000"/>
                <w:sz w:val="24"/>
              </w:rPr>
            </w:pPr>
          </w:p>
        </w:tc>
        <w:tc>
          <w:tcPr>
            <w:tcW w:type="dxa" w:w="3108"/>
          </w:tcPr>
          <w:p w:rsidP="00196812" w:rsidR="00941F6C" w:rsidRDefault="00941F6C" w:rsidRPr="00A15461">
            <w:pPr>
              <w:spacing w:line="360" w:lineRule="auto"/>
              <w:rPr>
                <w:sz w:val="24"/>
              </w:rPr>
            </w:pPr>
            <w:r w:rsidRPr="00A15461">
              <w:rPr>
                <w:sz w:val="24"/>
              </w:rPr>
              <w:t>其中：买断式回购融资</w:t>
            </w:r>
          </w:p>
        </w:tc>
        <w:tc>
          <w:tcPr>
            <w:tcW w:type="dxa" w:w="2977"/>
            <w:vAlign w:val="center"/>
          </w:tcPr>
          <w:p w:rsidP="00196812" w:rsidR="00941F6C" w:rsidRDefault="00941F6C" w:rsidRPr="00A15461">
            <w:pPr>
              <w:spacing w:line="360" w:lineRule="auto"/>
              <w:rPr>
                <w:sz w:val="24"/>
              </w:rPr>
            </w:pPr>
            <w:r w:rsidRPr="00A15461">
              <w:rPr>
                <w:sz w:val="24"/>
              </w:rPr>
              <w:t/>
            </w:r>
            <w:proofErr w:type="spellStart"/>
            <w:r w:rsidRPr="00A15461">
              <w:rPr>
                <w:sz w:val="24"/>
              </w:rPr>
              <w:t/>
            </w:r>
            <w:proofErr w:type="spellEnd"/>
            <w:r w:rsidRPr="00A15461">
              <w:rPr>
                <w:sz w:val="24"/>
              </w:rPr>
              <w:t>-</w:t>
            </w:r>
          </w:p>
        </w:tc>
        <w:tc>
          <w:tcPr>
            <w:tcW w:type="dxa" w:w="2126"/>
            <w:vAlign w:val="center"/>
          </w:tcPr>
          <w:p w:rsidP="00196812" w:rsidR="00941F6C" w:rsidRDefault="00941F6C" w:rsidRPr="00A15461">
            <w:pPr>
              <w:spacing w:line="360" w:lineRule="auto"/>
              <w:rPr>
                <w:sz w:val="24"/>
              </w:rPr>
            </w:pPr>
            <w:r w:rsidRPr="00A15461">
              <w:rPr>
                <w:sz w:val="24"/>
              </w:rPr>
              <w:t>-</w:t>
            </w:r>
          </w:p>
        </w:tc>
      </w:tr>
    </w:tbl>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注：上表中报告期内债券回购融资余额占基金资产净值的比例为报告期内每个交易日融资余额占基金资产净值比例的简单平均值。</w:t>
      </w:r>
    </w:p>
    <w:p w:rsidP="00196812" w:rsidR="00941F6C" w:rsidRDefault="00941F6C"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在本报告期内本货币市场基金债券正回购的资金余额未超过资产净值的20%。</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5.3.1</w:t>
        </w:r>
      </w:smartTag>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项目</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5016"/>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天数</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报告期末投资组合平均剩余期限</w:t>
            </w:r>
          </w:p>
        </w:tc>
        <w:tc>
          <w:tcPr>
            <w:tcW w:type="dxa" w:w="5016"/>
            <w:vAlign w:val="center"/>
          </w:tcPr>
          <w:p w:rsidP="00196812" w:rsidR="00941F6C" w:rsidRDefault="00941F6C" w:rsidRPr="00A15461">
            <w:pPr>
              <w:spacing w:line="360" w:lineRule="auto"/>
              <w:ind w:right="120"/>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51</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报告期内投资组合平均剩余期限最高值</w:t>
            </w:r>
          </w:p>
        </w:tc>
        <w:tc>
          <w:tcPr>
            <w:tcW w:type="dxa" w:w="5016"/>
            <w:vAlign w:val="center"/>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59</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报告期内投资组合平均剩余期限最低值</w:t>
            </w:r>
          </w:p>
        </w:tc>
        <w:tc>
          <w:tcPr>
            <w:tcW w:type="dxa" w:w="5016"/>
            <w:vAlign w:val="center"/>
          </w:tcPr>
          <w:p w:rsidP="00196812" w:rsidR="00941F6C" w:rsidRDefault="00941F6C" w:rsidRPr="00A15461">
            <w:pPr>
              <w:spacing w:line="360" w:lineRule="auto"/>
              <w:ind w:right="120"/>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43</w:t>
            </w:r>
          </w:p>
        </w:tc>
      </w:tr>
    </w:tbl>
    <w:p w:rsidP="003A0EC1" w:rsidR="00941F6C" w:rsidRDefault="00941F6C"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报告期内投资组合平均剩余期限超过</w:t>
      </w:r>
      <w:r w:rsidRPr="003A0EC1">
        <w:rPr>
          <w:rFonts w:ascii="宋体" w:cs="Arial" w:hAnsi="宋体"/>
          <w:b/>
          <w:color w:val="000000"/>
          <w:kern w:val="0"/>
          <w:sz w:val="24"/>
        </w:rPr>
        <w:t>1</w:t>
      </w:r>
      <w:r w:rsidR="008E6C59">
        <w:rPr>
          <w:rFonts w:ascii="宋体" w:cs="Arial" w:hAnsi="宋体" w:hint="eastAsia"/>
          <w:b/>
          <w:color w:val="000000"/>
          <w:kern w:val="0"/>
          <w:sz w:val="24"/>
        </w:rPr>
        <w:t>2</w:t>
      </w:r>
      <w:r w:rsidRPr="003A0EC1">
        <w:rPr>
          <w:rFonts w:ascii="宋体" w:cs="Arial" w:hAnsi="宋体"/>
          <w:b/>
          <w:color w:val="000000"/>
          <w:kern w:val="0"/>
          <w:sz w:val="24"/>
        </w:rPr>
        <w:t>0</w:t>
      </w:r>
      <w:r w:rsidRPr="003A0EC1">
        <w:rPr>
          <w:rFonts w:ascii="宋体" w:cs="Arial" w:hAnsi="宋体" w:hint="eastAsia"/>
          <w:b/>
          <w:color w:val="000000"/>
          <w:kern w:val="0"/>
          <w:sz w:val="24"/>
        </w:rPr>
        <w:t>天情况说明</w:t>
      </w:r>
    </w:p>
    <w:p w:rsidP="008E6C59" w:rsidR="008E6C59" w:rsidRDefault="008E6C59" w:rsidRPr="008E6C59">
      <w:pPr>
        <w:adjustRightInd w:val="0"/>
        <w:spacing w:line="360" w:lineRule="auto"/>
        <w:ind w:firstLine="480" w:firstLineChars="200"/>
        <w:rPr>
          <w:color w:val="000000"/>
          <w:sz w:val="24"/>
        </w:rPr>
      </w:pPr>
      <w:r w:rsidRPr="008E6C59">
        <w:rPr>
          <w:rFonts w:hint="eastAsia"/>
          <w:color w:val="000000"/>
          <w:sz w:val="24"/>
        </w:rPr>
        <w:lastRenderedPageBreak/>
        <w:t/>
      </w:r>
      <w:r w:rsidRPr="008E6C59">
        <w:rPr>
          <w:color w:val="000000"/>
          <w:sz w:val="24"/>
        </w:rPr>
        <w:t/>
      </w:r>
      <w:r w:rsidRPr="008E6C59">
        <w:rPr>
          <w:rFonts w:hint="eastAsia"/>
          <w:color w:val="000000"/>
          <w:sz w:val="24"/>
        </w:rPr>
        <w:t>本报告期内本货币市场基金投资组合平均剩余期限未超过120天。</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type="dxa" w:w="33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平均剩余期限</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2529"/>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各期限资产占基金资产净值的比例（</w:t>
            </w:r>
            <w:r w:rsidRPr="00A15461">
              <w:rPr>
                <w:color w:val="000000"/>
                <w:kern w:val="0"/>
                <w:sz w:val="24"/>
              </w:rPr>
              <w:t>%</w:t>
            </w:r>
            <w:r w:rsidRPr="00A15461">
              <w:rPr>
                <w:color w:val="000000"/>
                <w:kern w:val="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各期限负债占基金资产净值的比例（％）</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sz w:val="24"/>
              </w:rPr>
              <w:t>1</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30</w:t>
            </w:r>
            <w:r w:rsidRPr="00A15461">
              <w:rPr>
                <w:color w:val="000000"/>
                <w:sz w:val="24"/>
              </w:rPr>
              <w:t>天以内</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62.03</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0.00</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r w:rsidRPr="00A15461">
              <w:rPr>
                <w:color w:val="000000"/>
                <w:sz w:val="24"/>
              </w:rPr>
              <w:t>2</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30</w:t>
            </w:r>
            <w:r w:rsidRPr="00A15461">
              <w:rPr>
                <w:color w:val="000000"/>
                <w:sz w:val="24"/>
              </w:rPr>
              <w:t>天（含）</w:t>
            </w:r>
            <w:r w:rsidRPr="00A15461">
              <w:rPr>
                <w:color w:val="000000"/>
                <w:sz w:val="24"/>
              </w:rPr>
              <w:t>—60</w:t>
            </w:r>
            <w:r w:rsidRPr="00A15461">
              <w:rPr>
                <w:color w:val="000000"/>
                <w:sz w:val="24"/>
              </w:rPr>
              <w:t>天</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4.74</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r w:rsidRPr="00A15461">
              <w:rPr>
                <w:color w:val="000000"/>
                <w:sz w:val="24"/>
              </w:rPr>
              <w:t>3</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sz w:val="24"/>
              </w:rPr>
            </w:pPr>
            <w:r w:rsidRPr="00A15461">
              <w:rPr>
                <w:color w:val="000000"/>
                <w:sz w:val="24"/>
              </w:rPr>
              <w:t>60</w:t>
            </w:r>
            <w:r w:rsidRPr="00A15461">
              <w:rPr>
                <w:color w:val="000000"/>
                <w:sz w:val="24"/>
              </w:rPr>
              <w:t>天（含）</w:t>
            </w:r>
            <w:r w:rsidRPr="00A15461">
              <w:rPr>
                <w:color w:val="000000"/>
                <w:sz w:val="24"/>
              </w:rPr>
              <w:t>—90</w:t>
            </w:r>
            <w:r w:rsidRPr="00A15461">
              <w:rPr>
                <w:color w:val="000000"/>
                <w:sz w:val="24"/>
              </w:rPr>
              <w:t>天</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
            </w:r>
            <w:r w:rsidRPr="00A15461">
              <w:rPr>
                <w:color w:val="000000"/>
                <w:sz w:val="24"/>
              </w:rPr>
              <w:lastRenderedPageBreak/>
              <w:t>2.62</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lastRenderedPageBreak/>
              <w:t/>
            </w:r>
            <w:r w:rsidRPr="00A15461">
              <w:rPr>
                <w:color w:val="000000"/>
                <w:sz w:val="24"/>
              </w:rPr>
              <w:lastRenderedPageBreak/>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r w:rsidRPr="00A15461">
              <w:rPr>
                <w:color w:val="000000"/>
                <w:sz w:val="24"/>
              </w:rPr>
              <w:t>4</w:t>
            </w: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90</w:t>
            </w:r>
            <w:r w:rsidRPr="00E5550E">
              <w:rPr>
                <w:rFonts w:eastAsiaTheme="minorEastAsia"/>
                <w:color w:themeColor="text1" w:val="000000"/>
                <w:sz w:val="24"/>
              </w:rPr>
              <w:t>天（含）</w:t>
            </w:r>
            <w:r w:rsidRPr="00E5550E">
              <w:rPr>
                <w:rFonts w:eastAsiaTheme="minorEastAsia"/>
                <w:color w:themeColor="text1" w:val="000000"/>
                <w:sz w:val="24"/>
              </w:rPr>
              <w:t>—120</w:t>
            </w:r>
            <w:r w:rsidRPr="00E5550E">
              <w:rPr>
                <w:rFonts w:eastAsiaTheme="minorEastAsia"/>
                <w:color w:themeColor="text1" w:val="000000"/>
                <w:sz w:val="24"/>
              </w:rPr>
              <w:t>天</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4.25</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其中：剩余存续期超过</w:t>
            </w:r>
            <w:r w:rsidRPr="00E5550E">
              <w:rPr>
                <w:rFonts w:eastAsiaTheme="minorEastAsia"/>
                <w:color w:themeColor="text1" w:val="000000"/>
                <w:sz w:val="24"/>
              </w:rPr>
              <w:t>397</w:t>
            </w:r>
            <w:r w:rsidRPr="00E5550E">
              <w:rPr>
                <w:rFonts w:eastAsiaTheme="minorEastAsia"/>
                <w:color w:themeColor="text1" w:val="000000"/>
                <w:sz w:val="24"/>
              </w:rPr>
              <w:t>天的浮动利率债</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r w:rsidRPr="00A15461">
              <w:rPr>
                <w:color w:val="000000"/>
                <w:sz w:val="24"/>
              </w:rPr>
              <w:t>5</w:t>
            </w: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120</w:t>
            </w:r>
            <w:r w:rsidRPr="00E5550E">
              <w:rPr>
                <w:rFonts w:eastAsiaTheme="minorEastAsia"/>
                <w:color w:themeColor="text1" w:val="000000"/>
                <w:sz w:val="24"/>
              </w:rPr>
              <w:t>天（含）</w:t>
            </w:r>
            <w:r w:rsidRPr="00E5550E">
              <w:rPr>
                <w:rFonts w:eastAsiaTheme="minorEastAsia"/>
                <w:color w:themeColor="text1" w:val="000000"/>
                <w:sz w:val="24"/>
              </w:rPr>
              <w:t>—397</w:t>
            </w:r>
            <w:r w:rsidRPr="00E5550E">
              <w:rPr>
                <w:rFonts w:eastAsiaTheme="minorEastAsia"/>
                <w:color w:themeColor="text1" w:val="000000"/>
                <w:sz w:val="24"/>
              </w:rPr>
              <w:t>天（含）</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26.20</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其中：剩余存续期超过</w:t>
            </w:r>
            <w:r w:rsidRPr="00E5550E">
              <w:rPr>
                <w:rFonts w:eastAsiaTheme="minorEastAsia"/>
                <w:color w:themeColor="text1" w:val="000000"/>
                <w:sz w:val="24"/>
              </w:rPr>
              <w:t>397</w:t>
            </w:r>
            <w:r w:rsidRPr="00E5550E">
              <w:rPr>
                <w:rFonts w:eastAsiaTheme="minorEastAsia"/>
                <w:color w:themeColor="text1" w:val="000000"/>
                <w:sz w:val="24"/>
              </w:rPr>
              <w:t>天的浮动利率债</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4B40EC" w:rsidRPr="0097021E" w:rsidTr="00C400D7">
        <w:tc>
          <w:tcPr>
            <w:tcW w:type="dxa" w:w="4202"/>
            <w:gridSpan w:val="2"/>
            <w:vAlign w:val="center"/>
          </w:tcPr>
          <w:p w:rsidP="00196812" w:rsidR="004B40EC" w:rsidRDefault="004B40EC" w:rsidRPr="004B40EC">
            <w:pPr>
              <w:autoSpaceDE w:val="0"/>
              <w:autoSpaceDN w:val="0"/>
              <w:adjustRightInd w:val="0"/>
              <w:spacing w:before="29" w:line="360" w:lineRule="auto"/>
              <w:ind w:left="15"/>
              <w:jc w:val="center"/>
              <w:rPr>
                <w:color w:val="000000"/>
                <w:sz w:val="24"/>
              </w:rPr>
            </w:pPr>
            <w:r w:rsidRPr="004B40EC">
              <w:rPr>
                <w:color w:val="000000"/>
                <w:sz w:val="24"/>
              </w:rPr>
              <w:lastRenderedPageBreak/>
              <w:t>合计</w:t>
            </w:r>
          </w:p>
        </w:tc>
        <w:tc>
          <w:tcPr>
            <w:tcW w:type="dxa" w:w="2529"/>
            <w:vAlign w:val="center"/>
          </w:tcPr>
          <w:p w:rsidP="007C1713" w:rsidR="004B40EC" w:rsidRDefault="004B40EC" w:rsidRPr="004B40EC">
            <w:pPr>
              <w:autoSpaceDE w:val="0"/>
              <w:autoSpaceDN w:val="0"/>
              <w:adjustRightInd w:val="0"/>
              <w:spacing w:before="29" w:line="360" w:lineRule="auto"/>
              <w:ind w:left="15"/>
              <w:jc w:val="right"/>
              <w:rPr>
                <w:rFonts w:eastAsiaTheme="minorEastAsia"/>
                <w:color w:themeColor="text1" w:val="000000"/>
                <w:kern w:val="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99.84</w:t>
            </w:r>
          </w:p>
        </w:tc>
        <w:tc>
          <w:tcPr>
            <w:tcW w:type="dxa" w:w="2431"/>
            <w:vAlign w:val="center"/>
          </w:tcPr>
          <w:p w:rsidP="007C1713" w:rsidR="004B40EC" w:rsidRDefault="004B40EC" w:rsidRPr="004B40EC">
            <w:pPr>
              <w:autoSpaceDE w:val="0"/>
              <w:autoSpaceDN w:val="0"/>
              <w:adjustRightInd w:val="0"/>
              <w:spacing w:before="29" w:line="360" w:lineRule="auto"/>
              <w:ind w:left="15"/>
              <w:jc w:val="right"/>
              <w:rPr>
                <w:rFonts w:eastAsiaTheme="minorEastAsia"/>
                <w:color w:themeColor="text1" w:val="000000"/>
                <w:kern w:val="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0.00</w:t>
            </w:r>
          </w:p>
        </w:tc>
      </w:tr>
    </w:tbl>
    <w:p w:rsidP="004B40EC" w:rsidR="004B40EC" w:rsidRDefault="004B40EC" w:rsidRPr="003025FA">
      <w:pPr>
        <w:spacing w:line="360" w:lineRule="auto"/>
        <w:rPr>
          <w:rFonts w:asciiTheme="minorEastAsia" w:cs="Arial" w:eastAsiaTheme="minorEastAsia" w:hAnsiTheme="minorEastAsia"/>
          <w:b/>
          <w:color w:themeColor="text1" w:val="000000"/>
          <w:kern w:val="0"/>
          <w:sz w:val="24"/>
        </w:rPr>
      </w:pPr>
      <w:r>
        <w:rPr>
          <w:rFonts w:asciiTheme="minorEastAsia" w:cs="Arial" w:eastAsiaTheme="minorEastAsia" w:hAnsiTheme="minorEastAsia" w:hint="eastAsia"/>
          <w:b/>
          <w:color w:themeColor="text1" w:val="000000"/>
          <w:kern w:val="0"/>
          <w:sz w:val="24"/>
        </w:rPr>
        <w:t>5.4</w:t>
      </w:r>
      <w:r>
        <w:rPr>
          <w:rFonts w:ascii="宋体" w:hAnsi="宋体" w:hint="eastAsia"/>
          <w:b/>
          <w:color w:val="000000"/>
          <w:sz w:val="24"/>
        </w:rPr>
        <w:t>报告期内投资组合平均剩余存续期超过240天情况说明</w:t>
      </w:r>
    </w:p>
    <w:p w:rsidP="00A15461" w:rsidR="004B40EC" w:rsidRDefault="004B40EC" w:rsidRPr="004B40EC">
      <w:pPr>
        <w:adjustRightInd w:val="0"/>
        <w:spacing w:line="360" w:lineRule="auto"/>
        <w:ind w:firstLine="480" w:firstLineChars="200"/>
        <w:rPr>
          <w:color w:val="000000"/>
          <w:sz w:val="24"/>
        </w:rPr>
      </w:pPr>
      <w:r w:rsidRPr="004B40EC">
        <w:rPr>
          <w:rFonts w:eastAsiaTheme="minorEastAsia"/>
          <w:color w:themeColor="text1" w:val="000000"/>
          <w:sz w:val="24"/>
        </w:rPr>
        <w:t>本报告期内本货币市场基金投资组合平均剩余存续期未超过240天。</w:t>
      </w:r>
    </w:p>
    <w:p w:rsidP="006B01A5" w:rsidR="006B01A5" w:rsidRDefault="00941F6C" w:rsidRPr="00A370A1">
      <w:pPr>
        <w:spacing w:line="360" w:lineRule="auto"/>
        <w:rPr>
          <w:rFonts w:eastAsiaTheme="minorEastAsia"/>
          <w:b/>
          <w:color w:themeColor="text1"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dxa" w:w="9322"/>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261"/>
        <w:gridCol w:w="1984"/>
      </w:tblGrid>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序号</w:t>
            </w:r>
          </w:p>
        </w:tc>
        <w:tc>
          <w:tcPr>
            <w:tcW w:type="dxa" w:w="3260"/>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债券品种</w:t>
            </w: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
            </w:r>
          </w:p>
        </w:tc>
        <w:tc>
          <w:tcPr>
            <w:tcW w:type="dxa" w:w="3261"/>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摊余成本（元）</w:t>
            </w:r>
          </w:p>
        </w:tc>
        <w:tc>
          <w:tcPr>
            <w:tcW w:type="dxa" w:w="1984"/>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占基金资产净值比例</w:t>
            </w:r>
            <w:r w:rsidRPr="00A370A1">
              <w:rPr>
                <w:rFonts w:eastAsiaTheme="minorEastAsia"/>
                <w:color w:themeColor="text1" w:val="000000"/>
                <w:sz w:val="24"/>
              </w:rPr>
              <w:t>(</w:t>
            </w:r>
            <w:r w:rsidRPr="00A370A1">
              <w:rPr>
                <w:rFonts w:eastAsiaTheme="minorEastAsia"/>
                <w:color w:themeColor="text1" w:val="000000"/>
                <w:sz w:val="24"/>
              </w:rPr>
              <w:t>％</w:t>
            </w:r>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1</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国家债券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50,041,375.15</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0.47</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2</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央行票据</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lastRenderedPageBreak/>
              <w:t>3</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金融债券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491,688,228.17</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4.59</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其中：政策性金融债</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491,688,228.17</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4.59</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4</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企业债券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5</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企业短期融资券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309,971,534.28</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2.89</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6</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中期票据</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20,045,756.76</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0.19</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lastRenderedPageBreak/>
              <w:t>7</w:t>
            </w:r>
          </w:p>
        </w:tc>
        <w:tc>
          <w:tcPr>
            <w:tcW w:type="dxa" w:w="3260"/>
            <w:vAlign w:val="center"/>
          </w:tcPr>
          <w:p w:rsidP="00735A6C" w:rsidR="006B01A5" w:rsidRDefault="006B01A5" w:rsidRPr="00A370A1">
            <w:pPr>
              <w:spacing w:before="29" w:line="360" w:lineRule="auto"/>
              <w:ind w:left="17"/>
              <w:jc w:val="left"/>
              <w:rPr>
                <w:rFonts w:eastAsiaTheme="minorEastAsia"/>
                <w:color w:themeColor="text1" w:val="000000"/>
                <w:sz w:val="24"/>
              </w:rPr>
            </w:pPr>
            <w:r w:rsidRPr="00A370A1">
              <w:rPr>
                <w:rFonts w:eastAsiaTheme="minorEastAsia"/>
                <w:color w:themeColor="text1" w:val="000000"/>
                <w:sz w:val="24"/>
              </w:rPr>
              <w:t>同业存单</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3,859,182,354.58</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36.01</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8</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其他</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9</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合计</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4,730,929,248.94</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44.15</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10</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剩余存续期超过</w:t>
            </w:r>
            <w:r w:rsidRPr="00A370A1">
              <w:rPr>
                <w:rFonts w:eastAsiaTheme="minorEastAsia"/>
                <w:color w:themeColor="text1" w:val="000000"/>
                <w:sz w:val="24"/>
              </w:rPr>
              <w:t>397</w:t>
            </w:r>
            <w:r w:rsidRPr="00A370A1">
              <w:rPr>
                <w:rFonts w:eastAsiaTheme="minorEastAsia"/>
                <w:color w:themeColor="text1" w:val="000000"/>
                <w:sz w:val="24"/>
              </w:rPr>
              <w:t>天的浮动利率债券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w:t>
            </w:r>
          </w:p>
        </w:tc>
      </w:tr>
    </w:tbl>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6</w:t>
      </w:r>
      <w:r w:rsidRPr="0097021E">
        <w:rPr>
          <w:rFonts w:ascii="宋体" w:cs="Arial" w:hAnsi="宋体"/>
          <w:b/>
          <w:color w:val="000000"/>
          <w:kern w:val="0"/>
          <w:sz w:val="24"/>
        </w:rPr>
        <w:t xml:space="preserve"> </w:t>
      </w:r>
      <w:r w:rsidR="00DA133F">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403"/>
        <w:gridCol w:w="1404"/>
        <w:gridCol w:w="1404"/>
        <w:gridCol w:w="1692"/>
        <w:gridCol w:w="1692"/>
        <w:gridCol w:w="1692"/>
      </w:tblGrid>
      <w:tr w:rsidR="00941F6C" w:rsidRPr="0097021E" w:rsidTr="00CA7D55">
        <w:tc>
          <w:tcPr>
            <w:tcW w:type="dxa" w:w="1547"/>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债券代码</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债券名称</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债券数量</w:t>
            </w:r>
          </w:p>
          <w:p w:rsidP="00DC22A1" w:rsidR="00941F6C" w:rsidRDefault="00DC22A1"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（张）</w:t>
            </w:r>
          </w:p>
        </w:tc>
        <w:tc>
          <w:tcPr>
            <w:tcW w:type="dxa" w:w="1548"/>
            <w:vAlign w:val="center"/>
          </w:tcPr>
          <w:p w:rsidP="00DC22A1"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摊余成本</w:t>
            </w:r>
            <w:r w:rsidR="00DC22A1" w:rsidRPr="00A15461">
              <w:rPr>
                <w:color w:val="000000"/>
                <w:kern w:val="0"/>
                <w:sz w:val="24"/>
              </w:rPr>
              <w:t>（元）</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111910305</w:t>
            </w:r>
          </w:p>
        </w:tc>
        <w:tc>
          <w:tcPr>
            <w:vAlign w:val="center"/>
          </w:tcPr>
          <w:p>
            <w:pPr>
              <w:jc w:val="center"/>
            </w:pPr>
            <w:r>
              <w:rPr>
                <w:color w:val="000000"/>
                <w:sz w:val="24"/>
              </w:rPr>
              <w:t>19兴业银行CD305</w:t>
            </w:r>
          </w:p>
        </w:tc>
        <w:tc>
          <w:tcPr>
            <w:vAlign w:val="center"/>
          </w:tcPr>
          <w:p>
            <w:pPr>
              <w:jc w:val="right"/>
            </w:pPr>
            <w:r>
              <w:rPr>
                <w:color w:val="000000"/>
                <w:sz w:val="24"/>
              </w:rPr>
              <w:t>2,000,000</w:t>
            </w:r>
          </w:p>
        </w:tc>
        <w:tc>
          <w:tcPr>
            <w:vAlign w:val="center"/>
          </w:tcPr>
          <w:p>
            <w:pPr>
              <w:jc w:val="right"/>
            </w:pPr>
            <w:r>
              <w:rPr>
                <w:color w:val="000000"/>
                <w:sz w:val="24"/>
              </w:rPr>
              <w:t>199,771,520.18</w:t>
            </w:r>
          </w:p>
        </w:tc>
        <w:tc>
          <w:tcPr>
            <w:vAlign w:val="center"/>
          </w:tcPr>
          <w:p>
            <w:pPr>
              <w:jc w:val="right"/>
            </w:pPr>
            <w:r>
              <w:rPr>
                <w:color w:val="000000"/>
                <w:sz w:val="24"/>
              </w:rPr>
              <w:t>1.86</w:t>
            </w:r>
          </w:p>
        </w:tc>
      </w:tr>
      <w:tr>
        <w:tc>
          <w:tcPr>
            <w:vAlign w:val="center"/>
          </w:tcPr>
          <w:p>
            <w:pPr>
              <w:jc w:val="center"/>
            </w:pPr>
            <w:r>
              <w:rPr>
                <w:color w:val="000000"/>
                <w:sz w:val="24"/>
              </w:rPr>
              <w:t>2</w:t>
            </w:r>
          </w:p>
        </w:tc>
        <w:tc>
          <w:tcPr>
            <w:vAlign w:val="center"/>
          </w:tcPr>
          <w:p>
            <w:pPr>
              <w:jc w:val="center"/>
            </w:pPr>
            <w:r>
              <w:rPr>
                <w:color w:val="000000"/>
                <w:sz w:val="24"/>
              </w:rPr>
              <w:t>111907131</w:t>
            </w:r>
          </w:p>
        </w:tc>
        <w:tc>
          <w:tcPr>
            <w:vAlign w:val="center"/>
          </w:tcPr>
          <w:p>
            <w:pPr>
              <w:jc w:val="center"/>
            </w:pPr>
            <w:r>
              <w:rPr>
                <w:color w:val="000000"/>
                <w:sz w:val="24"/>
              </w:rPr>
              <w:t>19招商银行CD131</w:t>
            </w:r>
          </w:p>
        </w:tc>
        <w:tc>
          <w:tcPr>
            <w:vAlign w:val="center"/>
          </w:tcPr>
          <w:p>
            <w:pPr>
              <w:jc w:val="right"/>
            </w:pPr>
            <w:r>
              <w:rPr>
                <w:color w:val="000000"/>
                <w:sz w:val="24"/>
              </w:rPr>
              <w:t>2,000,000</w:t>
            </w:r>
          </w:p>
        </w:tc>
        <w:tc>
          <w:tcPr>
            <w:vAlign w:val="center"/>
          </w:tcPr>
          <w:p>
            <w:pPr>
              <w:jc w:val="right"/>
            </w:pPr>
            <w:r>
              <w:rPr>
                <w:color w:val="000000"/>
                <w:sz w:val="24"/>
              </w:rPr>
              <w:t>199,451,010.94</w:t>
            </w:r>
          </w:p>
        </w:tc>
        <w:tc>
          <w:tcPr>
            <w:vAlign w:val="center"/>
          </w:tcPr>
          <w:p>
            <w:pPr>
              <w:jc w:val="right"/>
            </w:pPr>
            <w:r>
              <w:rPr>
                <w:color w:val="000000"/>
                <w:sz w:val="24"/>
              </w:rPr>
              <w:t>1.86</w:t>
            </w:r>
          </w:p>
        </w:tc>
      </w:tr>
      <w:tr>
        <w:tc>
          <w:tcPr>
            <w:vAlign w:val="center"/>
          </w:tcPr>
          <w:p>
            <w:pPr>
              <w:jc w:val="center"/>
            </w:pPr>
            <w:r>
              <w:rPr>
                <w:color w:val="000000"/>
                <w:sz w:val="24"/>
              </w:rPr>
              <w:t>3</w:t>
            </w:r>
          </w:p>
        </w:tc>
        <w:tc>
          <w:tcPr>
            <w:vAlign w:val="center"/>
          </w:tcPr>
          <w:p>
            <w:pPr>
              <w:jc w:val="center"/>
            </w:pPr>
            <w:r>
              <w:rPr>
                <w:color w:val="000000"/>
                <w:sz w:val="24"/>
              </w:rPr>
              <w:t>111905109</w:t>
            </w:r>
          </w:p>
        </w:tc>
        <w:tc>
          <w:tcPr>
            <w:vAlign w:val="center"/>
          </w:tcPr>
          <w:p>
            <w:pPr>
              <w:jc w:val="center"/>
            </w:pPr>
            <w:r>
              <w:rPr>
                <w:color w:val="000000"/>
                <w:sz w:val="24"/>
              </w:rPr>
              <w:t>19建设银行CD109</w:t>
            </w:r>
          </w:p>
        </w:tc>
        <w:tc>
          <w:tcPr>
            <w:vAlign w:val="center"/>
          </w:tcPr>
          <w:p>
            <w:pPr>
              <w:jc w:val="right"/>
            </w:pPr>
            <w:r>
              <w:rPr>
                <w:color w:val="000000"/>
                <w:sz w:val="24"/>
              </w:rPr>
              <w:t>2,000,000</w:t>
            </w:r>
          </w:p>
        </w:tc>
        <w:tc>
          <w:tcPr>
            <w:vAlign w:val="center"/>
          </w:tcPr>
          <w:p>
            <w:pPr>
              <w:jc w:val="right"/>
            </w:pPr>
            <w:r>
              <w:rPr>
                <w:color w:val="000000"/>
                <w:sz w:val="24"/>
              </w:rPr>
              <w:t>198,922,593.71</w:t>
            </w:r>
          </w:p>
        </w:tc>
        <w:tc>
          <w:tcPr>
            <w:vAlign w:val="center"/>
          </w:tcPr>
          <w:p>
            <w:pPr>
              <w:jc w:val="right"/>
            </w:pPr>
            <w:r>
              <w:rPr>
                <w:color w:val="000000"/>
                <w:sz w:val="24"/>
              </w:rPr>
              <w:t>1.86</w:t>
            </w:r>
          </w:p>
        </w:tc>
      </w:tr>
      <w:tr>
        <w:tc>
          <w:tcPr>
            <w:vAlign w:val="center"/>
          </w:tcPr>
          <w:p>
            <w:pPr>
              <w:jc w:val="center"/>
            </w:pPr>
            <w:r>
              <w:rPr>
                <w:color w:val="000000"/>
                <w:sz w:val="24"/>
              </w:rPr>
              <w:t>4</w:t>
            </w:r>
          </w:p>
        </w:tc>
        <w:tc>
          <w:tcPr>
            <w:vAlign w:val="center"/>
          </w:tcPr>
          <w:p>
            <w:pPr>
              <w:jc w:val="center"/>
            </w:pPr>
            <w:r>
              <w:rPr>
                <w:color w:val="000000"/>
                <w:sz w:val="24"/>
              </w:rPr>
              <w:t>111914218</w:t>
            </w:r>
          </w:p>
        </w:tc>
        <w:tc>
          <w:tcPr>
            <w:vAlign w:val="center"/>
          </w:tcPr>
          <w:p>
            <w:pPr>
              <w:jc w:val="center"/>
            </w:pPr>
            <w:r>
              <w:rPr>
                <w:color w:val="000000"/>
                <w:sz w:val="24"/>
              </w:rPr>
              <w:t>19江苏银行CD218</w:t>
            </w:r>
          </w:p>
        </w:tc>
        <w:tc>
          <w:tcPr>
            <w:vAlign w:val="center"/>
          </w:tcPr>
          <w:p>
            <w:pPr>
              <w:jc w:val="right"/>
            </w:pPr>
            <w:r>
              <w:rPr>
                <w:color w:val="000000"/>
                <w:sz w:val="24"/>
              </w:rPr>
              <w:t>2,000,000</w:t>
            </w:r>
          </w:p>
        </w:tc>
        <w:tc>
          <w:tcPr>
            <w:vAlign w:val="center"/>
          </w:tcPr>
          <w:p>
            <w:pPr>
              <w:jc w:val="right"/>
            </w:pPr>
            <w:r>
              <w:rPr>
                <w:color w:val="000000"/>
                <w:sz w:val="24"/>
              </w:rPr>
              <w:t>197,854,719.38</w:t>
            </w:r>
          </w:p>
        </w:tc>
        <w:tc>
          <w:tcPr>
            <w:vAlign w:val="center"/>
          </w:tcPr>
          <w:p>
            <w:pPr>
              <w:jc w:val="right"/>
            </w:pPr>
            <w:r>
              <w:rPr>
                <w:color w:val="000000"/>
                <w:sz w:val="24"/>
              </w:rPr>
              <w:t>1.85</w:t>
            </w:r>
          </w:p>
        </w:tc>
      </w:tr>
      <w:tr>
        <w:tc>
          <w:tcPr>
            <w:vAlign w:val="center"/>
          </w:tcPr>
          <w:p>
            <w:pPr>
              <w:jc w:val="center"/>
            </w:pPr>
            <w:r>
              <w:rPr>
                <w:color w:val="000000"/>
                <w:sz w:val="24"/>
              </w:rPr>
              <w:t>5</w:t>
            </w:r>
          </w:p>
        </w:tc>
        <w:tc>
          <w:tcPr>
            <w:vAlign w:val="center"/>
          </w:tcPr>
          <w:p>
            <w:pPr>
              <w:jc w:val="center"/>
            </w:pPr>
            <w:r>
              <w:rPr>
                <w:color w:val="000000"/>
                <w:sz w:val="24"/>
              </w:rPr>
              <w:t>111912122</w:t>
            </w:r>
          </w:p>
        </w:tc>
        <w:tc>
          <w:tcPr>
            <w:vAlign w:val="center"/>
          </w:tcPr>
          <w:p>
            <w:pPr>
              <w:jc w:val="center"/>
            </w:pPr>
            <w:r>
              <w:rPr>
                <w:color w:val="000000"/>
                <w:sz w:val="24"/>
              </w:rPr>
              <w:t>19北京银行CD122</w:t>
            </w:r>
          </w:p>
        </w:tc>
        <w:tc>
          <w:tcPr>
            <w:vAlign w:val="center"/>
          </w:tcPr>
          <w:p>
            <w:pPr>
              <w:jc w:val="right"/>
            </w:pPr>
            <w:r>
              <w:rPr>
                <w:color w:val="000000"/>
                <w:sz w:val="24"/>
              </w:rPr>
              <w:t>2,000,000</w:t>
            </w:r>
          </w:p>
        </w:tc>
        <w:tc>
          <w:tcPr>
            <w:vAlign w:val="center"/>
          </w:tcPr>
          <w:p>
            <w:pPr>
              <w:jc w:val="right"/>
            </w:pPr>
            <w:r>
              <w:rPr>
                <w:color w:val="000000"/>
                <w:sz w:val="24"/>
              </w:rPr>
              <w:t>197,609,950.64</w:t>
            </w:r>
          </w:p>
        </w:tc>
        <w:tc>
          <w:tcPr>
            <w:vAlign w:val="center"/>
          </w:tcPr>
          <w:p>
            <w:pPr>
              <w:jc w:val="right"/>
            </w:pPr>
            <w:r>
              <w:rPr>
                <w:color w:val="000000"/>
                <w:sz w:val="24"/>
              </w:rPr>
              <w:t>1.84</w:t>
            </w:r>
          </w:p>
        </w:tc>
      </w:tr>
      <w:tr>
        <w:tc>
          <w:tcPr>
            <w:vAlign w:val="center"/>
          </w:tcPr>
          <w:p>
            <w:pPr>
              <w:jc w:val="center"/>
            </w:pPr>
            <w:r>
              <w:rPr>
                <w:color w:val="000000"/>
                <w:sz w:val="24"/>
              </w:rPr>
              <w:t>6</w:t>
            </w:r>
          </w:p>
        </w:tc>
        <w:tc>
          <w:tcPr>
            <w:vAlign w:val="center"/>
          </w:tcPr>
          <w:p>
            <w:pPr>
              <w:jc w:val="center"/>
            </w:pPr>
            <w:r>
              <w:rPr>
                <w:color w:val="000000"/>
                <w:sz w:val="24"/>
              </w:rPr>
              <w:t>112009034</w:t>
            </w:r>
          </w:p>
        </w:tc>
        <w:tc>
          <w:tcPr>
            <w:vAlign w:val="center"/>
          </w:tcPr>
          <w:p>
            <w:pPr>
              <w:jc w:val="center"/>
            </w:pPr>
            <w:r>
              <w:rPr>
                <w:color w:val="000000"/>
                <w:sz w:val="24"/>
              </w:rPr>
              <w:t>20浦发银行CD034</w:t>
            </w:r>
          </w:p>
        </w:tc>
        <w:tc>
          <w:tcPr>
            <w:vAlign w:val="center"/>
          </w:tcPr>
          <w:p>
            <w:pPr>
              <w:jc w:val="right"/>
            </w:pPr>
            <w:r>
              <w:rPr>
                <w:color w:val="000000"/>
                <w:sz w:val="24"/>
              </w:rPr>
              <w:t>2,000,000</w:t>
            </w:r>
          </w:p>
        </w:tc>
        <w:tc>
          <w:tcPr>
            <w:vAlign w:val="center"/>
          </w:tcPr>
          <w:p>
            <w:pPr>
              <w:jc w:val="right"/>
            </w:pPr>
            <w:r>
              <w:rPr>
                <w:color w:val="000000"/>
                <w:sz w:val="24"/>
              </w:rPr>
              <w:t>197,565,708.07</w:t>
            </w:r>
          </w:p>
        </w:tc>
        <w:tc>
          <w:tcPr>
            <w:vAlign w:val="center"/>
          </w:tcPr>
          <w:p>
            <w:pPr>
              <w:jc w:val="right"/>
            </w:pPr>
            <w:r>
              <w:rPr>
                <w:color w:val="000000"/>
                <w:sz w:val="24"/>
              </w:rPr>
              <w:t>1.84</w:t>
            </w:r>
          </w:p>
        </w:tc>
      </w:tr>
      <w:tr>
        <w:tc>
          <w:tcPr>
            <w:vAlign w:val="center"/>
          </w:tcPr>
          <w:p>
            <w:pPr>
              <w:jc w:val="center"/>
            </w:pPr>
            <w:r>
              <w:rPr>
                <w:color w:val="000000"/>
                <w:sz w:val="24"/>
              </w:rPr>
              <w:t>7</w:t>
            </w:r>
          </w:p>
        </w:tc>
        <w:tc>
          <w:tcPr>
            <w:vAlign w:val="center"/>
          </w:tcPr>
          <w:p>
            <w:pPr>
              <w:jc w:val="center"/>
            </w:pPr>
            <w:r>
              <w:rPr>
                <w:color w:val="000000"/>
                <w:sz w:val="24"/>
              </w:rPr>
              <w:t>112010057</w:t>
            </w:r>
          </w:p>
        </w:tc>
        <w:tc>
          <w:tcPr>
            <w:vAlign w:val="center"/>
          </w:tcPr>
          <w:p>
            <w:pPr>
              <w:jc w:val="center"/>
            </w:pPr>
            <w:r>
              <w:rPr>
                <w:color w:val="000000"/>
                <w:sz w:val="24"/>
              </w:rPr>
              <w:t>20兴业银行CD057</w:t>
            </w:r>
          </w:p>
        </w:tc>
        <w:tc>
          <w:tcPr>
            <w:vAlign w:val="center"/>
          </w:tcPr>
          <w:p>
            <w:pPr>
              <w:jc w:val="right"/>
            </w:pPr>
            <w:r>
              <w:rPr>
                <w:color w:val="000000"/>
                <w:sz w:val="24"/>
              </w:rPr>
              <w:t>2,000,000</w:t>
            </w:r>
          </w:p>
        </w:tc>
        <w:tc>
          <w:tcPr>
            <w:vAlign w:val="center"/>
          </w:tcPr>
          <w:p>
            <w:pPr>
              <w:jc w:val="right"/>
            </w:pPr>
            <w:r>
              <w:rPr>
                <w:color w:val="000000"/>
                <w:sz w:val="24"/>
              </w:rPr>
              <w:t>197,463,004.64</w:t>
            </w:r>
          </w:p>
        </w:tc>
        <w:tc>
          <w:tcPr>
            <w:vAlign w:val="center"/>
          </w:tcPr>
          <w:p>
            <w:pPr>
              <w:jc w:val="right"/>
            </w:pPr>
            <w:r>
              <w:rPr>
                <w:color w:val="000000"/>
                <w:sz w:val="24"/>
              </w:rPr>
              <w:t>1.84</w:t>
            </w:r>
          </w:p>
        </w:tc>
      </w:tr>
      <w:tr>
        <w:tc>
          <w:tcPr>
            <w:vAlign w:val="center"/>
          </w:tcPr>
          <w:p>
            <w:pPr>
              <w:jc w:val="center"/>
            </w:pPr>
            <w:r>
              <w:rPr>
                <w:color w:val="000000"/>
                <w:sz w:val="24"/>
              </w:rPr>
              <w:t>8</w:t>
            </w:r>
          </w:p>
        </w:tc>
        <w:tc>
          <w:tcPr>
            <w:vAlign w:val="center"/>
          </w:tcPr>
          <w:p>
            <w:pPr>
              <w:jc w:val="center"/>
            </w:pPr>
            <w:r>
              <w:rPr>
                <w:color w:val="000000"/>
                <w:sz w:val="24"/>
              </w:rPr>
              <w:t>112008009</w:t>
            </w:r>
          </w:p>
        </w:tc>
        <w:tc>
          <w:tcPr>
            <w:vAlign w:val="center"/>
          </w:tcPr>
          <w:p>
            <w:pPr>
              <w:jc w:val="center"/>
            </w:pPr>
            <w:r>
              <w:rPr>
                <w:color w:val="000000"/>
                <w:sz w:val="24"/>
              </w:rPr>
              <w:t>20中信银行CD009</w:t>
            </w:r>
          </w:p>
        </w:tc>
        <w:tc>
          <w:tcPr>
            <w:vAlign w:val="center"/>
          </w:tcPr>
          <w:p>
            <w:pPr>
              <w:jc w:val="right"/>
            </w:pPr>
            <w:r>
              <w:rPr>
                <w:color w:val="000000"/>
                <w:sz w:val="24"/>
              </w:rPr>
              <w:t>2,000,000</w:t>
            </w:r>
          </w:p>
        </w:tc>
        <w:tc>
          <w:tcPr>
            <w:vAlign w:val="center"/>
          </w:tcPr>
          <w:p>
            <w:pPr>
              <w:jc w:val="right"/>
            </w:pPr>
            <w:r>
              <w:rPr>
                <w:color w:val="000000"/>
                <w:sz w:val="24"/>
              </w:rPr>
              <w:t>197,273,457.86</w:t>
            </w:r>
          </w:p>
        </w:tc>
        <w:tc>
          <w:tcPr>
            <w:vAlign w:val="center"/>
          </w:tcPr>
          <w:p>
            <w:pPr>
              <w:jc w:val="right"/>
            </w:pPr>
            <w:r>
              <w:rPr>
                <w:color w:val="000000"/>
                <w:sz w:val="24"/>
              </w:rPr>
              <w:t>1.84</w:t>
            </w:r>
          </w:p>
        </w:tc>
      </w:tr>
      <w:tr>
        <w:tc>
          <w:tcPr>
            <w:vAlign w:val="center"/>
          </w:tcPr>
          <w:p>
            <w:pPr>
              <w:jc w:val="center"/>
            </w:pPr>
            <w:r>
              <w:rPr>
                <w:color w:val="000000"/>
                <w:sz w:val="24"/>
              </w:rPr>
              <w:t>9</w:t>
            </w:r>
          </w:p>
        </w:tc>
        <w:tc>
          <w:tcPr>
            <w:vAlign w:val="center"/>
          </w:tcPr>
          <w:p>
            <w:pPr>
              <w:jc w:val="center"/>
            </w:pPr>
            <w:r>
              <w:rPr>
                <w:color w:val="000000"/>
                <w:sz w:val="24"/>
              </w:rPr>
              <w:t>112010060</w:t>
            </w:r>
          </w:p>
        </w:tc>
        <w:tc>
          <w:tcPr>
            <w:vAlign w:val="center"/>
          </w:tcPr>
          <w:p>
            <w:pPr>
              <w:jc w:val="center"/>
            </w:pPr>
            <w:r>
              <w:rPr>
                <w:color w:val="000000"/>
                <w:sz w:val="24"/>
              </w:rPr>
              <w:t>20兴业银行CD060</w:t>
            </w:r>
          </w:p>
        </w:tc>
        <w:tc>
          <w:tcPr>
            <w:vAlign w:val="center"/>
          </w:tcPr>
          <w:p>
            <w:pPr>
              <w:jc w:val="right"/>
            </w:pPr>
            <w:r>
              <w:rPr>
                <w:color w:val="000000"/>
                <w:sz w:val="24"/>
              </w:rPr>
              <w:t>2,000,000</w:t>
            </w:r>
          </w:p>
        </w:tc>
        <w:tc>
          <w:tcPr>
            <w:vAlign w:val="center"/>
          </w:tcPr>
          <w:p>
            <w:pPr>
              <w:jc w:val="right"/>
            </w:pPr>
            <w:r>
              <w:rPr>
                <w:color w:val="000000"/>
                <w:sz w:val="24"/>
              </w:rPr>
              <w:t>197,255,228.31</w:t>
            </w:r>
          </w:p>
        </w:tc>
        <w:tc>
          <w:tcPr>
            <w:vAlign w:val="center"/>
          </w:tcPr>
          <w:p>
            <w:pPr>
              <w:jc w:val="right"/>
            </w:pPr>
            <w:r>
              <w:rPr>
                <w:color w:val="000000"/>
                <w:sz w:val="24"/>
              </w:rPr>
              <w:t>1.84</w:t>
            </w:r>
          </w:p>
        </w:tc>
      </w:tr>
      <w:tr>
        <w:tc>
          <w:tcPr>
            <w:vAlign w:val="center"/>
          </w:tcPr>
          <w:p>
            <w:pPr>
              <w:jc w:val="center"/>
            </w:pPr>
            <w:r>
              <w:rPr>
                <w:color w:val="000000"/>
                <w:sz w:val="24"/>
              </w:rPr>
              <w:t>10</w:t>
            </w:r>
          </w:p>
        </w:tc>
        <w:tc>
          <w:tcPr>
            <w:vAlign w:val="center"/>
          </w:tcPr>
          <w:p>
            <w:pPr>
              <w:jc w:val="center"/>
            </w:pPr>
            <w:r>
              <w:rPr>
                <w:color w:val="000000"/>
                <w:sz w:val="24"/>
              </w:rPr>
              <w:t>112017093</w:t>
            </w:r>
          </w:p>
        </w:tc>
        <w:tc>
          <w:tcPr>
            <w:vAlign w:val="center"/>
          </w:tcPr>
          <w:p>
            <w:pPr>
              <w:jc w:val="center"/>
            </w:pPr>
            <w:r>
              <w:rPr>
                <w:color w:val="000000"/>
                <w:sz w:val="24"/>
              </w:rPr>
              <w:t>20光大银行CD093</w:t>
            </w:r>
          </w:p>
        </w:tc>
        <w:tc>
          <w:tcPr>
            <w:vAlign w:val="center"/>
          </w:tcPr>
          <w:p>
            <w:pPr>
              <w:jc w:val="right"/>
            </w:pPr>
            <w:r>
              <w:rPr>
                <w:color w:val="000000"/>
                <w:sz w:val="24"/>
              </w:rPr>
              <w:t>2,000,000</w:t>
            </w:r>
          </w:p>
        </w:tc>
        <w:tc>
          <w:tcPr>
            <w:vAlign w:val="center"/>
          </w:tcPr>
          <w:p>
            <w:pPr>
              <w:jc w:val="right"/>
            </w:pPr>
            <w:r>
              <w:rPr>
                <w:color w:val="000000"/>
                <w:sz w:val="24"/>
              </w:rPr>
              <w:t>196,653,492.05</w:t>
            </w:r>
          </w:p>
        </w:tc>
        <w:tc>
          <w:tcPr>
            <w:vAlign w:val="center"/>
          </w:tcPr>
          <w:p>
            <w:pPr>
              <w:jc w:val="right"/>
            </w:pPr>
            <w:r>
              <w:rPr>
                <w:color w:val="000000"/>
                <w:sz w:val="24"/>
              </w:rPr>
              <w:t>1.84</w:t>
            </w:r>
          </w:p>
        </w:tc>
      </w:tr>
    </w:tbl>
    <w:p w:rsidP="003A0EC1"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项目</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3382"/>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偏离情况</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报告期内偏离度的绝对值在</w:t>
            </w:r>
            <w:r w:rsidRPr="00A15461">
              <w:rPr>
                <w:color w:val="000000"/>
                <w:kern w:val="0"/>
                <w:sz w:val="24"/>
              </w:rPr>
              <w:t>0.25(</w:t>
            </w:r>
            <w:r w:rsidRPr="00A15461">
              <w:rPr>
                <w:color w:val="000000"/>
                <w:kern w:val="0"/>
                <w:sz w:val="24"/>
              </w:rPr>
              <w:t>含</w:t>
            </w:r>
            <w:r w:rsidRPr="00A15461">
              <w:rPr>
                <w:color w:val="000000"/>
                <w:kern w:val="0"/>
                <w:sz w:val="24"/>
              </w:rPr>
              <w:t>)-0.5%</w:t>
            </w:r>
            <w:r w:rsidRPr="00A15461">
              <w:rPr>
                <w:color w:val="000000"/>
                <w:kern w:val="0"/>
                <w:sz w:val="24"/>
              </w:rPr>
              <w:t>间的次数</w:t>
            </w:r>
          </w:p>
        </w:tc>
        <w:tc>
          <w:tcPr>
            <w:tcW w:type="dxa" w:w="3382"/>
            <w:vAlign w:val="bottom"/>
          </w:tcPr>
          <w:p w:rsidP="00196812" w:rsidR="00941F6C" w:rsidRDefault="00941F6C" w:rsidRPr="00A15461">
            <w:pPr>
              <w:spacing w:line="360" w:lineRule="auto"/>
              <w:jc w:val="right"/>
              <w:rPr>
                <w:sz w:val="24"/>
              </w:rPr>
            </w:pPr>
            <w:r w:rsidRPr="00A15461">
              <w:rPr>
                <w:color w:val="000000"/>
                <w:sz w:val="24"/>
              </w:rPr>
              <w:t>0</w:t>
            </w:r>
            <w:r w:rsidRPr="00A15461">
              <w:rPr>
                <w:color w:val="000000"/>
                <w:sz w:val="24"/>
              </w:rPr>
              <w:t>次</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报告期内偏离度的最高值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proofErr w:type="spellEnd"/>
            <w:r w:rsidRPr="00A15461">
              <w:rPr>
                <w:color w:val="000000"/>
                <w:sz w:val="24"/>
              </w:rPr>
              <w:t>0.2398%</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报告期内偏离度的最低值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proofErr w:type="spellEnd"/>
            <w:r w:rsidRPr="00A15461">
              <w:rPr>
                <w:color w:val="000000"/>
                <w:sz w:val="24"/>
              </w:rPr>
              <w:t>0.1208%</w:t>
            </w:r>
          </w:p>
        </w:tc>
      </w:tr>
      <w:tr w:rsidR="00941F6C" w:rsidRPr="0097021E" w:rsidTr="00C400D7">
        <w:tc>
          <w:tcPr>
            <w:tcW w:type="dxa" w:w="5812"/>
            <w:vAlign w:val="center"/>
          </w:tcPr>
          <w:p w:rsidP="00404A00"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报告期内每个工作日偏离度的绝对值的简单平均值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0.1893%</w:t>
            </w:r>
          </w:p>
        </w:tc>
      </w:tr>
    </w:tbl>
    <w:p w:rsidP="004B40EC" w:rsidR="004B40EC" w:rsidRDefault="004B40EC" w:rsidRPr="004B40EC">
      <w:pPr>
        <w:spacing w:line="360" w:lineRule="auto"/>
        <w:rPr>
          <w:rFonts w:eastAsiaTheme="minorEastAsia"/>
          <w:b/>
          <w:color w:themeColor="text1" w:val="000000"/>
          <w:kern w:val="0"/>
          <w:sz w:val="24"/>
        </w:rPr>
      </w:pPr>
      <w:r w:rsidRPr="004B40EC">
        <w:rPr>
          <w:b/>
          <w:color w:val="000000"/>
          <w:sz w:val="24"/>
        </w:rPr>
        <w:t>报告期内负偏离度的绝对值达到</w:t>
      </w:r>
      <w:r w:rsidRPr="004B40EC">
        <w:rPr>
          <w:b/>
          <w:color w:val="000000"/>
          <w:sz w:val="24"/>
        </w:rPr>
        <w:t>0.25%</w:t>
      </w:r>
      <w:r w:rsidRPr="004B40EC">
        <w:rPr>
          <w:b/>
          <w:color w:val="000000"/>
          <w:sz w:val="24"/>
        </w:rPr>
        <w:t>情况说明</w:t>
      </w:r>
    </w:p>
    <w:p w:rsidP="004B40EC" w:rsidR="004B40EC" w:rsidRDefault="004B40EC" w:rsidRPr="004B40EC">
      <w:pPr>
        <w:adjustRightInd w:val="0"/>
        <w:spacing w:line="360" w:lineRule="auto"/>
        <w:ind w:firstLine="480" w:firstLineChars="200"/>
        <w:rPr>
          <w:color w:val="000000"/>
          <w:sz w:val="24"/>
        </w:rPr>
      </w:pPr>
      <w:r w:rsidRPr="004B40EC">
        <w:rPr>
          <w:color w:val="000000"/>
          <w:sz w:val="24"/>
        </w:rPr>
        <w:t>本基金本报告期内不存在负偏离度的绝对值达到0.25%的情况。</w:t>
      </w:r>
    </w:p>
    <w:p w:rsidP="004B40EC" w:rsidR="004B40EC" w:rsidRDefault="004B40EC" w:rsidRPr="004B40EC">
      <w:pPr>
        <w:spacing w:line="360" w:lineRule="auto"/>
        <w:rPr>
          <w:rFonts w:eastAsiaTheme="minorEastAsia"/>
          <w:b/>
          <w:color w:themeColor="text1" w:val="000000"/>
          <w:kern w:val="0"/>
          <w:sz w:val="24"/>
        </w:rPr>
      </w:pPr>
      <w:r w:rsidRPr="004B40EC">
        <w:rPr>
          <w:b/>
          <w:color w:val="000000"/>
          <w:sz w:val="24"/>
        </w:rPr>
        <w:t>报告期内正偏离度的绝对值达到</w:t>
      </w:r>
      <w:r w:rsidRPr="004B40EC">
        <w:rPr>
          <w:b/>
          <w:color w:val="000000"/>
          <w:sz w:val="24"/>
        </w:rPr>
        <w:t>0.5%</w:t>
      </w:r>
      <w:r w:rsidRPr="004B40EC">
        <w:rPr>
          <w:b/>
          <w:color w:val="000000"/>
          <w:sz w:val="24"/>
        </w:rPr>
        <w:t>情况说明</w:t>
      </w:r>
    </w:p>
    <w:p w:rsidP="00A15461" w:rsidR="004B40EC" w:rsidRDefault="004B40EC" w:rsidRPr="004B40EC">
      <w:pPr>
        <w:adjustRightInd w:val="0"/>
        <w:spacing w:line="360" w:lineRule="auto"/>
        <w:ind w:firstLine="480" w:firstLineChars="200"/>
        <w:rPr>
          <w:color w:val="000000"/>
          <w:sz w:val="24"/>
        </w:rPr>
      </w:pPr>
      <w:r w:rsidRPr="004B40EC">
        <w:rPr>
          <w:color w:val="000000"/>
          <w:sz w:val="24"/>
        </w:rPr>
        <w:lastRenderedPageBreak/>
        <w:t>本基金本报告期内不存在正偏离度的绝对值达到0.5%的情况。</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8</w:t>
      </w:r>
      <w:r w:rsidR="009A536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本基金本报告期末未持有资产支持证券。</w:t>
      </w:r>
    </w:p>
    <w:p w:rsidP="00815CDE" w:rsidR="00941F6C" w:rsidRDefault="00941F6C"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4B40EC">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hint="eastAsia"/>
          <w:b/>
          <w:color w:val="000000"/>
          <w:kern w:val="0"/>
          <w:sz w:val="24"/>
        </w:rPr>
        <w:t>投资组合报告附注</w:t>
      </w:r>
    </w:p>
    <w:p w:rsidP="004B40EC" w:rsidR="004B40EC" w:rsidRDefault="004B40EC" w:rsidRPr="004B40EC">
      <w:pPr>
        <w:spacing w:line="360" w:lineRule="auto"/>
        <w:rPr>
          <w:rFonts w:eastAsiaTheme="minorEastAsia"/>
          <w:color w:themeColor="text1" w:val="000000"/>
          <w:sz w:val="24"/>
        </w:rPr>
      </w:pPr>
      <w:r w:rsidRPr="004B40EC">
        <w:rPr>
          <w:rFonts w:eastAsiaTheme="minorEastAsia"/>
          <w:color w:themeColor="text1" w:val="000000"/>
          <w:sz w:val="24"/>
        </w:rPr>
        <w:t>5.9.1</w:t>
      </w:r>
      <w:r w:rsidRPr="004B40EC">
        <w:rPr>
          <w:rFonts w:eastAsiaTheme="minorEastAsia"/>
          <w:color w:themeColor="text1" w:val="000000"/>
          <w:sz w:val="24"/>
        </w:rPr>
        <w:t>基金计价方法说明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本基金目前投资工具的估值方法如下：</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（3）基金持有的银行存款以本金列示，按实际协议利率逐日计提利息。</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如有确凿证据表明按上述方法进行估值不能客观反映其公允价值的，基金管理人可根据具体情况与基金托管人商定后，按最能反映公允价值的方法估值。</w:t>
      </w:r>
    </w:p>
    <w:p w:rsidP="004B40EC" w:rsidR="004B40EC" w:rsidRDefault="004B40EC" w:rsidRPr="004B40EC">
      <w:pPr>
        <w:spacing w:line="360" w:lineRule="auto"/>
        <w:ind w:firstLine="480" w:firstLineChars="200"/>
        <w:rPr>
          <w:rFonts w:eastAsiaTheme="minorEastAsia"/>
          <w:color w:themeColor="text1" w:val="00000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如有新增事项，按国家最新规定估值。</w:t>
      </w:r>
    </w:p>
    <w:p w:rsidP="004B40EC" w:rsidR="00941F6C" w:rsidRDefault="004B40EC" w:rsidRPr="004B40EC">
      <w:pPr>
        <w:widowControl/>
        <w:spacing w:line="360" w:lineRule="auto"/>
        <w:rPr>
          <w:color w:val="000000"/>
          <w:sz w:val="24"/>
        </w:rPr>
      </w:pPr>
      <w:r w:rsidRPr="004B40EC">
        <w:rPr>
          <w:rFonts w:eastAsiaTheme="minorEastAsia"/>
          <w:color w:themeColor="text1" w:val="000000"/>
          <w:sz w:val="24"/>
        </w:rPr>
        <w:t>5.9.2</w:t>
      </w:r>
      <w:r w:rsidR="00B80EFA">
        <w:rPr>
          <w:rFonts w:eastAsiaTheme="minorEastAsia" w:hint="eastAsia"/>
          <w:color w:themeColor="text1" w:val="000000"/>
          <w:sz w:val="24"/>
        </w:rPr>
        <w:t xml:space="preserve"> </w:t>
      </w:r>
      <w:r w:rsidRPr="004B40EC">
        <w:rPr>
          <w:rFonts w:eastAsiaTheme="minorEastAsia"/>
          <w:color w:themeColor="text1" w:val="000000"/>
          <w:sz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w:t>
      </w:r>
    </w:p>
    <w:p>
      <w:pPr>
        <w:widowControl/>
        <w:spacing w:line="360" w:lineRule="auto"/>
        <w:rPr>
          <w:color w:val="000000"/>
          <w:sz w:val="24"/>
        </w:rPr>
      </w:pPr>
      <w:r>
        <w:rPr>
          <w:rFonts w:eastAsiaTheme="minorEastAsia"/>
          <w:color w:themeColor="text1" w:val="00000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widowControl/>
        <w:spacing w:line="360" w:lineRule="auto"/>
        <w:rPr>
          <w:color w:val="000000"/>
          <w:sz w:val="24"/>
        </w:rPr>
      </w:pPr>
      <w:r>
        <w:rPr>
          <w:rFonts w:eastAsiaTheme="minorEastAsia"/>
          <w:color w:themeColor="text1" w:val="000000"/>
          <w:sz w:val="24"/>
        </w:rPr>
        <w:t>2019年7月8日，中国银行保险监督管理委员会上海监管局针对中国建设银行股份有限公司信用卡中心的如下违法违规行为作出“责令改正，并处罚款30万元”的行政处罚决定：1、2017年5月在为部分客户办理信用卡业务时，未遵守总授信额度管理制度；2、2017年9月、10月对部分信用卡申请人资信水平调查严重不尽职。2019年12月27日，中国银行保险监督管理委员会对中国建设银行股份有限公司的如下违法违规行为作出“罚款80万元”的行政处罚决定：1、用于风险缓释的保证金管理存在漏洞；2、国别风险管理不完善。2020年4月20日，中国银行保险监督管理委员会对中国建设银行股份有限公司的如下违法违规行为作出“罚款230万元”的行政处罚决定：建设银行监管标准化数据（EAS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pPr>
        <w:widowControl/>
        <w:spacing w:line="360" w:lineRule="auto"/>
        <w:rPr>
          <w:color w:val="000000"/>
          <w:sz w:val="24"/>
        </w:rPr>
      </w:pPr>
      <w:r>
        <w:rPr>
          <w:rFonts w:eastAsiaTheme="minorEastAsia"/>
          <w:color w:themeColor="text1" w:val="000000"/>
          <w:sz w:val="24"/>
        </w:rPr>
        <w:t>2019年9月3日，北京银保监局对北京银行作出“责令改正，并给予合计110万元罚款”的行政处罚，违法违规事由：个人消费贷款被挪用于支付购房首付款或投资股权、个别个人商办用房贷款违反房地产调控政策、同业投资通过信托通道违规发放土地储备贷款。2019年9月25日，北京银保监局对北京银行作出“责令改正，并给予合计100万元罚款”的行政处罚，违法违规事由：员工大额消费贷款违规行为长期未有效整改、同业业务专营部门制改革不到位、同业投资违规接受第三方金融机构信用担保。2020年5月14日，国家外汇管理局北京外汇管理部对北京银行作出“责令改正，给予警告，处14万元人民币罚款”的行政处罚，违法违规事由：未按照规定进行国际收支统计申报；未按照规定报送财务会计报告、统计报表等资料。</w:t>
      </w:r>
    </w:p>
    <w:p>
      <w:pPr>
        <w:widowControl/>
        <w:spacing w:line="360" w:lineRule="auto"/>
        <w:rPr>
          <w:color w:val="000000"/>
          <w:sz w:val="24"/>
        </w:rPr>
      </w:pPr>
      <w:r>
        <w:rPr>
          <w:rFonts w:eastAsiaTheme="minorEastAsia"/>
          <w:color w:themeColor="text1" w:val="00000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widowControl/>
        <w:spacing w:line="360" w:lineRule="auto"/>
        <w:rPr>
          <w:color w:val="000000"/>
          <w:sz w:val="24"/>
        </w:rPr>
      </w:pPr>
      <w:r>
        <w:rPr>
          <w:rFonts w:eastAsiaTheme="minorEastAsia"/>
          <w:color w:themeColor="text1" w:val="000000"/>
          <w:sz w:val="24"/>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pPr>
        <w:widowControl/>
        <w:spacing w:line="360" w:lineRule="auto"/>
        <w:rPr>
          <w:color w:val="000000"/>
          <w:sz w:val="24"/>
        </w:rPr>
      </w:pPr>
      <w:r>
        <w:rPr>
          <w:rFonts w:eastAsiaTheme="minorEastAsia"/>
          <w:color w:themeColor="text1" w:val="000000"/>
          <w:sz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widowControl/>
        <w:spacing w:line="360" w:lineRule="auto"/>
        <w:rPr>
          <w:color w:val="000000"/>
          <w:sz w:val="24"/>
        </w:rPr>
      </w:pPr>
      <w:r>
        <w:rPr>
          <w:rFonts w:eastAsiaTheme="minorEastAsia"/>
          <w:color w:themeColor="text1" w:val="000000"/>
          <w:sz w:val="24"/>
        </w:rPr>
        <w:t>本基金投资19兴业银行CD305、19招商银行CD131、19建设银行CD109、19北京银行CD122、20浦发银行CD034、20兴业银行CD057、20中信银行CD009、20兴业银行CD060、20光大银行CD093的投资决策程序符合公司投资制度的规定。</w:t>
      </w:r>
    </w:p>
    <w:p>
      <w:pPr>
        <w:widowControl/>
        <w:spacing w:line="360" w:lineRule="auto"/>
        <w:rPr>
          <w:color w:val="000000"/>
          <w:sz w:val="24"/>
        </w:rPr>
      </w:pPr>
      <w:r>
        <w:rPr>
          <w:rFonts w:eastAsiaTheme="minorEastAsia"/>
          <w:color w:themeColor="text1" w:val="000000"/>
          <w:sz w:val="24"/>
        </w:rPr>
        <w:t>除19兴业银行CD305、19招商银行CD131、19建设银行CD109、19北京银行CD122、20浦发银行CD034、20兴业银行CD057、20中信银行CD009、20兴业银行CD060、20光大银行CD093外，本基金投资的前十名证券的发行主体本期没有出现被监管部门立案调查，或在报告编制日前一年内受到公开谴责、处罚的情形。</w:t>
      </w:r>
    </w:p>
    <w:p w:rsidP="00815CDE" w:rsidR="00941F6C" w:rsidRDefault="00941F6C" w:rsidRPr="004B40EC">
      <w:pPr>
        <w:spacing w:line="360" w:lineRule="auto"/>
        <w:rPr>
          <w:bCs/>
          <w:sz w:val="24"/>
        </w:rPr>
      </w:pPr>
      <w:r w:rsidRPr="004B40EC">
        <w:rPr>
          <w:sz w:val="24"/>
        </w:rPr>
        <w:t>5.9.3</w:t>
      </w:r>
      <w:r w:rsidR="00BC3C5E">
        <w:rPr>
          <w:sz w:val="24"/>
        </w:rPr>
        <w:t>其他</w:t>
      </w:r>
      <w:bookmarkStart w:id="2" w:name="_GoBack"/>
      <w:bookmarkEnd w:id="2"/>
      <w:r w:rsidRPr="004B40EC">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序号</w:t>
            </w:r>
          </w:p>
        </w:tc>
        <w:tc>
          <w:tcPr>
            <w:tcW w:type="dxa" w:w="3535"/>
            <w:vAlign w:val="center"/>
          </w:tcPr>
          <w:p w:rsidP="00CA7D55"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名称</w:t>
            </w:r>
          </w:p>
        </w:tc>
        <w:tc>
          <w:tcPr>
            <w:tcW w:type="dxa" w:w="4808"/>
            <w:vAlign w:val="center"/>
          </w:tcPr>
          <w:p w:rsidP="00DC22A1"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金额</w:t>
            </w:r>
            <w:r w:rsidR="00DC22A1" w:rsidRPr="004B40EC">
              <w:rPr>
                <w:color w:val="000000"/>
                <w:kern w:val="0"/>
                <w:sz w:val="24"/>
              </w:rPr>
              <w:t>（元）</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kern w:val="0"/>
                <w:sz w:val="24"/>
              </w:rPr>
            </w:pPr>
            <w:r w:rsidRPr="004B40EC">
              <w:rPr>
                <w:color w:val="000000"/>
                <w:sz w:val="24"/>
              </w:rPr>
              <w:t>1</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存出保证金</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lastRenderedPageBreak/>
              <w:t>2</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应收证券清算款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126,874,770.98</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3</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应收利息</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17,818,915.13</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4</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应收申购款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2,605,800.49</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5</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其他应收款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6</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待摊费用</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7</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其他</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8</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合计</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147,299,486.60</w:t>
            </w:r>
          </w:p>
        </w:tc>
      </w:tr>
    </w:tbl>
    <w:p w:rsidP="00CE0B87" w:rsidR="00873984" w:rsidRDefault="00873984"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873984" w:rsidR="00873984" w:rsidRDefault="00873984" w:rsidRPr="00361E73">
      <w:pPr>
        <w:autoSpaceDE w:val="0"/>
        <w:autoSpaceDN w:val="0"/>
        <w:adjustRightInd w:val="0"/>
        <w:spacing w:before="29" w:line="360" w:lineRule="auto"/>
        <w:ind w:left="15"/>
        <w:jc w:val="right"/>
        <w:rPr>
          <w:rFonts w:ascii="宋体" w:cs="Arial" w:hAnsi="宋体"/>
          <w:color w:val="000000"/>
          <w:kern w:val="0"/>
          <w:sz w:val="24"/>
        </w:rPr>
      </w:pPr>
      <w:r w:rsidRPr="00361E73">
        <w:rPr>
          <w:rFonts w:ascii="宋体" w:cs="Arial" w:hAnsi="宋体" w:hint="eastAsia"/>
          <w:color w:val="000000"/>
          <w:kern w:val="0"/>
          <w:sz w:val="24"/>
        </w:rPr>
        <w:t>单位：份</w:t>
      </w:r>
    </w:p>
    <w:tbl>
      <w:tblPr>
        <w:tblW w:type="dxa" w:w="997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4134"/>
        <w:gridCol w:w="2920"/>
        <w:gridCol w:w="2920"/>
      </w:tblGrid>
      <w:tr w:rsidR="00873984" w:rsidRPr="00E179CD" w:rsidTr="00547B14">
        <w:tc>
          <w:tcPr>
            <w:tcW w:type="dxa" w:w="4134"/>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项目</w:t>
            </w:r>
          </w:p>
        </w:tc>
        <w:tc>
          <w:tcPr>
            <w:tcW w:type="dxa" w:w="2920"/>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
            </w:r>
            <w:proofErr w:type="spellStart"/>
            <w:r w:rsidRPr="00361E73">
              <w:rPr>
                <w:sz w:val="24"/>
              </w:rPr>
              <w:t/>
            </w:r>
            <w:proofErr w:type="spellEnd"/>
            <w:r w:rsidRPr="00361E73">
              <w:rPr>
                <w:sz w:val="24"/>
              </w:rPr>
              <w:t>易方达天天发货币A</w:t>
            </w:r>
          </w:p>
        </w:tc>
        <w:tc>
          <w:tcPr>
            <w:tcW w:type="dxa" w:w="2920"/>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
            </w:r>
            <w:proofErr w:type="spellStart"/>
            <w:r w:rsidRPr="00361E73">
              <w:rPr>
                <w:sz w:val="24"/>
              </w:rPr>
              <w:t/>
            </w:r>
            <w:proofErr w:type="spellEnd"/>
            <w:r w:rsidRPr="00361E73">
              <w:rPr>
                <w:sz w:val="24"/>
              </w:rPr>
              <w:t>易方达天天发货币B</w:t>
            </w:r>
          </w:p>
        </w:tc>
      </w:tr>
      <w:tr w:rsidR="00873984" w:rsidRPr="00E179CD" w:rsidTr="00547B14">
        <w:tc>
          <w:tcPr>
            <w:tcW w:type="dxa" w:w="4134"/>
            <w:vAlign w:val="center"/>
          </w:tcPr>
          <w:p w:rsidP="00547B14" w:rsidR="00873984" w:rsidRDefault="00873984" w:rsidRPr="00361E73">
            <w:pPr>
              <w:autoSpaceDE w:val="0"/>
              <w:autoSpaceDN w:val="0"/>
              <w:adjustRightInd w:val="0"/>
              <w:spacing w:before="29" w:line="360" w:lineRule="auto"/>
              <w:ind w:left="17"/>
              <w:rPr>
                <w:color w:val="000000"/>
                <w:kern w:val="0"/>
                <w:sz w:val="24"/>
              </w:rPr>
            </w:pPr>
            <w:r w:rsidRPr="00A15461">
              <w:rPr>
                <w:color w:val="000000"/>
                <w:kern w:val="0"/>
                <w:sz w:val="24"/>
              </w:rPr>
              <w:t>报告期期初基金份额总额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520,125,124.15</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16,141,011,278.82</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361E73">
              <w:rPr>
                <w:color w:val="000000"/>
                <w:kern w:val="0"/>
                <w:sz w:val="24"/>
              </w:rPr>
              <w:t/>
            </w:r>
            <w:proofErr w:type="spellStart"/>
            <w:r w:rsidR="00331F8B">
              <w:rPr>
                <w:color w:val="000000"/>
                <w:kern w:val="0"/>
                <w:sz w:val="24"/>
              </w:rPr>
              <w:t/>
            </w:r>
            <w:proofErr w:type="spellEnd"/>
            <w:r w:rsidRPr="00361E73">
              <w:rPr>
                <w:color w:val="000000"/>
                <w:kern w:val="0"/>
                <w:sz w:val="24"/>
              </w:rPr>
              <w:t>报告期</w:t>
            </w:r>
            <w:r w:rsidRPr="009742E2">
              <w:rPr>
                <w:color w:val="000000"/>
                <w:sz w:val="24"/>
              </w:rPr>
              <w:t>基金总申购份额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r w:rsidRPr="00361E73">
              <w:rPr>
                <w:color w:val="000000"/>
                <w:sz w:val="24"/>
              </w:rPr>
              <w:lastRenderedPageBreak/>
              <w:t/>
            </w:r>
            <w:proofErr w:type="spellEnd"/>
            <w:r w:rsidRPr="00361E73">
              <w:rPr>
                <w:color w:val="000000"/>
                <w:sz w:val="24"/>
              </w:rPr>
              <w:t>1,154,098,395.20</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lastRenderedPageBreak/>
              <w:t/>
            </w:r>
            <w:proofErr w:type="spellStart"/>
            <w:r w:rsidRPr="00361E73">
              <w:rPr>
                <w:color w:val="000000"/>
                <w:sz w:val="24"/>
              </w:rPr>
              <w:t/>
            </w:r>
            <w:r w:rsidRPr="00361E73">
              <w:rPr>
                <w:color w:val="000000"/>
                <w:sz w:val="24"/>
              </w:rPr>
              <w:lastRenderedPageBreak/>
              <w:t/>
            </w:r>
            <w:proofErr w:type="spellEnd"/>
            <w:r w:rsidRPr="00361E73">
              <w:rPr>
                <w:color w:val="000000"/>
                <w:sz w:val="24"/>
              </w:rPr>
              <w:t>5,617,221,664.61</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361E73">
              <w:rPr>
                <w:color w:val="000000"/>
                <w:kern w:val="0"/>
                <w:sz w:val="24"/>
              </w:rPr>
              <w:lastRenderedPageBreak/>
              <w:t/>
            </w:r>
            <w:proofErr w:type="spellStart"/>
            <w:r w:rsidR="00331F8B">
              <w:rPr>
                <w:color w:val="000000"/>
                <w:kern w:val="0"/>
                <w:sz w:val="24"/>
              </w:rPr>
              <w:t/>
            </w:r>
            <w:proofErr w:type="spellEnd"/>
            <w:r w:rsidRPr="00361E73">
              <w:rPr>
                <w:color w:val="000000"/>
                <w:kern w:val="0"/>
                <w:sz w:val="24"/>
              </w:rPr>
              <w:t>报告期</w:t>
            </w:r>
            <w:r w:rsidRPr="009742E2">
              <w:rPr>
                <w:color w:val="000000"/>
                <w:sz w:val="24"/>
              </w:rPr>
              <w:t>基金总赎回份额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1,135,699,100.87</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11,581,100,233.46</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9742E2">
              <w:rPr>
                <w:color w:val="000000"/>
                <w:sz w:val="24"/>
              </w:rPr>
              <w:t>报告期期末基金份额总额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538,524,418.48</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10,177,132,709.97</w:t>
            </w:r>
          </w:p>
        </w:tc>
      </w:tr>
    </w:tbl>
    <w:p w:rsidP="00CE0B87" w:rsidR="00941F6C" w:rsidRDefault="00941F6C"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Pr>
          <w:rFonts w:asci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B963A4" w:rsidRPr="0097021E">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tbl>
      <w:tblPr>
        <w:tblW w:type="dxa" w:w="9858"/>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812"/>
        <w:gridCol w:w="1539"/>
        <w:gridCol w:w="1579"/>
        <w:gridCol w:w="1985"/>
        <w:gridCol w:w="2551"/>
        <w:gridCol w:w="1392"/>
      </w:tblGrid>
      <w:tr w:rsidR="00941F6C" w:rsidRPr="004A3251" w:rsidTr="00B92A84">
        <w:trPr>
          <w:trHeight w:val="340"/>
          <w:jc w:val="center"/>
        </w:trPr>
        <w:tc>
          <w:tcPr>
            <w:tcW w:type="dxa" w:w="812"/>
            <w:vAlign w:val="center"/>
          </w:tcPr>
          <w:p w:rsidP="00A3193E" w:rsidR="00941F6C" w:rsidRDefault="00941F6C" w:rsidRPr="00A15461">
            <w:pPr>
              <w:pStyle w:val="ac"/>
              <w:adjustRightInd w:val="0"/>
              <w:snapToGrid w:val="0"/>
              <w:spacing w:line="360" w:lineRule="exact"/>
              <w:jc w:val="center"/>
              <w:rPr>
                <w:color w:val="000000"/>
                <w:kern w:val="0"/>
              </w:rPr>
            </w:pPr>
            <w:r w:rsidRPr="00A15461">
              <w:rPr>
                <w:color w:val="000000"/>
                <w:kern w:val="0"/>
              </w:rPr>
              <w:t>序号</w:t>
            </w:r>
            <w:r w:rsidRPr="00A15461">
              <w:rPr>
                <w:color w:val="000000"/>
                <w:kern w:val="0"/>
              </w:rPr>
              <w:t/>
            </w:r>
            <w:proofErr w:type="spellStart"/>
            <w:r w:rsidRPr="00A15461">
              <w:rPr>
                <w:color w:val="000000"/>
                <w:kern w:val="0"/>
              </w:rPr>
              <w:t/>
            </w:r>
            <w:proofErr w:type="spellEnd"/>
            <w:r w:rsidRPr="00A15461">
              <w:rPr>
                <w:color w:val="000000"/>
                <w:kern w:val="0"/>
              </w:rPr>
              <w:t/>
            </w:r>
            <w:proofErr w:type="spellStart"/>
            <w:r w:rsidRPr="00A15461">
              <w:rPr>
                <w:color w:val="000000"/>
                <w:kern w:val="0"/>
              </w:rPr>
              <w:t/>
            </w:r>
            <w:proofErr w:type="spellEnd"/>
            <w:r w:rsidRPr="00A15461">
              <w:rPr>
                <w:color w:val="000000"/>
                <w:kern w:val="0"/>
              </w:rPr>
              <w:t/>
            </w:r>
          </w:p>
        </w:tc>
        <w:tc>
          <w:tcPr>
            <w:tcW w:type="dxa" w:w="1539"/>
          </w:tcPr>
          <w:p w:rsidP="00A3193E" w:rsidR="00941F6C" w:rsidRDefault="00941F6C" w:rsidRPr="00A15461">
            <w:pPr>
              <w:adjustRightInd w:val="0"/>
              <w:snapToGrid w:val="0"/>
              <w:spacing w:line="360" w:lineRule="exact"/>
              <w:jc w:val="center"/>
              <w:rPr>
                <w:color w:val="000000"/>
                <w:kern w:val="0"/>
                <w:sz w:val="24"/>
              </w:rPr>
            </w:pPr>
            <w:r w:rsidRPr="00A15461">
              <w:rPr>
                <w:color w:val="000000"/>
                <w:kern w:val="0"/>
                <w:sz w:val="24"/>
              </w:rPr>
              <w:t>交易方式</w:t>
            </w:r>
          </w:p>
        </w:tc>
        <w:tc>
          <w:tcPr>
            <w:tcW w:type="dxa" w:w="1579"/>
          </w:tcPr>
          <w:p w:rsidP="00A3193E" w:rsidR="00941F6C" w:rsidRDefault="00941F6C" w:rsidRPr="00A15461">
            <w:pPr>
              <w:adjustRightInd w:val="0"/>
              <w:snapToGrid w:val="0"/>
              <w:spacing w:line="360" w:lineRule="exact"/>
              <w:rPr>
                <w:color w:val="000000"/>
                <w:kern w:val="0"/>
                <w:sz w:val="24"/>
              </w:rPr>
            </w:pPr>
            <w:r w:rsidRPr="00A15461">
              <w:rPr>
                <w:color w:val="000000"/>
                <w:kern w:val="0"/>
                <w:sz w:val="24"/>
              </w:rPr>
              <w:t>交易日期</w:t>
            </w:r>
          </w:p>
        </w:tc>
        <w:tc>
          <w:tcPr>
            <w:tcW w:type="dxa" w:w="1985"/>
          </w:tcPr>
          <w:p w:rsidP="00DC22A1" w:rsidR="00941F6C" w:rsidRDefault="00941F6C" w:rsidRPr="00A15461">
            <w:pPr>
              <w:adjustRightInd w:val="0"/>
              <w:snapToGrid w:val="0"/>
              <w:spacing w:line="360" w:lineRule="exact"/>
              <w:jc w:val="center"/>
              <w:rPr>
                <w:color w:val="000000"/>
                <w:kern w:val="0"/>
                <w:sz w:val="24"/>
              </w:rPr>
            </w:pPr>
            <w:r w:rsidRPr="00A15461">
              <w:rPr>
                <w:color w:val="000000"/>
                <w:kern w:val="0"/>
                <w:sz w:val="24"/>
              </w:rPr>
              <w:t>交易份额</w:t>
            </w:r>
            <w:r w:rsidR="00DC22A1" w:rsidRPr="00A15461">
              <w:rPr>
                <w:color w:val="000000"/>
                <w:kern w:val="0"/>
                <w:sz w:val="24"/>
              </w:rPr>
              <w:t>（份）</w:t>
            </w:r>
          </w:p>
        </w:tc>
        <w:tc>
          <w:tcPr>
            <w:tcW w:type="dxa" w:w="2551"/>
          </w:tcPr>
          <w:p w:rsidP="00A3193E" w:rsidR="00941F6C" w:rsidRDefault="00941F6C" w:rsidRPr="00A15461">
            <w:pPr>
              <w:adjustRightInd w:val="0"/>
              <w:snapToGrid w:val="0"/>
              <w:spacing w:line="360" w:lineRule="exact"/>
              <w:jc w:val="center"/>
              <w:rPr>
                <w:color w:val="000000"/>
                <w:kern w:val="0"/>
                <w:sz w:val="24"/>
              </w:rPr>
            </w:pPr>
            <w:r w:rsidRPr="00A15461">
              <w:rPr>
                <w:color w:val="000000"/>
                <w:kern w:val="0"/>
                <w:sz w:val="24"/>
              </w:rPr>
              <w:t>交易金额（元）</w:t>
            </w:r>
          </w:p>
        </w:tc>
        <w:tc>
          <w:tcPr>
            <w:tcW w:type="dxa" w:w="1392"/>
            <w:vAlign w:val="center"/>
          </w:tcPr>
          <w:p w:rsidP="00A3193E" w:rsidR="00941F6C" w:rsidRDefault="00941F6C" w:rsidRPr="00A15461">
            <w:pPr>
              <w:adjustRightInd w:val="0"/>
              <w:snapToGrid w:val="0"/>
              <w:spacing w:line="360" w:lineRule="exact"/>
              <w:jc w:val="center"/>
              <w:rPr>
                <w:color w:val="000000"/>
                <w:kern w:val="0"/>
                <w:sz w:val="24"/>
              </w:rPr>
            </w:pPr>
            <w:r w:rsidRPr="00A15461">
              <w:rPr>
                <w:color w:val="000000"/>
                <w:kern w:val="0"/>
                <w:sz w:val="24"/>
              </w:rPr>
              <w:t>适用费率</w:t>
            </w:r>
          </w:p>
        </w:tc>
      </w:tr>
      <w:tr>
        <w:tc>
          <w:tcPr>
            <w:vAlign w:val="center"/>
          </w:tcPr>
          <w:p>
            <w:pPr>
              <w:jc w:val="center"/>
            </w:pPr>
            <w:r>
              <w:rPr>
                <w:color w:val="000000"/>
                <w:sz w:val="24"/>
              </w:rPr>
              <w:t>1</w:t>
            </w:r>
          </w:p>
        </w:tc>
        <w:tc>
          <w:tcPr>
            <w:vAlign w:val="center"/>
          </w:tcPr>
          <w:p>
            <w:pPr>
              <w:jc w:val="center"/>
            </w:pPr>
            <w:r>
              <w:rPr>
                <w:color w:val="000000"/>
                <w:sz w:val="24"/>
              </w:rPr>
              <w:t>赎回</w:t>
            </w:r>
          </w:p>
        </w:tc>
        <w:tc>
          <w:tcPr>
            <w:vAlign w:val="center"/>
          </w:tcPr>
          <w:p>
            <w:pPr>
              <w:jc w:val="center"/>
            </w:pPr>
            <w:r>
              <w:rPr>
                <w:color w:val="000000"/>
                <w:sz w:val="24"/>
              </w:rPr>
              <w:t>2020-04-21</w:t>
            </w:r>
          </w:p>
        </w:tc>
        <w:tc>
          <w:tcPr>
            <w:vAlign w:val="center"/>
          </w:tcPr>
          <w:p>
            <w:pPr>
              <w:jc w:val="right"/>
            </w:pPr>
            <w:r>
              <w:rPr>
                <w:color w:val="000000"/>
                <w:sz w:val="24"/>
              </w:rPr>
              <w:t>-300,000,000.00</w:t>
            </w:r>
          </w:p>
        </w:tc>
        <w:tc>
          <w:tcPr>
            <w:vAlign w:val="center"/>
          </w:tcPr>
          <w:p>
            <w:pPr>
              <w:jc w:val="right"/>
            </w:pPr>
            <w:r>
              <w:rPr>
                <w:color w:val="000000"/>
                <w:sz w:val="24"/>
              </w:rPr>
              <w:t>-300,000,000.00</w:t>
            </w:r>
          </w:p>
        </w:tc>
        <w:tc>
          <w:tcPr>
            <w:vAlign w:val="center"/>
          </w:tcPr>
          <w:p>
            <w:pPr>
              <w:jc w:val="center"/>
            </w:pPr>
            <w:r>
              <w:rPr>
                <w:color w:val="000000"/>
                <w:sz w:val="24"/>
              </w:rPr>
              <w:t>-</w:t>
            </w:r>
          </w:p>
        </w:tc>
      </w:tr>
      <w:tr>
        <w:tc>
          <w:tcPr>
            <w:vAlign w:val="center"/>
          </w:tcPr>
          <w:p>
            <w:pPr>
              <w:jc w:val="center"/>
            </w:pPr>
            <w:r>
              <w:rPr>
                <w:color w:val="000000"/>
                <w:sz w:val="24"/>
              </w:rPr>
              <w:t>2</w:t>
            </w:r>
          </w:p>
        </w:tc>
        <w:tc>
          <w:tcPr>
            <w:vAlign w:val="center"/>
          </w:tcPr>
          <w:p>
            <w:pPr>
              <w:jc w:val="center"/>
            </w:pPr>
            <w:r>
              <w:rPr>
                <w:color w:val="000000"/>
                <w:sz w:val="24"/>
              </w:rPr>
              <w:t>赎回</w:t>
            </w:r>
          </w:p>
        </w:tc>
        <w:tc>
          <w:tcPr>
            <w:vAlign w:val="center"/>
          </w:tcPr>
          <w:p>
            <w:pPr>
              <w:jc w:val="center"/>
            </w:pPr>
            <w:r>
              <w:rPr>
                <w:color w:val="000000"/>
                <w:sz w:val="24"/>
              </w:rPr>
              <w:t>2020-04-27</w:t>
            </w:r>
          </w:p>
        </w:tc>
        <w:tc>
          <w:tcPr>
            <w:vAlign w:val="center"/>
          </w:tcPr>
          <w:p>
            <w:pPr>
              <w:jc w:val="right"/>
            </w:pPr>
            <w:r>
              <w:rPr>
                <w:color w:val="000000"/>
                <w:sz w:val="24"/>
              </w:rPr>
              <w:t>-170,000,000.00</w:t>
            </w:r>
          </w:p>
        </w:tc>
        <w:tc>
          <w:tcPr>
            <w:vAlign w:val="center"/>
          </w:tcPr>
          <w:p>
            <w:pPr>
              <w:jc w:val="right"/>
            </w:pPr>
            <w:r>
              <w:rPr>
                <w:color w:val="000000"/>
                <w:sz w:val="24"/>
              </w:rPr>
              <w:t>-170,000,000.00</w:t>
            </w:r>
          </w:p>
        </w:tc>
        <w:tc>
          <w:tcPr>
            <w:vAlign w:val="center"/>
          </w:tcPr>
          <w:p>
            <w:pPr>
              <w:jc w:val="center"/>
            </w:pPr>
            <w:r>
              <w:rPr>
                <w:color w:val="000000"/>
                <w:sz w:val="24"/>
              </w:rPr>
              <w:t>-</w:t>
            </w:r>
          </w:p>
        </w:tc>
      </w:tr>
      <w:tr>
        <w:tc>
          <w:tcPr>
            <w:vAlign w:val="center"/>
          </w:tcPr>
          <w:p>
            <w:pPr>
              <w:jc w:val="center"/>
            </w:pPr>
            <w:r>
              <w:rPr>
                <w:color w:val="000000"/>
                <w:sz w:val="24"/>
              </w:rPr>
              <w:t>3</w:t>
            </w:r>
          </w:p>
        </w:tc>
        <w:tc>
          <w:tcPr>
            <w:vAlign w:val="center"/>
          </w:tcPr>
          <w:p>
            <w:pPr>
              <w:jc w:val="center"/>
            </w:pPr>
            <w:r>
              <w:rPr>
                <w:color w:val="000000"/>
                <w:sz w:val="24"/>
              </w:rPr>
              <w:t>赎回</w:t>
            </w:r>
          </w:p>
        </w:tc>
        <w:tc>
          <w:tcPr>
            <w:vAlign w:val="center"/>
          </w:tcPr>
          <w:p>
            <w:pPr>
              <w:jc w:val="center"/>
            </w:pPr>
            <w:r>
              <w:rPr>
                <w:color w:val="000000"/>
                <w:sz w:val="24"/>
              </w:rPr>
              <w:t>2020-05-19</w:t>
            </w:r>
          </w:p>
        </w:tc>
        <w:tc>
          <w:tcPr>
            <w:vAlign w:val="center"/>
          </w:tcPr>
          <w:p>
            <w:pPr>
              <w:jc w:val="right"/>
            </w:pPr>
            <w:r>
              <w:rPr>
                <w:color w:val="000000"/>
                <w:sz w:val="24"/>
              </w:rPr>
              <w:t>-450,000,000.00</w:t>
            </w:r>
          </w:p>
        </w:tc>
        <w:tc>
          <w:tcPr>
            <w:vAlign w:val="center"/>
          </w:tcPr>
          <w:p>
            <w:pPr>
              <w:jc w:val="right"/>
            </w:pPr>
            <w:r>
              <w:rPr>
                <w:color w:val="000000"/>
                <w:sz w:val="24"/>
              </w:rPr>
              <w:t>-450,000,000.00</w:t>
            </w:r>
          </w:p>
        </w:tc>
        <w:tc>
          <w:tcPr>
            <w:vAlign w:val="center"/>
          </w:tcPr>
          <w:p>
            <w:pPr>
              <w:jc w:val="center"/>
            </w:pPr>
            <w:r>
              <w:rPr>
                <w:color w:val="000000"/>
                <w:sz w:val="24"/>
              </w:rPr>
              <w:t>-</w:t>
            </w:r>
          </w:p>
        </w:tc>
      </w:tr>
      <w:tr>
        <w:tc>
          <w:tcPr>
            <w:vAlign w:val="center"/>
          </w:tcPr>
          <w:p>
            <w:pPr>
              <w:jc w:val="center"/>
            </w:pPr>
            <w:r>
              <w:rPr>
                <w:color w:val="000000"/>
                <w:sz w:val="24"/>
              </w:rPr>
              <w:t>4</w:t>
            </w:r>
          </w:p>
        </w:tc>
        <w:tc>
          <w:tcPr>
            <w:vAlign w:val="center"/>
          </w:tcPr>
          <w:p>
            <w:pPr>
              <w:jc w:val="center"/>
            </w:pPr>
            <w:r>
              <w:rPr>
                <w:color w:val="000000"/>
                <w:sz w:val="24"/>
              </w:rPr>
              <w:t>赎回</w:t>
            </w:r>
          </w:p>
        </w:tc>
        <w:tc>
          <w:tcPr>
            <w:vAlign w:val="center"/>
          </w:tcPr>
          <w:p>
            <w:pPr>
              <w:jc w:val="center"/>
            </w:pPr>
            <w:r>
              <w:rPr>
                <w:color w:val="000000"/>
                <w:sz w:val="24"/>
              </w:rPr>
              <w:t>2020-05-21</w:t>
            </w:r>
          </w:p>
        </w:tc>
        <w:tc>
          <w:tcPr>
            <w:vAlign w:val="center"/>
          </w:tcPr>
          <w:p>
            <w:pPr>
              <w:jc w:val="right"/>
            </w:pPr>
            <w:r>
              <w:rPr>
                <w:color w:val="000000"/>
                <w:sz w:val="24"/>
              </w:rPr>
              <w:t>-97,388,515.55</w:t>
            </w:r>
          </w:p>
        </w:tc>
        <w:tc>
          <w:tcPr>
            <w:vAlign w:val="center"/>
          </w:tcPr>
          <w:p>
            <w:pPr>
              <w:jc w:val="right"/>
            </w:pPr>
            <w:r>
              <w:rPr>
                <w:color w:val="000000"/>
                <w:sz w:val="24"/>
              </w:rPr>
              <w:t>-97,391,898.62</w:t>
            </w:r>
          </w:p>
        </w:tc>
        <w:tc>
          <w:tcPr>
            <w:vAlign w:val="center"/>
          </w:tcPr>
          <w:p>
            <w:pPr>
              <w:jc w:val="center"/>
            </w:pPr>
            <w:r>
              <w:rPr>
                <w:color w:val="000000"/>
                <w:sz w:val="24"/>
              </w:rPr>
              <w:t>-</w:t>
            </w:r>
          </w:p>
        </w:tc>
      </w:tr>
      <w:tr>
        <w:tc>
          <w:tcPr>
            <w:vAlign w:val="center"/>
          </w:tcPr>
          <w:p>
            <w:pPr>
              <w:jc w:val="center"/>
            </w:pPr>
            <w:r>
              <w:rPr>
                <w:color w:val="000000"/>
                <w:sz w:val="24"/>
              </w:rPr>
              <w:t>5</w:t>
            </w:r>
          </w:p>
        </w:tc>
        <w:tc>
          <w:tcPr>
            <w:vAlign w:val="center"/>
          </w:tcPr>
          <w:p>
            <w:pPr>
              <w:jc w:val="center"/>
            </w:pPr>
            <w:r>
              <w:rPr>
                <w:color w:val="000000"/>
                <w:sz w:val="24"/>
              </w:rPr>
              <w:t>红利再投资</w:t>
            </w:r>
          </w:p>
        </w:tc>
        <w:tc>
          <w:tcPr>
            <w:vAlign w:val="center"/>
          </w:tcPr>
          <w:p>
            <w:pPr>
              <w:jc w:val="center"/>
            </w:pPr>
            <w:r>
              <w:rPr>
                <w:color w:val="000000"/>
                <w:sz w:val="24"/>
              </w:rPr>
              <w:t>-</w:t>
            </w:r>
          </w:p>
        </w:tc>
        <w:tc>
          <w:tcPr>
            <w:vAlign w:val="center"/>
          </w:tcPr>
          <w:p>
            <w:pPr>
              <w:jc w:val="right"/>
            </w:pPr>
            <w:r>
              <w:rPr>
                <w:color w:val="000000"/>
                <w:sz w:val="24"/>
              </w:rPr>
              <w:t>1,828,133.91</w:t>
            </w:r>
          </w:p>
        </w:tc>
        <w:tc>
          <w:tcPr>
            <w:vAlign w:val="center"/>
          </w:tcPr>
          <w:p>
            <w:pPr>
              <w:jc w:val="right"/>
            </w:pPr>
            <w:r>
              <w:rPr>
                <w:color w:val="000000"/>
                <w:sz w:val="24"/>
              </w:rPr>
              <w:t>1,828,133.91</w:t>
            </w:r>
          </w:p>
        </w:tc>
        <w:tc>
          <w:tcPr>
            <w:vAlign w:val="center"/>
          </w:tcPr>
          <w:p>
            <w:pPr>
              <w:jc w:val="center"/>
            </w:pPr>
            <w:r>
              <w:rPr>
                <w:color w:val="000000"/>
                <w:sz w:val="24"/>
              </w:rPr>
              <w:t>-</w:t>
            </w:r>
          </w:p>
        </w:tc>
      </w:tr>
      <w:tr w:rsidR="00941F6C" w:rsidRPr="004A3251" w:rsidTr="00B92A84">
        <w:trPr>
          <w:trHeight w:val="340"/>
          <w:jc w:val="center"/>
        </w:trPr>
        <w:tc>
          <w:tcPr>
            <w:tcW w:type="dxa" w:w="812"/>
            <w:vAlign w:val="center"/>
          </w:tcPr>
          <w:p w:rsidP="00A3193E" w:rsidR="00941F6C" w:rsidRDefault="00941F6C" w:rsidRPr="00A15461">
            <w:pPr>
              <w:pStyle w:val="ac"/>
              <w:adjustRightInd w:val="0"/>
              <w:snapToGrid w:val="0"/>
              <w:spacing w:line="360" w:lineRule="exact"/>
              <w:jc w:val="center"/>
              <w:rPr>
                <w:color w:val="000000"/>
                <w:kern w:val="0"/>
              </w:rPr>
            </w:pPr>
            <w:r w:rsidRPr="00A15461">
              <w:rPr>
                <w:color w:val="000000"/>
                <w:kern w:val="0"/>
              </w:rPr>
              <w:t>合计</w:t>
            </w:r>
          </w:p>
        </w:tc>
        <w:tc>
          <w:tcPr>
            <w:tcW w:type="dxa" w:w="1539"/>
          </w:tcPr>
          <w:p w:rsidP="00A3193E" w:rsidR="00941F6C" w:rsidRDefault="00941F6C" w:rsidRPr="00A15461">
            <w:pPr>
              <w:adjustRightInd w:val="0"/>
              <w:snapToGrid w:val="0"/>
              <w:spacing w:line="360" w:lineRule="exact"/>
              <w:jc w:val="right"/>
              <w:rPr>
                <w:color w:val="0000FF"/>
                <w:kern w:val="0"/>
                <w:sz w:val="18"/>
              </w:rPr>
            </w:pPr>
          </w:p>
        </w:tc>
        <w:tc>
          <w:tcPr>
            <w:tcW w:type="dxa" w:w="1579"/>
          </w:tcPr>
          <w:p w:rsidP="00A3193E" w:rsidR="00941F6C" w:rsidRDefault="00941F6C" w:rsidRPr="00A15461">
            <w:pPr>
              <w:adjustRightInd w:val="0"/>
              <w:snapToGrid w:val="0"/>
              <w:spacing w:line="360" w:lineRule="exact"/>
              <w:jc w:val="right"/>
              <w:rPr>
                <w:color w:val="0000FF"/>
                <w:kern w:val="0"/>
                <w:sz w:val="18"/>
              </w:rPr>
            </w:pPr>
          </w:p>
        </w:tc>
        <w:tc>
          <w:tcPr>
            <w:tcW w:type="dxa" w:w="1985"/>
          </w:tcPr>
          <w:p w:rsidP="00A3193E" w:rsidR="00941F6C" w:rsidRDefault="00941F6C" w:rsidRPr="00A15461">
            <w:pPr>
              <w:adjustRightInd w:val="0"/>
              <w:snapToGrid w:val="0"/>
              <w:spacing w:line="360" w:lineRule="exact"/>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-1,015,560,381.64</w:t>
            </w:r>
          </w:p>
        </w:tc>
        <w:tc>
          <w:tcPr>
            <w:tcW w:type="dxa" w:w="2551"/>
          </w:tcPr>
          <w:p w:rsidP="00A3193E" w:rsidR="00941F6C" w:rsidRDefault="00941F6C" w:rsidRPr="00A15461">
            <w:pPr>
              <w:adjustRightInd w:val="0"/>
              <w:snapToGrid w:val="0"/>
              <w:spacing w:line="360" w:lineRule="exact"/>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-1,015,563,764.71</w:t>
            </w:r>
          </w:p>
        </w:tc>
        <w:tc>
          <w:tcPr>
            <w:tcW w:type="dxa" w:w="1392"/>
            <w:vAlign w:val="center"/>
          </w:tcPr>
          <w:p w:rsidP="00A3193E" w:rsidR="00941F6C" w:rsidRDefault="00941F6C" w:rsidRPr="00A15461">
            <w:pPr>
              <w:adjustRightInd w:val="0"/>
              <w:snapToGrid w:val="0"/>
              <w:spacing w:line="360" w:lineRule="exact"/>
              <w:jc w:val="right"/>
              <w:rPr>
                <w:color w:val="0000FF"/>
                <w:kern w:val="0"/>
                <w:sz w:val="18"/>
              </w:rPr>
            </w:pPr>
          </w:p>
        </w:tc>
      </w:tr>
    </w:tbl>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注：本基金按日计算并分配收益，本报告期的收益分配列示在“红利再投资”项下汇总披露。</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color w:val="000000"/>
          <w:kern w:val="0"/>
          <w:sz w:val="24"/>
          <w:szCs w:val="24"/>
        </w:rPr>
        <w:t/>
      </w:r>
      <w:r w:rsidRPr="0097021E">
        <w:rPr>
          <w:rFonts w:ascii="宋体" w:cs="Arial" w:hAnsi="宋体"/>
          <w:color w:val="000000"/>
          <w:kern w:val="0"/>
          <w:sz w:val="24"/>
          <w:szCs w:val="24"/>
        </w:rPr>
        <w:t xml:space="preserve">8  </w:t>
      </w:r>
      <w:r w:rsidRPr="0097021E">
        <w:rPr>
          <w:rFonts w:ascii="宋体" w:cs="Arial" w:hAnsi="宋体" w:hint="eastAsia"/>
          <w:color w:val="000000"/>
          <w:kern w:val="0"/>
          <w:sz w:val="24"/>
          <w:szCs w:val="24"/>
        </w:rPr>
        <w:t>备查文件目录</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1.中国证监会准予易方达天天发货币市场基金注册的文件；</w:t>
      </w:r>
    </w:p>
    <w:p>
      <w:pPr>
        <w:adjustRightInd w:val="0"/>
        <w:spacing w:line="360" w:lineRule="auto"/>
        <w:ind w:firstLine="480" w:firstLineChars="200"/>
        <w:rPr>
          <w:color w:val="000000"/>
          <w:sz w:val="24"/>
        </w:rPr>
      </w:pPr>
      <w:r>
        <w:rPr>
          <w:color w:val="000000"/>
          <w:sz w:val="24"/>
        </w:rPr>
        <w:t>2.《易方达天天发货币市场基金基金合同》；</w:t>
      </w:r>
    </w:p>
    <w:p>
      <w:pPr>
        <w:adjustRightInd w:val="0"/>
        <w:spacing w:line="360" w:lineRule="auto"/>
        <w:ind w:firstLine="480" w:firstLineChars="200"/>
        <w:rPr>
          <w:color w:val="000000"/>
          <w:sz w:val="24"/>
        </w:rPr>
      </w:pPr>
      <w:r>
        <w:rPr>
          <w:color w:val="000000"/>
          <w:sz w:val="24"/>
        </w:rPr>
        <w:t>3.《易方达天天发货币市场基金托管协议》；</w:t>
      </w:r>
    </w:p>
    <w:p>
      <w:pPr>
        <w:adjustRightInd w:val="0"/>
        <w:spacing w:line="360" w:lineRule="auto"/>
        <w:ind w:firstLine="480" w:firstLineChars="200"/>
        <w:rPr>
          <w:color w:val="000000"/>
          <w:sz w:val="24"/>
        </w:rPr>
      </w:pPr>
      <w:r>
        <w:rPr>
          <w:color w:val="000000"/>
          <w:sz w:val="24"/>
        </w:rPr>
        <w:t>4.《易方达基金管理有限公司开放式基金业务规则》；</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5.基金管理人业务资格批件、营业执照。</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广州市天河区珠江新城珠江东路30号广州银行大厦40-43楼。</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投资者可在营业时间免费查阅，也可按工本费购买复印件。</w:t>
      </w: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196812" w:rsidR="00941F6C" w:rsidRDefault="00941F6C" w:rsidRPr="0097021E">
      <w:pPr>
        <w:spacing w:line="360" w:lineRule="auto"/>
        <w:ind w:left="840"/>
        <w:jc w:val="right"/>
        <w:rPr>
          <w:rFonts w:ascii="宋体"/>
          <w:color w:val="000000"/>
          <w:sz w:val="24"/>
        </w:rPr>
      </w:pPr>
    </w:p>
    <w:p w:rsidP="00394BC1" w:rsidR="00941F6C" w:rsidRDefault="00941F6C" w:rsidRPr="0097021E">
      <w:pPr>
        <w:spacing w:line="360" w:lineRule="auto"/>
        <w:jc w:val="right"/>
        <w:rPr>
          <w:rFonts w:ascii="宋体" w:hAnsi="宋体"/>
          <w:b/>
          <w:bCs/>
          <w:sz w:val="24"/>
        </w:rPr>
      </w:pPr>
      <w:r w:rsidRPr="0097021E">
        <w:rPr>
          <w:rFonts w:ascii="宋体"/>
          <w:b/>
          <w:bCs/>
          <w:sz w:val="24"/>
        </w:rPr>
        <w:t/>
      </w:r>
      <w:proofErr w:type="spellStart"/>
      <w:r w:rsidRPr="0097021E">
        <w:rPr>
          <w:rFonts w:ascii="宋体" w:hAnsi="宋体"/>
          <w:b/>
          <w:bCs/>
          <w:sz w:val="24"/>
        </w:rPr>
        <w:t/>
      </w:r>
      <w:proofErr w:type="spellEnd"/>
      <w:r w:rsidRPr="0097021E">
        <w:rPr>
          <w:rFonts w:ascii="宋体" w:hAnsi="宋体"/>
          <w:b/>
          <w:bCs/>
          <w:sz w:val="24"/>
        </w:rPr>
        <w:t>易方达基金管理有限公司</w:t>
      </w:r>
    </w:p>
    <w:p w:rsidP="00394BC1" w:rsidR="00941F6C" w:rsidRDefault="00941F6C" w:rsidRPr="0097021E">
      <w:pPr>
        <w:spacing w:line="360" w:lineRule="auto"/>
        <w:jc w:val="right"/>
        <w:rPr>
          <w:rFonts w:ascii="宋体" w:hAnsi="宋体"/>
          <w:b/>
          <w:bCs/>
          <w:sz w:val="24"/>
        </w:rPr>
      </w:pPr>
      <w:r w:rsidRPr="0097021E">
        <w:rPr>
          <w:rFonts w:ascii="宋体" w:hAnsi="宋体"/>
          <w:b/>
          <w:bCs/>
          <w:sz w:val="24"/>
        </w:rPr>
        <w:t/>
      </w:r>
      <w:proofErr w:type="spellStart"/>
      <w:r w:rsidRPr="0097021E">
        <w:rPr>
          <w:rFonts w:ascii="宋体" w:hAnsi="宋体"/>
          <w:b/>
          <w:bCs/>
          <w:sz w:val="24"/>
        </w:rPr>
        <w:t/>
      </w:r>
      <w:proofErr w:type="spellEnd"/>
      <w:r w:rsidRPr="0097021E">
        <w:rPr>
          <w:rFonts w:ascii="宋体" w:hAnsi="宋体"/>
          <w:b/>
          <w:bCs/>
          <w:sz w:val="24"/>
        </w:rPr>
        <w:t>二〇二〇年七月二十一日</w:t>
      </w:r>
    </w:p>
    <w:sectPr w:rsidR="00941F6C"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C90" w:rsidRDefault="002B3C90">
      <w:r>
        <w:separator/>
      </w:r>
    </w:p>
  </w:endnote>
  <w:endnote w:type="continuationSeparator" w:id="0">
    <w:p w:rsidR="002B3C90" w:rsidRDefault="002B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941F6C" w:rsidRDefault="00941F6C" w:rsidRPr="001D0DB0">
    <w:pPr>
      <w:pStyle w:val="a5"/>
      <w:jc w:val="center"/>
    </w:pPr>
    <w:r>
      <w:rPr>
        <w:rFonts w:hint="eastAsia"/>
        <w:szCs w:val="21"/>
      </w:rPr>
      <w:t>第</w:t>
    </w:r>
    <w:r w:rsidR="000D7F46">
      <w:rPr>
        <w:szCs w:val="21"/>
      </w:rPr>
      <w:fldChar w:fldCharType="begin"/>
    </w:r>
    <w:r>
      <w:rPr>
        <w:szCs w:val="21"/>
      </w:rPr>
      <w:instrText xml:space="preserve"> PAGE </w:instrText>
    </w:r>
    <w:r w:rsidR="000D7F46">
      <w:rPr>
        <w:szCs w:val="21"/>
      </w:rPr>
      <w:fldChar w:fldCharType="separate"/>
    </w:r>
    <w:r w:rsidR="00BC3C5E">
      <w:rPr>
        <w:noProof/>
        <w:szCs w:val="21"/>
      </w:rPr>
      <w:t>19</w:t>
    </w:r>
    <w:r w:rsidR="000D7F46">
      <w:rPr>
        <w:szCs w:val="21"/>
      </w:rPr>
      <w:fldChar w:fldCharType="end"/>
    </w:r>
    <w:proofErr w:type="gramStart"/>
    <w:r>
      <w:rPr>
        <w:rFonts w:hint="eastAsia"/>
        <w:szCs w:val="21"/>
      </w:rPr>
      <w:t>页共</w:t>
    </w:r>
    <w:proofErr w:type="gramEnd"/>
    <w:r w:rsidR="000D7F46">
      <w:rPr>
        <w:szCs w:val="21"/>
      </w:rPr>
      <w:fldChar w:fldCharType="begin"/>
    </w:r>
    <w:r>
      <w:rPr>
        <w:szCs w:val="21"/>
      </w:rPr>
      <w:instrText xml:space="preserve"> NUMPAGES </w:instrText>
    </w:r>
    <w:r w:rsidR="000D7F46">
      <w:rPr>
        <w:szCs w:val="21"/>
      </w:rPr>
      <w:fldChar w:fldCharType="separate"/>
    </w:r>
    <w:r w:rsidR="00BC3C5E">
      <w:rPr>
        <w:noProof/>
        <w:szCs w:val="21"/>
      </w:rPr>
      <w:t>27</w:t>
    </w:r>
    <w:r w:rsidR="000D7F46">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2B3C90" w:rsidRDefault="002B3C90">
      <w:r>
        <w:separator/>
      </w:r>
    </w:p>
  </w:footnote>
  <w:footnote w:id="0" w:type="continuationSeparator">
    <w:p w:rsidR="002B3C90" w:rsidRDefault="002B3C9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941F6C" w:rsidRDefault="00941F6C" w:rsidRPr="004F32E4">
    <w:pPr>
      <w:pStyle w:val="a4"/>
      <w:pBdr>
        <w:bottom w:color="auto" w:space="0" w:sz="6" w:val="single"/>
      </w:pBdr>
      <w:jc w:val="right"/>
      <w:rPr>
        <w:sz w:val="15"/>
      </w:rPr>
    </w:pPr>
    <w:r w:rsidRPr="004F32E4">
      <w:rPr>
        <w:szCs w:val="21"/>
      </w:rPr>
      <w:t/>
    </w:r>
    <w:proofErr w:type="spellStart"/>
    <w:proofErr w:type="gramStart"/>
    <w:r w:rsidRPr="004F32E4">
      <w:rPr>
        <w:szCs w:val="21"/>
      </w:rPr>
      <w:t/>
    </w:r>
    <w:proofErr w:type="spellEnd"/>
    <w:proofErr w:type="gramEnd"/>
    <w:r w:rsidRPr="004F32E4">
      <w:rPr>
        <w:szCs w:val="21"/>
      </w:rPr>
      <w:t>易方达天天发货币市场基金</w:t>
    </w:r>
    <w:proofErr w:type="spellStart"/>
    <w:r w:rsidRPr="004F32E4">
      <w:rPr>
        <w:szCs w:val="21"/>
      </w:rPr>
      <w:t/>
    </w:r>
    <w:proofErr w:type="spellEnd"/>
    <w:r w:rsidRPr="004F32E4">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67283"/>
    <w:rsid w:val="000028CE"/>
    <w:rsid w:val="00004DE7"/>
    <w:rsid w:val="00005433"/>
    <w:rsid w:val="0001552D"/>
    <w:rsid w:val="0001566B"/>
    <w:rsid w:val="0002085F"/>
    <w:rsid w:val="00035596"/>
    <w:rsid w:val="000417E0"/>
    <w:rsid w:val="00044724"/>
    <w:rsid w:val="00047661"/>
    <w:rsid w:val="00052CA4"/>
    <w:rsid w:val="0005518A"/>
    <w:rsid w:val="00057D26"/>
    <w:rsid w:val="00063BA4"/>
    <w:rsid w:val="00065BBC"/>
    <w:rsid w:val="0006697D"/>
    <w:rsid w:val="00070092"/>
    <w:rsid w:val="0007109E"/>
    <w:rsid w:val="00075BBB"/>
    <w:rsid w:val="00075CA2"/>
    <w:rsid w:val="0007770D"/>
    <w:rsid w:val="00081C7E"/>
    <w:rsid w:val="000A2104"/>
    <w:rsid w:val="000A7480"/>
    <w:rsid w:val="000B2044"/>
    <w:rsid w:val="000B2266"/>
    <w:rsid w:val="000C469F"/>
    <w:rsid w:val="000C572D"/>
    <w:rsid w:val="000D0F44"/>
    <w:rsid w:val="000D12EA"/>
    <w:rsid w:val="000D6294"/>
    <w:rsid w:val="000D66F0"/>
    <w:rsid w:val="000D7F46"/>
    <w:rsid w:val="000E0F6E"/>
    <w:rsid w:val="000E7D73"/>
    <w:rsid w:val="000F2DA3"/>
    <w:rsid w:val="000F3C21"/>
    <w:rsid w:val="000F4826"/>
    <w:rsid w:val="000F5947"/>
    <w:rsid w:val="001007E9"/>
    <w:rsid w:val="00101278"/>
    <w:rsid w:val="001038EF"/>
    <w:rsid w:val="00103B93"/>
    <w:rsid w:val="001074D6"/>
    <w:rsid w:val="00113777"/>
    <w:rsid w:val="00114C97"/>
    <w:rsid w:val="001302DB"/>
    <w:rsid w:val="00132BFF"/>
    <w:rsid w:val="00145BCE"/>
    <w:rsid w:val="00157B55"/>
    <w:rsid w:val="0016083C"/>
    <w:rsid w:val="001614DC"/>
    <w:rsid w:val="00162222"/>
    <w:rsid w:val="001635C7"/>
    <w:rsid w:val="0018401C"/>
    <w:rsid w:val="00186667"/>
    <w:rsid w:val="00186F56"/>
    <w:rsid w:val="001878B0"/>
    <w:rsid w:val="00191B28"/>
    <w:rsid w:val="00193BCF"/>
    <w:rsid w:val="00195C6F"/>
    <w:rsid w:val="00196812"/>
    <w:rsid w:val="00197ED0"/>
    <w:rsid w:val="001A2524"/>
    <w:rsid w:val="001B2821"/>
    <w:rsid w:val="001B42BE"/>
    <w:rsid w:val="001B72D6"/>
    <w:rsid w:val="001B7CC6"/>
    <w:rsid w:val="001C5D80"/>
    <w:rsid w:val="001D0D4C"/>
    <w:rsid w:val="001D0DB0"/>
    <w:rsid w:val="001D3FAC"/>
    <w:rsid w:val="001D65C8"/>
    <w:rsid w:val="001D6ECD"/>
    <w:rsid w:val="001D75D9"/>
    <w:rsid w:val="001F0286"/>
    <w:rsid w:val="00204CFA"/>
    <w:rsid w:val="0020640F"/>
    <w:rsid w:val="0021251E"/>
    <w:rsid w:val="00232095"/>
    <w:rsid w:val="00233014"/>
    <w:rsid w:val="0024424F"/>
    <w:rsid w:val="002507FE"/>
    <w:rsid w:val="002525C7"/>
    <w:rsid w:val="002611C3"/>
    <w:rsid w:val="002622E8"/>
    <w:rsid w:val="00264E55"/>
    <w:rsid w:val="00267283"/>
    <w:rsid w:val="00267FF0"/>
    <w:rsid w:val="00274FAC"/>
    <w:rsid w:val="0027576B"/>
    <w:rsid w:val="002A4B7F"/>
    <w:rsid w:val="002B3C90"/>
    <w:rsid w:val="002B45A4"/>
    <w:rsid w:val="002B48D0"/>
    <w:rsid w:val="002C33A0"/>
    <w:rsid w:val="002D1E78"/>
    <w:rsid w:val="002D3ADF"/>
    <w:rsid w:val="002E040C"/>
    <w:rsid w:val="002E0F4A"/>
    <w:rsid w:val="002E303A"/>
    <w:rsid w:val="002F0E9D"/>
    <w:rsid w:val="002F210C"/>
    <w:rsid w:val="002F6539"/>
    <w:rsid w:val="00304E44"/>
    <w:rsid w:val="00307062"/>
    <w:rsid w:val="00307395"/>
    <w:rsid w:val="00311ADA"/>
    <w:rsid w:val="00311AEB"/>
    <w:rsid w:val="00322B07"/>
    <w:rsid w:val="0032323A"/>
    <w:rsid w:val="00323377"/>
    <w:rsid w:val="00327FB0"/>
    <w:rsid w:val="00331F8B"/>
    <w:rsid w:val="00340292"/>
    <w:rsid w:val="00340C3A"/>
    <w:rsid w:val="00343648"/>
    <w:rsid w:val="00343AF0"/>
    <w:rsid w:val="003446AD"/>
    <w:rsid w:val="00346359"/>
    <w:rsid w:val="00346B82"/>
    <w:rsid w:val="0035022C"/>
    <w:rsid w:val="0035215C"/>
    <w:rsid w:val="0035397F"/>
    <w:rsid w:val="003571ED"/>
    <w:rsid w:val="00361AB7"/>
    <w:rsid w:val="00362E2A"/>
    <w:rsid w:val="00371E26"/>
    <w:rsid w:val="00373AAB"/>
    <w:rsid w:val="00374016"/>
    <w:rsid w:val="0038256A"/>
    <w:rsid w:val="00383631"/>
    <w:rsid w:val="00384942"/>
    <w:rsid w:val="00393DB8"/>
    <w:rsid w:val="00394BC1"/>
    <w:rsid w:val="003A0538"/>
    <w:rsid w:val="003A0EC1"/>
    <w:rsid w:val="003A2D1C"/>
    <w:rsid w:val="003B36B4"/>
    <w:rsid w:val="003B6DC6"/>
    <w:rsid w:val="003C0E8C"/>
    <w:rsid w:val="003C1137"/>
    <w:rsid w:val="003C495A"/>
    <w:rsid w:val="003D1ECF"/>
    <w:rsid w:val="003D21F4"/>
    <w:rsid w:val="003E0CB5"/>
    <w:rsid w:val="003E14FE"/>
    <w:rsid w:val="003E565B"/>
    <w:rsid w:val="003F43EB"/>
    <w:rsid w:val="00402654"/>
    <w:rsid w:val="00403ED2"/>
    <w:rsid w:val="00404A00"/>
    <w:rsid w:val="0041278D"/>
    <w:rsid w:val="004147F3"/>
    <w:rsid w:val="004250C5"/>
    <w:rsid w:val="00425438"/>
    <w:rsid w:val="00433C1E"/>
    <w:rsid w:val="004369B0"/>
    <w:rsid w:val="00440828"/>
    <w:rsid w:val="0044257C"/>
    <w:rsid w:val="00446474"/>
    <w:rsid w:val="004527E3"/>
    <w:rsid w:val="00452968"/>
    <w:rsid w:val="00452D31"/>
    <w:rsid w:val="00460000"/>
    <w:rsid w:val="00461A70"/>
    <w:rsid w:val="004702DF"/>
    <w:rsid w:val="00473E10"/>
    <w:rsid w:val="00473EC9"/>
    <w:rsid w:val="00474896"/>
    <w:rsid w:val="004771B9"/>
    <w:rsid w:val="00483671"/>
    <w:rsid w:val="00496B2E"/>
    <w:rsid w:val="004A1355"/>
    <w:rsid w:val="004A2432"/>
    <w:rsid w:val="004A3251"/>
    <w:rsid w:val="004A357E"/>
    <w:rsid w:val="004A46A0"/>
    <w:rsid w:val="004B1C09"/>
    <w:rsid w:val="004B40EC"/>
    <w:rsid w:val="004C44F3"/>
    <w:rsid w:val="004C5B7C"/>
    <w:rsid w:val="004D18E1"/>
    <w:rsid w:val="004D22E1"/>
    <w:rsid w:val="004D6065"/>
    <w:rsid w:val="004E041A"/>
    <w:rsid w:val="004E3452"/>
    <w:rsid w:val="004E4E63"/>
    <w:rsid w:val="004F32E4"/>
    <w:rsid w:val="00505FFA"/>
    <w:rsid w:val="00506EF6"/>
    <w:rsid w:val="00512AA7"/>
    <w:rsid w:val="005134E7"/>
    <w:rsid w:val="005141F5"/>
    <w:rsid w:val="00515166"/>
    <w:rsid w:val="0051578D"/>
    <w:rsid w:val="00515B05"/>
    <w:rsid w:val="005212AE"/>
    <w:rsid w:val="00533490"/>
    <w:rsid w:val="0054464B"/>
    <w:rsid w:val="0054785C"/>
    <w:rsid w:val="00555883"/>
    <w:rsid w:val="00560F94"/>
    <w:rsid w:val="005633AD"/>
    <w:rsid w:val="00570F8C"/>
    <w:rsid w:val="005717B1"/>
    <w:rsid w:val="00575970"/>
    <w:rsid w:val="00582960"/>
    <w:rsid w:val="00587524"/>
    <w:rsid w:val="00592D0A"/>
    <w:rsid w:val="00594DCA"/>
    <w:rsid w:val="00595285"/>
    <w:rsid w:val="005A60B7"/>
    <w:rsid w:val="005B527B"/>
    <w:rsid w:val="005C2541"/>
    <w:rsid w:val="005C3044"/>
    <w:rsid w:val="005C4337"/>
    <w:rsid w:val="005D596C"/>
    <w:rsid w:val="005D6138"/>
    <w:rsid w:val="005D6807"/>
    <w:rsid w:val="005E05CC"/>
    <w:rsid w:val="005E1CCF"/>
    <w:rsid w:val="005E2087"/>
    <w:rsid w:val="005E6FA5"/>
    <w:rsid w:val="005F17EC"/>
    <w:rsid w:val="005F41D2"/>
    <w:rsid w:val="005F668B"/>
    <w:rsid w:val="005F6B28"/>
    <w:rsid w:val="005F7007"/>
    <w:rsid w:val="00607D19"/>
    <w:rsid w:val="00613327"/>
    <w:rsid w:val="006214E4"/>
    <w:rsid w:val="0063302E"/>
    <w:rsid w:val="00633177"/>
    <w:rsid w:val="006331F2"/>
    <w:rsid w:val="00636261"/>
    <w:rsid w:val="00636B17"/>
    <w:rsid w:val="0064191E"/>
    <w:rsid w:val="00664834"/>
    <w:rsid w:val="0066598A"/>
    <w:rsid w:val="006662B2"/>
    <w:rsid w:val="00672BEF"/>
    <w:rsid w:val="00673BA5"/>
    <w:rsid w:val="00685DE8"/>
    <w:rsid w:val="006911A1"/>
    <w:rsid w:val="00693EE6"/>
    <w:rsid w:val="006A1E40"/>
    <w:rsid w:val="006A2D00"/>
    <w:rsid w:val="006B01A5"/>
    <w:rsid w:val="006B2957"/>
    <w:rsid w:val="006B4C67"/>
    <w:rsid w:val="006D27DD"/>
    <w:rsid w:val="006D3126"/>
    <w:rsid w:val="006D4647"/>
    <w:rsid w:val="006D4C22"/>
    <w:rsid w:val="006E4EB5"/>
    <w:rsid w:val="006F1C55"/>
    <w:rsid w:val="006F3228"/>
    <w:rsid w:val="006F3CEE"/>
    <w:rsid w:val="006F622C"/>
    <w:rsid w:val="006F73DC"/>
    <w:rsid w:val="00707CB2"/>
    <w:rsid w:val="00710487"/>
    <w:rsid w:val="00712226"/>
    <w:rsid w:val="00714B3D"/>
    <w:rsid w:val="007277D1"/>
    <w:rsid w:val="00727EA0"/>
    <w:rsid w:val="0073105A"/>
    <w:rsid w:val="00734B8E"/>
    <w:rsid w:val="00737060"/>
    <w:rsid w:val="00741288"/>
    <w:rsid w:val="0074455F"/>
    <w:rsid w:val="007521F9"/>
    <w:rsid w:val="00756489"/>
    <w:rsid w:val="00756761"/>
    <w:rsid w:val="00756EA2"/>
    <w:rsid w:val="00757F37"/>
    <w:rsid w:val="00762E87"/>
    <w:rsid w:val="00764629"/>
    <w:rsid w:val="00764CF7"/>
    <w:rsid w:val="00764D09"/>
    <w:rsid w:val="00770628"/>
    <w:rsid w:val="007723FD"/>
    <w:rsid w:val="00772687"/>
    <w:rsid w:val="00774E1E"/>
    <w:rsid w:val="00780252"/>
    <w:rsid w:val="00780A1B"/>
    <w:rsid w:val="0078105B"/>
    <w:rsid w:val="00782061"/>
    <w:rsid w:val="00785C32"/>
    <w:rsid w:val="00795606"/>
    <w:rsid w:val="007B082A"/>
    <w:rsid w:val="007B1C3E"/>
    <w:rsid w:val="007C42E5"/>
    <w:rsid w:val="007C6CF9"/>
    <w:rsid w:val="007C7149"/>
    <w:rsid w:val="007D3CAD"/>
    <w:rsid w:val="007D6B90"/>
    <w:rsid w:val="007E0C02"/>
    <w:rsid w:val="007F1DE3"/>
    <w:rsid w:val="007F5A8D"/>
    <w:rsid w:val="007F7BD7"/>
    <w:rsid w:val="008056FA"/>
    <w:rsid w:val="008115B6"/>
    <w:rsid w:val="00813897"/>
    <w:rsid w:val="00814461"/>
    <w:rsid w:val="00815CDE"/>
    <w:rsid w:val="00824D84"/>
    <w:rsid w:val="00825EA5"/>
    <w:rsid w:val="00833555"/>
    <w:rsid w:val="008347B3"/>
    <w:rsid w:val="00835BDD"/>
    <w:rsid w:val="00837049"/>
    <w:rsid w:val="008379E2"/>
    <w:rsid w:val="00852119"/>
    <w:rsid w:val="0085498E"/>
    <w:rsid w:val="008564C2"/>
    <w:rsid w:val="0086245E"/>
    <w:rsid w:val="00866CC9"/>
    <w:rsid w:val="00873984"/>
    <w:rsid w:val="00880EE6"/>
    <w:rsid w:val="00882323"/>
    <w:rsid w:val="00893021"/>
    <w:rsid w:val="008966EA"/>
    <w:rsid w:val="008A3C06"/>
    <w:rsid w:val="008A6C04"/>
    <w:rsid w:val="008B23BD"/>
    <w:rsid w:val="008C6B6D"/>
    <w:rsid w:val="008D0A39"/>
    <w:rsid w:val="008E4638"/>
    <w:rsid w:val="008E6C59"/>
    <w:rsid w:val="008E71D2"/>
    <w:rsid w:val="008F44F3"/>
    <w:rsid w:val="008F602A"/>
    <w:rsid w:val="008F76DB"/>
    <w:rsid w:val="009004F7"/>
    <w:rsid w:val="00902E3F"/>
    <w:rsid w:val="00903E98"/>
    <w:rsid w:val="00906C9B"/>
    <w:rsid w:val="00910FB5"/>
    <w:rsid w:val="00911C0E"/>
    <w:rsid w:val="009153D7"/>
    <w:rsid w:val="00920D1F"/>
    <w:rsid w:val="00941F6C"/>
    <w:rsid w:val="0094213C"/>
    <w:rsid w:val="00943AFD"/>
    <w:rsid w:val="0097021E"/>
    <w:rsid w:val="00971C19"/>
    <w:rsid w:val="00971D35"/>
    <w:rsid w:val="0097327D"/>
    <w:rsid w:val="0099296A"/>
    <w:rsid w:val="009965A5"/>
    <w:rsid w:val="009A2DB3"/>
    <w:rsid w:val="009A5367"/>
    <w:rsid w:val="009A56D7"/>
    <w:rsid w:val="009A5CE7"/>
    <w:rsid w:val="009A755D"/>
    <w:rsid w:val="009B15FD"/>
    <w:rsid w:val="009B2693"/>
    <w:rsid w:val="009B3C3F"/>
    <w:rsid w:val="009B4EB9"/>
    <w:rsid w:val="009B73A7"/>
    <w:rsid w:val="009C1A42"/>
    <w:rsid w:val="009D3827"/>
    <w:rsid w:val="009D4685"/>
    <w:rsid w:val="009D60EB"/>
    <w:rsid w:val="009D74FC"/>
    <w:rsid w:val="009E07F4"/>
    <w:rsid w:val="009E26B0"/>
    <w:rsid w:val="009E2BAA"/>
    <w:rsid w:val="009E3E0B"/>
    <w:rsid w:val="009F480F"/>
    <w:rsid w:val="00A01505"/>
    <w:rsid w:val="00A1530B"/>
    <w:rsid w:val="00A15461"/>
    <w:rsid w:val="00A15E5D"/>
    <w:rsid w:val="00A16747"/>
    <w:rsid w:val="00A16D78"/>
    <w:rsid w:val="00A21EC2"/>
    <w:rsid w:val="00A24DC0"/>
    <w:rsid w:val="00A27322"/>
    <w:rsid w:val="00A3193E"/>
    <w:rsid w:val="00A42A96"/>
    <w:rsid w:val="00A455A0"/>
    <w:rsid w:val="00A50D92"/>
    <w:rsid w:val="00A62DD4"/>
    <w:rsid w:val="00A64F4A"/>
    <w:rsid w:val="00A65A66"/>
    <w:rsid w:val="00A6672A"/>
    <w:rsid w:val="00A7219D"/>
    <w:rsid w:val="00A732C4"/>
    <w:rsid w:val="00A805BC"/>
    <w:rsid w:val="00A80F9F"/>
    <w:rsid w:val="00A81075"/>
    <w:rsid w:val="00A87550"/>
    <w:rsid w:val="00A94718"/>
    <w:rsid w:val="00A95FA9"/>
    <w:rsid w:val="00AA5B03"/>
    <w:rsid w:val="00AA68D4"/>
    <w:rsid w:val="00AB373C"/>
    <w:rsid w:val="00AB5159"/>
    <w:rsid w:val="00AB67DE"/>
    <w:rsid w:val="00AC2B47"/>
    <w:rsid w:val="00AC3A1A"/>
    <w:rsid w:val="00AC3D9E"/>
    <w:rsid w:val="00AC446F"/>
    <w:rsid w:val="00AC6C3D"/>
    <w:rsid w:val="00AD1ADB"/>
    <w:rsid w:val="00AE17F1"/>
    <w:rsid w:val="00AE2FB9"/>
    <w:rsid w:val="00AE342F"/>
    <w:rsid w:val="00AE4F96"/>
    <w:rsid w:val="00AE6D9A"/>
    <w:rsid w:val="00AE7435"/>
    <w:rsid w:val="00AF2397"/>
    <w:rsid w:val="00AF27F9"/>
    <w:rsid w:val="00AF3D19"/>
    <w:rsid w:val="00B040BC"/>
    <w:rsid w:val="00B0441A"/>
    <w:rsid w:val="00B044FC"/>
    <w:rsid w:val="00B06458"/>
    <w:rsid w:val="00B25119"/>
    <w:rsid w:val="00B27004"/>
    <w:rsid w:val="00B33F45"/>
    <w:rsid w:val="00B33FA5"/>
    <w:rsid w:val="00B415B8"/>
    <w:rsid w:val="00B420AC"/>
    <w:rsid w:val="00B4354A"/>
    <w:rsid w:val="00B54CC5"/>
    <w:rsid w:val="00B60E27"/>
    <w:rsid w:val="00B64D62"/>
    <w:rsid w:val="00B6646C"/>
    <w:rsid w:val="00B76BBB"/>
    <w:rsid w:val="00B80EFA"/>
    <w:rsid w:val="00B83944"/>
    <w:rsid w:val="00B92A84"/>
    <w:rsid w:val="00B94530"/>
    <w:rsid w:val="00B94B49"/>
    <w:rsid w:val="00B963A4"/>
    <w:rsid w:val="00BA7AF1"/>
    <w:rsid w:val="00BB03CC"/>
    <w:rsid w:val="00BB1083"/>
    <w:rsid w:val="00BB252C"/>
    <w:rsid w:val="00BB5126"/>
    <w:rsid w:val="00BB7518"/>
    <w:rsid w:val="00BC0205"/>
    <w:rsid w:val="00BC14F5"/>
    <w:rsid w:val="00BC2146"/>
    <w:rsid w:val="00BC3C5E"/>
    <w:rsid w:val="00BD1A7F"/>
    <w:rsid w:val="00BD6918"/>
    <w:rsid w:val="00BE439F"/>
    <w:rsid w:val="00BE5584"/>
    <w:rsid w:val="00BF1111"/>
    <w:rsid w:val="00BF3886"/>
    <w:rsid w:val="00BF6648"/>
    <w:rsid w:val="00C009AF"/>
    <w:rsid w:val="00C02FCF"/>
    <w:rsid w:val="00C2005E"/>
    <w:rsid w:val="00C205E4"/>
    <w:rsid w:val="00C2782D"/>
    <w:rsid w:val="00C3040F"/>
    <w:rsid w:val="00C31398"/>
    <w:rsid w:val="00C31708"/>
    <w:rsid w:val="00C365A8"/>
    <w:rsid w:val="00C36C15"/>
    <w:rsid w:val="00C400D7"/>
    <w:rsid w:val="00C4213A"/>
    <w:rsid w:val="00C4371A"/>
    <w:rsid w:val="00C4627A"/>
    <w:rsid w:val="00C54D3E"/>
    <w:rsid w:val="00C637D1"/>
    <w:rsid w:val="00C640B8"/>
    <w:rsid w:val="00C64FED"/>
    <w:rsid w:val="00C7033B"/>
    <w:rsid w:val="00C83157"/>
    <w:rsid w:val="00C927D5"/>
    <w:rsid w:val="00CA0730"/>
    <w:rsid w:val="00CA1C04"/>
    <w:rsid w:val="00CA3808"/>
    <w:rsid w:val="00CA65DD"/>
    <w:rsid w:val="00CA7D55"/>
    <w:rsid w:val="00CB0BD6"/>
    <w:rsid w:val="00CB0E8A"/>
    <w:rsid w:val="00CC05B9"/>
    <w:rsid w:val="00CC171F"/>
    <w:rsid w:val="00CC3F83"/>
    <w:rsid w:val="00CC57FC"/>
    <w:rsid w:val="00CC7DB0"/>
    <w:rsid w:val="00CD2092"/>
    <w:rsid w:val="00CD5F24"/>
    <w:rsid w:val="00CE0B87"/>
    <w:rsid w:val="00CE0E18"/>
    <w:rsid w:val="00CE193A"/>
    <w:rsid w:val="00CE6A71"/>
    <w:rsid w:val="00CF1F4A"/>
    <w:rsid w:val="00CF38CA"/>
    <w:rsid w:val="00CF540B"/>
    <w:rsid w:val="00CF5996"/>
    <w:rsid w:val="00CF6DF0"/>
    <w:rsid w:val="00D0349F"/>
    <w:rsid w:val="00D03770"/>
    <w:rsid w:val="00D05BAA"/>
    <w:rsid w:val="00D06255"/>
    <w:rsid w:val="00D06394"/>
    <w:rsid w:val="00D15D82"/>
    <w:rsid w:val="00D1705E"/>
    <w:rsid w:val="00D25602"/>
    <w:rsid w:val="00D30BD3"/>
    <w:rsid w:val="00D33791"/>
    <w:rsid w:val="00D33BA8"/>
    <w:rsid w:val="00D364EB"/>
    <w:rsid w:val="00D40363"/>
    <w:rsid w:val="00D451BC"/>
    <w:rsid w:val="00D47169"/>
    <w:rsid w:val="00D51E96"/>
    <w:rsid w:val="00D568BB"/>
    <w:rsid w:val="00D630DA"/>
    <w:rsid w:val="00D63B9E"/>
    <w:rsid w:val="00D65D90"/>
    <w:rsid w:val="00D66016"/>
    <w:rsid w:val="00D769BA"/>
    <w:rsid w:val="00D8034F"/>
    <w:rsid w:val="00D81755"/>
    <w:rsid w:val="00D85366"/>
    <w:rsid w:val="00D8617C"/>
    <w:rsid w:val="00D86415"/>
    <w:rsid w:val="00D87D00"/>
    <w:rsid w:val="00D94E23"/>
    <w:rsid w:val="00D9798C"/>
    <w:rsid w:val="00DA133F"/>
    <w:rsid w:val="00DA1983"/>
    <w:rsid w:val="00DA2F1E"/>
    <w:rsid w:val="00DA5831"/>
    <w:rsid w:val="00DB0538"/>
    <w:rsid w:val="00DB2873"/>
    <w:rsid w:val="00DC22A1"/>
    <w:rsid w:val="00DC4482"/>
    <w:rsid w:val="00DD5028"/>
    <w:rsid w:val="00DF1198"/>
    <w:rsid w:val="00DF5A9C"/>
    <w:rsid w:val="00E12082"/>
    <w:rsid w:val="00E21589"/>
    <w:rsid w:val="00E24D9E"/>
    <w:rsid w:val="00E257C8"/>
    <w:rsid w:val="00E26581"/>
    <w:rsid w:val="00E2722E"/>
    <w:rsid w:val="00E31609"/>
    <w:rsid w:val="00E3447D"/>
    <w:rsid w:val="00E36895"/>
    <w:rsid w:val="00E431CE"/>
    <w:rsid w:val="00E445F8"/>
    <w:rsid w:val="00E503E4"/>
    <w:rsid w:val="00E5550E"/>
    <w:rsid w:val="00E55E02"/>
    <w:rsid w:val="00E571C4"/>
    <w:rsid w:val="00E62A69"/>
    <w:rsid w:val="00E63B3D"/>
    <w:rsid w:val="00E64479"/>
    <w:rsid w:val="00E67D99"/>
    <w:rsid w:val="00E71B2F"/>
    <w:rsid w:val="00E75556"/>
    <w:rsid w:val="00E76F1F"/>
    <w:rsid w:val="00E80BE2"/>
    <w:rsid w:val="00E8309D"/>
    <w:rsid w:val="00E90A9C"/>
    <w:rsid w:val="00E92BEC"/>
    <w:rsid w:val="00E95356"/>
    <w:rsid w:val="00E966E5"/>
    <w:rsid w:val="00EA3D96"/>
    <w:rsid w:val="00EA68F9"/>
    <w:rsid w:val="00EA6B69"/>
    <w:rsid w:val="00EA6B7B"/>
    <w:rsid w:val="00EB25E4"/>
    <w:rsid w:val="00EB3D8B"/>
    <w:rsid w:val="00ED093E"/>
    <w:rsid w:val="00ED1B77"/>
    <w:rsid w:val="00ED5511"/>
    <w:rsid w:val="00ED57D1"/>
    <w:rsid w:val="00EF3B7C"/>
    <w:rsid w:val="00EF56FA"/>
    <w:rsid w:val="00EF6216"/>
    <w:rsid w:val="00EF6E42"/>
    <w:rsid w:val="00F0613C"/>
    <w:rsid w:val="00F11244"/>
    <w:rsid w:val="00F14A7B"/>
    <w:rsid w:val="00F1658B"/>
    <w:rsid w:val="00F2540D"/>
    <w:rsid w:val="00F26602"/>
    <w:rsid w:val="00F31380"/>
    <w:rsid w:val="00F333BF"/>
    <w:rsid w:val="00F34499"/>
    <w:rsid w:val="00F3498A"/>
    <w:rsid w:val="00F406E3"/>
    <w:rsid w:val="00F40C82"/>
    <w:rsid w:val="00F45796"/>
    <w:rsid w:val="00F50707"/>
    <w:rsid w:val="00F5114E"/>
    <w:rsid w:val="00F53B1A"/>
    <w:rsid w:val="00F54568"/>
    <w:rsid w:val="00F57249"/>
    <w:rsid w:val="00F62DE3"/>
    <w:rsid w:val="00F70E0A"/>
    <w:rsid w:val="00F77131"/>
    <w:rsid w:val="00F85D7E"/>
    <w:rsid w:val="00F90BF2"/>
    <w:rsid w:val="00F92B0F"/>
    <w:rsid w:val="00FA4C13"/>
    <w:rsid w:val="00FB345F"/>
    <w:rsid w:val="00FB4DA5"/>
    <w:rsid w:val="00FC57A1"/>
    <w:rsid w:val="00FC6069"/>
    <w:rsid w:val="00FD0CDF"/>
    <w:rsid w:val="00FD3820"/>
    <w:rsid w:val="00FD768A"/>
    <w:rsid w:val="00FE3C23"/>
    <w:rsid w:val="00FE6E6D"/>
    <w:rsid w:val="00FF0DAE"/>
    <w:rsid w:val="00FF3092"/>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075BBB"/>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79613F"/>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79613F"/>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79613F"/>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79613F"/>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79613F"/>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D03770"/>
    <w:pPr>
      <w:snapToGrid w:val="0"/>
      <w:jc w:val="left"/>
    </w:pPr>
    <w:rPr>
      <w:sz w:val="18"/>
      <w:szCs w:val="18"/>
    </w:rPr>
  </w:style>
  <w:style w:customStyle="1" w:styleId="Char6" w:type="character">
    <w:name w:val="脚注文本 Char"/>
    <w:link w:val="ad"/>
    <w:uiPriority w:val="99"/>
    <w:locked/>
    <w:rsid w:val="00D03770"/>
    <w:rPr>
      <w:rFonts w:cs="Times New Roman"/>
      <w:kern w:val="2"/>
      <w:sz w:val="18"/>
      <w:szCs w:val="18"/>
    </w:rPr>
  </w:style>
  <w:style w:styleId="ae" w:type="character">
    <w:name w:val="footnote reference"/>
    <w:uiPriority w:val="99"/>
    <w:rsid w:val="00D03770"/>
    <w:rPr>
      <w:rFonts w:cs="Times New Roman"/>
      <w:vertAlign w:val="superscript"/>
    </w:rPr>
  </w:style>
  <w:style w:styleId="af" w:type="character">
    <w:name w:val="Strong"/>
    <w:uiPriority w:val="22"/>
    <w:qFormat/>
    <w:locked/>
    <w:rsid w:val="000C57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8538">
      <w:marLeft w:val="0"/>
      <w:marRight w:val="0"/>
      <w:marTop w:val="0"/>
      <w:marBottom w:val="0"/>
      <w:divBdr>
        <w:top w:val="none" w:sz="0" w:space="0" w:color="auto"/>
        <w:left w:val="none" w:sz="0" w:space="0" w:color="auto"/>
        <w:bottom w:val="none" w:sz="0" w:space="0" w:color="auto"/>
        <w:right w:val="none" w:sz="0" w:space="0" w:color="auto"/>
      </w:divBdr>
    </w:div>
    <w:div w:id="179708539">
      <w:marLeft w:val="0"/>
      <w:marRight w:val="0"/>
      <w:marTop w:val="0"/>
      <w:marBottom w:val="0"/>
      <w:divBdr>
        <w:top w:val="none" w:sz="0" w:space="0" w:color="auto"/>
        <w:left w:val="none" w:sz="0" w:space="0" w:color="auto"/>
        <w:bottom w:val="none" w:sz="0" w:space="0" w:color="auto"/>
        <w:right w:val="none" w:sz="0" w:space="0" w:color="auto"/>
      </w:divBdr>
    </w:div>
    <w:div w:id="179708540">
      <w:marLeft w:val="0"/>
      <w:marRight w:val="0"/>
      <w:marTop w:val="0"/>
      <w:marBottom w:val="0"/>
      <w:divBdr>
        <w:top w:val="none" w:sz="0" w:space="0" w:color="auto"/>
        <w:left w:val="none" w:sz="0" w:space="0" w:color="auto"/>
        <w:bottom w:val="none" w:sz="0" w:space="0" w:color="auto"/>
        <w:right w:val="none" w:sz="0" w:space="0" w:color="auto"/>
      </w:divBdr>
    </w:div>
    <w:div w:id="1573269872">
      <w:bodyDiv w:val="1"/>
      <w:marLeft w:val="0"/>
      <w:marRight w:val="0"/>
      <w:marTop w:val="0"/>
      <w:marBottom w:val="0"/>
      <w:divBdr>
        <w:top w:val="none" w:sz="0" w:space="0" w:color="auto"/>
        <w:left w:val="none" w:sz="0" w:space="0" w:color="auto"/>
        <w:bottom w:val="none" w:sz="0" w:space="0" w:color="auto"/>
        <w:right w:val="none" w:sz="0" w:space="0" w:color="auto"/>
      </w:divBdr>
    </w:div>
    <w:div w:id="174892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ntTable.xml" Type="http://schemas.openxmlformats.org/officeDocument/2006/relationships/fontTable"/>
<Relationship Id="rId13"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27</Pages>
  <Words>3662</Words>
  <Characters>20876</Characters>
  <Application>Microsoft Office Word</Application>
  <DocSecurity>0</DocSecurity>
  <Lines>173</Lines>
  <Paragraphs>48</Paragraphs>
  <ScaleCrop>false</ScaleCrop>
  <Company>jysld</Company>
  <LinksUpToDate>false</LinksUpToDate>
  <CharactersWithSpaces>24490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2012-11-21T05:49:00Z</dcterms:created>
  <cp:lastModifiedBy>sirong han</cp:lastModifiedBy>
  <cp:lastPrinted>2009-01-22T10:11:00Z</cp:lastPrinted>
  <dcterms:modified xsi:type="dcterms:W3CDTF">2020-07-09T02:58:00Z</dcterms:modified>
  <cp:revision>215</cp:revision>
</cp:coreProperties>
</file>