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02085F" w:rsidR="00EA3F40" w:rsidRDefault="00EA3F40" w:rsidRPr="0097021E">
      <w:pPr>
        <w:spacing w:line="360" w:lineRule="auto"/>
        <w:jc w:val="center"/>
        <w:rPr>
          <w:rFonts w:ascii="宋体" w:hAnsi="宋体"/>
          <w:b/>
          <w:sz w:val="36"/>
          <w:szCs w:val="36"/>
        </w:rPr>
      </w:pPr>
      <w:r w:rsidRPr="0097021E">
        <w:rPr>
          <w:rFonts w:ascii="宋体"/>
          <w:b/>
          <w:sz w:val="36"/>
          <w:szCs w:val="36"/>
        </w:rPr>
        <w:t/>
      </w:r>
      <w:r w:rsidRPr="0097021E">
        <w:rPr>
          <w:rFonts w:ascii="宋体" w:hAnsi="宋体"/>
          <w:b/>
          <w:sz w:val="36"/>
          <w:szCs w:val="36"/>
        </w:rPr>
        <w:t>易方达龙宝货币市场基金</w:t>
      </w:r>
    </w:p>
    <w:p w:rsidP="0002085F" w:rsidR="00EA3F40" w:rsidRDefault="00EA3F40" w:rsidRPr="0097021E">
      <w:pPr>
        <w:spacing w:line="360" w:lineRule="auto"/>
        <w:jc w:val="center"/>
        <w:rPr>
          <w:rFonts w:ascii="宋体" w:hAnsi="宋体"/>
          <w:b/>
          <w:sz w:val="36"/>
          <w:szCs w:val="36"/>
        </w:rPr>
      </w:pPr>
      <w:r w:rsidRPr="0097021E">
        <w:rPr>
          <w:rFonts w:ascii="宋体" w:hAnsi="宋体"/>
          <w:b/>
          <w:sz w:val="36"/>
          <w:szCs w:val="36"/>
        </w:rPr>
        <w:t>2020年第2季度报告</w:t>
      </w:r>
    </w:p>
    <w:p w:rsidP="0002085F" w:rsidR="00EA3F40" w:rsidRDefault="00EA3F40" w:rsidRPr="00936106">
      <w:pPr>
        <w:spacing w:line="360" w:lineRule="auto"/>
        <w:jc w:val="center"/>
        <w:rPr>
          <w:rFonts w:ascii="宋体" w:hAnsi="宋体"/>
          <w:b/>
          <w:sz w:val="24"/>
          <w:szCs w:val="36"/>
        </w:rPr>
      </w:pPr>
      <w:r w:rsidRPr="00936106">
        <w:rPr>
          <w:rFonts w:ascii="宋体"/>
          <w:b/>
          <w:sz w:val="24"/>
          <w:szCs w:val="36"/>
        </w:rPr>
        <w:t/>
      </w:r>
      <w:r w:rsidRPr="00936106">
        <w:rPr>
          <w:rFonts w:ascii="宋体" w:hAnsi="宋体"/>
          <w:b/>
          <w:sz w:val="24"/>
          <w:szCs w:val="36"/>
        </w:rPr>
        <w:t>2020年6月30日</w:t>
      </w: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rPr>
          <w:rFonts w:ascii="宋体"/>
          <w:b/>
          <w:color w:val="000000"/>
          <w:sz w:val="24"/>
        </w:rPr>
      </w:pPr>
    </w:p>
    <w:p w:rsidP="009216A0" w:rsidR="00EA3F40" w:rsidRDefault="00EA3F40"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基金管理人：</w:t>
      </w:r>
      <w:r w:rsidRPr="0097021E">
        <w:rPr>
          <w:rFonts w:ascii="宋体"/>
          <w:b/>
          <w:color w:val="000000"/>
          <w:sz w:val="24"/>
        </w:rPr>
        <w:t/>
      </w:r>
      <w:r w:rsidRPr="0097021E">
        <w:rPr>
          <w:rFonts w:ascii="宋体" w:hAnsi="宋体"/>
          <w:b/>
          <w:color w:val="000000"/>
          <w:sz w:val="24"/>
        </w:rPr>
        <w:t>易方达基金管理有限公司</w:t>
      </w:r>
    </w:p>
    <w:p w:rsidP="009216A0" w:rsidR="00EA3F40" w:rsidRDefault="00EA3F40"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基金托管人：</w:t>
      </w:r>
      <w:r w:rsidRPr="0097021E">
        <w:rPr>
          <w:rFonts w:ascii="宋体"/>
          <w:b/>
          <w:color w:val="000000"/>
          <w:sz w:val="24"/>
        </w:rPr>
        <w:t/>
      </w:r>
      <w:r w:rsidRPr="0097021E">
        <w:rPr>
          <w:rFonts w:ascii="宋体" w:hAnsi="宋体"/>
          <w:b/>
          <w:color w:val="000000"/>
          <w:sz w:val="24"/>
        </w:rPr>
        <w:t>华夏银行股份有限公司</w:t>
      </w:r>
    </w:p>
    <w:p w:rsidP="009216A0" w:rsidR="00EA3F40" w:rsidRDefault="00EA3F40" w:rsidRPr="0097021E">
      <w:pPr>
        <w:spacing w:line="360" w:lineRule="auto"/>
        <w:ind w:firstLine="2168" w:firstLineChars="900"/>
        <w:rPr>
          <w:rFonts w:ascii="宋体" w:hAnsi="宋体"/>
          <w:b/>
          <w:color w:val="000000"/>
          <w:sz w:val="24"/>
        </w:rPr>
        <w:sectPr w:rsidR="00EA3F40" w:rsidRPr="0097021E" w:rsidSect="005633AD">
          <w:headerReference r:id="rId8" w:type="default"/>
          <w:footerReference r:id="rId9" w:type="default"/>
          <w:pgSz w:h="15840" w:w="11926"/>
          <w:pgMar w:bottom="851" w:footer="992" w:gutter="0" w:header="851" w:left="1418" w:right="1418" w:top="1418"/>
          <w:cols w:space="720"/>
          <w:noEndnote/>
        </w:sectPr>
      </w:pPr>
      <w:r w:rsidRPr="0097021E">
        <w:rPr>
          <w:rFonts w:ascii="宋体" w:hAnsi="宋体" w:hint="eastAsia"/>
          <w:b/>
          <w:color w:val="000000"/>
          <w:sz w:val="24"/>
        </w:rPr>
        <w:t>报告送出日期：</w:t>
      </w:r>
      <w:r w:rsidRPr="0097021E">
        <w:rPr>
          <w:rFonts w:ascii="宋体"/>
          <w:b/>
          <w:color w:val="000000"/>
          <w:sz w:val="24"/>
        </w:rPr>
        <w:t/>
      </w:r>
      <w:r w:rsidRPr="0097021E">
        <w:rPr>
          <w:rFonts w:ascii="宋体" w:hAnsi="宋体"/>
          <w:b/>
          <w:color w:val="000000"/>
          <w:sz w:val="24"/>
        </w:rPr>
        <w:t>二〇二〇年七月二十一日</w:t>
      </w:r>
    </w:p>
    <w:p w:rsidP="00E23C1B" w:rsidR="00EA3F40" w:rsidRDefault="00EA3F40" w:rsidRPr="0097021E">
      <w:pPr>
        <w:pStyle w:val="1"/>
        <w:spacing w:after="312" w:afterLines="100" w:before="312" w:beforeLines="100" w:line="360" w:lineRule="auto"/>
        <w:jc w:val="center"/>
        <w:rPr>
          <w:rFonts w:ascii="宋体" w:cs="Arial"/>
          <w:b w:val="0"/>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hAnsi="宋体"/>
          <w:color w:val="000000"/>
          <w:kern w:val="0"/>
          <w:sz w:val="24"/>
          <w:szCs w:val="24"/>
        </w:rPr>
        <w:t xml:space="preserve">1  </w:t>
      </w:r>
      <w:r w:rsidRPr="0097021E">
        <w:rPr>
          <w:rFonts w:ascii="宋体" w:cs="Arial" w:hAnsi="宋体" w:hint="eastAsia"/>
          <w:color w:val="000000"/>
          <w:kern w:val="0"/>
          <w:sz w:val="24"/>
          <w:szCs w:val="24"/>
        </w:rPr>
        <w:t>重要提示</w:t>
      </w:r>
    </w:p>
    <w:p>
      <w:pPr>
        <w:adjustRightInd w:val="0"/>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adjustRightInd w:val="0"/>
        <w:spacing w:line="360" w:lineRule="auto"/>
        <w:ind w:firstLine="480" w:firstLineChars="200"/>
        <w:rPr>
          <w:color w:val="000000"/>
          <w:sz w:val="24"/>
        </w:rPr>
      </w:pPr>
      <w:r>
        <w:rPr>
          <w:color w:val="000000"/>
          <w:sz w:val="24"/>
        </w:rPr>
        <w:t xml:space="preserve">基金托管人华夏银行股份有限公司根据本基金合同规定，于2020年7月17日复核了本报告中的财务指标、净值表现和投资组合报告等内容，保证复核内容不存在虚假记载、误导性陈述或者重大遗漏。 </w:t>
      </w:r>
    </w:p>
    <w:p>
      <w:pPr>
        <w:adjustRightInd w:val="0"/>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adjustRightInd w:val="0"/>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adjustRightInd w:val="0"/>
        <w:spacing w:line="360" w:lineRule="auto"/>
        <w:ind w:firstLine="480" w:firstLineChars="200"/>
        <w:rPr>
          <w:color w:val="000000"/>
          <w:sz w:val="24"/>
        </w:rPr>
      </w:pPr>
      <w:r>
        <w:rPr>
          <w:color w:val="000000"/>
          <w:sz w:val="24"/>
        </w:rPr>
        <w:t>本报告中财务资料未经审计。</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本报告期自2020年4月1日起至6月30日止。</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2  </w:t>
      </w:r>
      <w:r w:rsidRPr="0097021E">
        <w:rPr>
          <w:rFonts w:ascii="宋体" w:cs="Arial" w:hAnsi="宋体" w:hint="eastAsia"/>
          <w:color w:val="000000"/>
          <w:kern w:val="0"/>
          <w:sz w:val="24"/>
          <w:szCs w:val="24"/>
        </w:rPr>
        <w:t>基金产品概况</w:t>
      </w:r>
    </w:p>
    <w:tbl>
      <w:tblPr>
        <w:tblW w:type="dxa" w:w="9736"/>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300"/>
        <w:gridCol w:w="1150"/>
        <w:gridCol w:w="1150"/>
        <w:gridCol w:w="2301"/>
      </w:tblGrid>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基金简称</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易方达龙宝货币</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基金主代码</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000789</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基金运作方式</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契约型开放式</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基金合同生效日</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2014年9月12日</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报告期末基金份额总额</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1,162,463,099.17</w:t>
            </w:r>
            <w:r w:rsidRPr="00613409">
              <w:rPr>
                <w:color w:val="000000"/>
                <w:kern w:val="0"/>
                <w:sz w:val="24"/>
              </w:rPr>
              <w:t>份</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投资目标</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在有效控制投资风险和保持高流动性的基础上，力争获得高于业绩比较基准的投资回报。</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投资策略</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本基金将对基金资产组合进行积极管理，在深入研究国内外的宏观经济走势、货币政策变化趋势、市场资金供求状况的基础上，综合考虑各类投资品种的收益性、流动性和风险特征，力争获得高于业绩比较基准的投资回报。</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业绩比较基准</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中国人民银行公布的七天通知存款利率（税后）</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风险收益特征</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本基金为货币市场基金，本基金的风险和预期收益低于股票型基金、混合型基金、债券型基金。</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基金管理人</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易方达基金管理有限公司</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基金托管人</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华夏银行股份有限公司</w:t>
            </w:r>
          </w:p>
        </w:tc>
      </w:tr>
      <w:tr w:rsidR="00EA3F40" w:rsidRPr="0097021E" w:rsidTr="001669F2">
        <w:trPr>
          <w:jc w:val="center"/>
        </w:trPr>
        <w:tc>
          <w:tcPr>
            <w:tcW w:type="dxa" w:w="2835"/>
          </w:tcPr>
          <w:p w:rsidP="00D271A9" w:rsidR="00EA3F40" w:rsidRDefault="00EA3F40" w:rsidRPr="00613409">
            <w:pPr>
              <w:adjustRightInd w:val="0"/>
              <w:spacing w:before="29" w:line="360" w:lineRule="auto"/>
              <w:ind w:left="17"/>
              <w:jc w:val="left"/>
              <w:rPr>
                <w:kern w:val="0"/>
                <w:sz w:val="24"/>
              </w:rPr>
            </w:pPr>
            <w:r w:rsidRPr="00613409">
              <w:rPr>
                <w:color w:val="000000"/>
                <w:sz w:val="24"/>
              </w:rPr>
              <w:t>下属</w:t>
            </w:r>
            <w:r w:rsidR="00D271A9" w:rsidRPr="00613409">
              <w:rPr>
                <w:color w:val="000000"/>
                <w:sz w:val="24"/>
              </w:rPr>
              <w:t>分</w:t>
            </w:r>
            <w:r w:rsidRPr="00613409">
              <w:rPr>
                <w:color w:val="000000"/>
                <w:sz w:val="24"/>
              </w:rPr>
              <w:t>级基金的基金简称</w:t>
            </w:r>
          </w:p>
        </w:tc>
        <w:tc>
          <w:tcPr>
            <w:tcW w:type="dxa" w:w="2300"/>
            <w:vAlign w:val="center"/>
          </w:tcPr>
          <w:p w:rsidP="00196812" w:rsidR="00EA3F40" w:rsidRDefault="00EA3F40" w:rsidRPr="00613409">
            <w:pPr>
              <w:spacing w:line="360" w:lineRule="auto"/>
              <w:jc w:val="left"/>
              <w:rPr>
                <w:sz w:val="24"/>
              </w:rPr>
            </w:pPr>
            <w:r w:rsidRPr="00613409">
              <w:rPr>
                <w:color w:val="000000"/>
                <w:kern w:val="0"/>
                <w:sz w:val="24"/>
              </w:rPr>
              <w:t/>
            </w:r>
            <w:r w:rsidRPr="00613409">
              <w:rPr>
                <w:sz w:val="24"/>
              </w:rPr>
              <w:t>易方达龙宝货币A</w:t>
            </w:r>
          </w:p>
        </w:tc>
        <w:tc>
          <w:tcPr>
            <w:tcW w:type="dxa" w:w="2300"/>
            <w:gridSpan w:val="2"/>
            <w:vAlign w:val="center"/>
          </w:tcPr>
          <w:p w:rsidP="00196812" w:rsidR="00EA3F40" w:rsidRDefault="00EA3F40" w:rsidRPr="00613409">
            <w:pPr>
              <w:spacing w:line="360" w:lineRule="auto"/>
              <w:jc w:val="left"/>
              <w:rPr>
                <w:sz w:val="24"/>
              </w:rPr>
            </w:pPr>
            <w:r w:rsidRPr="00613409">
              <w:rPr>
                <w:color w:val="000000"/>
                <w:kern w:val="0"/>
                <w:sz w:val="24"/>
              </w:rPr>
              <w:t/>
            </w:r>
            <w:r w:rsidRPr="00613409">
              <w:rPr>
                <w:sz w:val="24"/>
              </w:rPr>
              <w:t>易方达龙宝货币B</w:t>
            </w:r>
          </w:p>
        </w:tc>
        <w:tc>
          <w:tcPr>
            <w:tcW w:type="dxa" w:w="2301"/>
            <w:vAlign w:val="center"/>
          </w:tcPr>
          <w:p w:rsidP="00025C5D" w:rsidR="00EA3F40" w:rsidRDefault="00EA3F40" w:rsidRPr="00613409">
            <w:pPr>
              <w:spacing w:line="360" w:lineRule="auto"/>
              <w:jc w:val="left"/>
              <w:rPr>
                <w:sz w:val="24"/>
              </w:rPr>
            </w:pPr>
            <w:r w:rsidRPr="00613409">
              <w:rPr>
                <w:color w:val="000000"/>
                <w:kern w:val="0"/>
                <w:sz w:val="24"/>
              </w:rPr>
              <w:t/>
            </w:r>
            <w:r w:rsidRPr="00613409">
              <w:rPr>
                <w:sz w:val="24"/>
              </w:rPr>
              <w:t>易方达龙宝货币C</w:t>
            </w:r>
          </w:p>
        </w:tc>
      </w:tr>
      <w:tr w:rsidR="00E325AB" w:rsidRPr="0097021E" w:rsidTr="001669F2">
        <w:trPr>
          <w:jc w:val="center"/>
        </w:trPr>
        <w:tc>
          <w:tcPr>
            <w:tcW w:type="dxa" w:w="2835"/>
          </w:tcPr>
          <w:p w:rsidP="00D271A9" w:rsidR="00E325AB" w:rsidRDefault="00E325AB" w:rsidRPr="00613409">
            <w:pPr>
              <w:adjustRightInd w:val="0"/>
              <w:spacing w:before="29" w:line="360" w:lineRule="auto"/>
              <w:ind w:left="17"/>
              <w:jc w:val="left"/>
              <w:rPr>
                <w:color w:val="000000"/>
                <w:sz w:val="24"/>
              </w:rPr>
            </w:pPr>
            <w:r w:rsidRPr="00613409">
              <w:rPr>
                <w:color w:val="000000"/>
                <w:sz w:val="24"/>
              </w:rPr>
              <w:lastRenderedPageBreak/>
              <w:t>下属</w:t>
            </w:r>
            <w:r w:rsidR="00D271A9" w:rsidRPr="00613409">
              <w:rPr>
                <w:color w:val="000000"/>
                <w:sz w:val="24"/>
              </w:rPr>
              <w:t>分</w:t>
            </w:r>
            <w:r w:rsidRPr="00613409">
              <w:rPr>
                <w:color w:val="000000"/>
                <w:sz w:val="24"/>
              </w:rPr>
              <w:t>级基金的交易代码</w:t>
            </w:r>
          </w:p>
        </w:tc>
        <w:tc>
          <w:tcPr>
            <w:tcW w:type="dxa" w:w="2300"/>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000789</w:t>
            </w:r>
          </w:p>
        </w:tc>
        <w:tc>
          <w:tcPr>
            <w:tcW w:type="dxa" w:w="2300"/>
            <w:gridSpan w:val="2"/>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000790</w:t>
            </w:r>
          </w:p>
        </w:tc>
        <w:tc>
          <w:tcPr>
            <w:tcW w:type="dxa" w:w="2301"/>
            <w:vAlign w:val="center"/>
          </w:tcPr>
          <w:p w:rsidP="001669F2" w:rsidR="00E325AB" w:rsidRDefault="00E325AB" w:rsidRPr="00613409">
            <w:pPr>
              <w:spacing w:line="360" w:lineRule="auto"/>
              <w:jc w:val="left"/>
              <w:rPr>
                <w:sz w:val="24"/>
              </w:rPr>
            </w:pPr>
            <w:r w:rsidRPr="00613409">
              <w:rPr>
                <w:color w:val="000000"/>
                <w:kern w:val="0"/>
                <w:sz w:val="24"/>
              </w:rPr>
              <w:t/>
            </w:r>
            <w:r w:rsidRPr="00613409">
              <w:rPr>
                <w:sz w:val="24"/>
              </w:rPr>
              <w:t>005098</w:t>
            </w:r>
          </w:p>
        </w:tc>
      </w:tr>
      <w:tr w:rsidR="00E325AB" w:rsidRPr="0097021E" w:rsidTr="001669F2">
        <w:trPr>
          <w:jc w:val="center"/>
        </w:trPr>
        <w:tc>
          <w:tcPr>
            <w:tcW w:type="dxa" w:w="2835"/>
          </w:tcPr>
          <w:p w:rsidP="00D271A9" w:rsidR="00E325AB" w:rsidRDefault="00E325AB" w:rsidRPr="00613409">
            <w:pPr>
              <w:adjustRightInd w:val="0"/>
              <w:spacing w:before="29" w:line="360" w:lineRule="auto"/>
              <w:ind w:left="17"/>
              <w:jc w:val="left"/>
              <w:rPr>
                <w:color w:val="000000"/>
                <w:sz w:val="24"/>
              </w:rPr>
            </w:pPr>
            <w:r w:rsidRPr="00613409">
              <w:rPr>
                <w:color w:val="000000"/>
                <w:sz w:val="24"/>
              </w:rPr>
              <w:t>报告期末下属</w:t>
            </w:r>
            <w:r w:rsidR="00D271A9" w:rsidRPr="00613409">
              <w:rPr>
                <w:color w:val="000000"/>
                <w:sz w:val="24"/>
              </w:rPr>
              <w:t>分</w:t>
            </w:r>
            <w:r w:rsidRPr="00613409">
              <w:rPr>
                <w:color w:val="000000"/>
                <w:sz w:val="24"/>
              </w:rPr>
              <w:t>级基金的份额总额</w:t>
            </w:r>
          </w:p>
        </w:tc>
        <w:tc>
          <w:tcPr>
            <w:tcW w:type="dxa" w:w="2300"/>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840,474,752.48</w:t>
            </w:r>
            <w:r w:rsidRPr="00613409">
              <w:rPr>
                <w:sz w:val="24"/>
              </w:rPr>
              <w:t>份</w:t>
            </w:r>
          </w:p>
        </w:tc>
        <w:tc>
          <w:tcPr>
            <w:tcW w:type="dxa" w:w="2300"/>
            <w:gridSpan w:val="2"/>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73,128,902.06</w:t>
            </w:r>
            <w:r w:rsidRPr="00613409">
              <w:rPr>
                <w:sz w:val="24"/>
              </w:rPr>
              <w:t>份</w:t>
            </w:r>
          </w:p>
        </w:tc>
        <w:tc>
          <w:tcPr>
            <w:tcW w:type="dxa" w:w="2301"/>
            <w:vAlign w:val="center"/>
          </w:tcPr>
          <w:p w:rsidP="00025C5D" w:rsidR="00E325AB" w:rsidRDefault="00E325AB" w:rsidRPr="00613409">
            <w:pPr>
              <w:spacing w:line="360" w:lineRule="auto"/>
              <w:jc w:val="left"/>
              <w:rPr>
                <w:sz w:val="24"/>
              </w:rPr>
            </w:pPr>
            <w:r w:rsidRPr="00613409">
              <w:rPr>
                <w:color w:val="000000"/>
                <w:kern w:val="0"/>
                <w:sz w:val="24"/>
              </w:rPr>
              <w:t/>
            </w:r>
            <w:r w:rsidRPr="00613409">
              <w:rPr>
                <w:sz w:val="24"/>
              </w:rPr>
              <w:t>248,859,444.63</w:t>
            </w:r>
            <w:r w:rsidRPr="00613409">
              <w:rPr>
                <w:sz w:val="24"/>
              </w:rPr>
              <w:t>份</w:t>
            </w:r>
          </w:p>
        </w:tc>
      </w:tr>
    </w:tbl>
    <w:p w:rsidP="001752C7" w:rsidR="00EA3F40" w:rsidRDefault="00EA3F40" w:rsidRPr="001752C7">
      <w:pPr>
        <w:adjustRightInd w:val="0"/>
        <w:spacing w:line="360" w:lineRule="auto"/>
        <w:ind w:firstLine="480" w:firstLineChars="200"/>
        <w:rPr>
          <w:color w:val="000000"/>
          <w:sz w:val="24"/>
        </w:rPr>
      </w:pPr>
      <w:r w:rsidRPr="001752C7">
        <w:rPr>
          <w:color w:val="000000"/>
          <w:sz w:val="24"/>
        </w:rPr>
        <w:t>注：自2017年8月29日起，本基金增设C类份额类别，份额首次确认日为2017年8月30日。</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3  </w:t>
      </w:r>
      <w:r w:rsidRPr="0097021E">
        <w:rPr>
          <w:rFonts w:ascii="宋体" w:cs="Arial" w:hAnsi="宋体" w:hint="eastAsia"/>
          <w:color w:val="000000"/>
          <w:kern w:val="0"/>
          <w:sz w:val="24"/>
          <w:szCs w:val="24"/>
        </w:rPr>
        <w:t>主要财务指标和基金净值表现</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3.1 </w:t>
      </w:r>
      <w:r w:rsidRPr="0097021E">
        <w:rPr>
          <w:rFonts w:ascii="宋体" w:cs="Arial" w:hAnsi="宋体" w:hint="eastAsia"/>
          <w:b/>
          <w:color w:val="000000"/>
          <w:kern w:val="0"/>
          <w:sz w:val="24"/>
        </w:rPr>
        <w:t>主要财务指标</w:t>
      </w:r>
    </w:p>
    <w:p w:rsidP="00196812" w:rsidR="00EA3F40" w:rsidRDefault="00EA3F40"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单位：人民币元</w:t>
      </w:r>
    </w:p>
    <w:tbl>
      <w:tblPr>
        <w:tblW w:type="dxa" w:w="959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1855"/>
        <w:gridCol w:w="1856"/>
      </w:tblGrid>
      <w:tr w:rsidR="00EA3F40" w:rsidRPr="00613409" w:rsidTr="00025C5D">
        <w:trPr>
          <w:jc w:val="center"/>
        </w:trPr>
        <w:tc>
          <w:tcPr>
            <w:tcW w:type="dxa" w:w="3402"/>
            <w:vMerge w:val="restart"/>
            <w:vAlign w:val="center"/>
          </w:tcPr>
          <w:p w:rsidP="00196812" w:rsidR="00EA3F40" w:rsidRDefault="00EA3F40" w:rsidRPr="00613409">
            <w:pPr>
              <w:adjustRightInd w:val="0"/>
              <w:spacing w:before="29" w:line="360" w:lineRule="auto"/>
              <w:ind w:left="17"/>
              <w:jc w:val="center"/>
              <w:rPr>
                <w:kern w:val="0"/>
                <w:sz w:val="24"/>
              </w:rPr>
            </w:pPr>
            <w:r w:rsidRPr="00613409">
              <w:rPr>
                <w:kern w:val="0"/>
                <w:sz w:val="24"/>
              </w:rPr>
              <w:t>主要财务指标</w:t>
            </w:r>
          </w:p>
        </w:tc>
        <w:tc>
          <w:tcPr>
            <w:tcW w:type="dxa" w:w="6192"/>
            <w:gridSpan w:val="3"/>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sz w:val="24"/>
              </w:rPr>
              <w:t>报告期</w:t>
            </w:r>
            <w:r w:rsidRPr="00613409">
              <w:rPr>
                <w:color w:val="000000"/>
                <w:sz w:val="24"/>
              </w:rPr>
              <w:t>(2020年4月1日-2020年6月30日)</w:t>
            </w:r>
          </w:p>
        </w:tc>
      </w:tr>
      <w:tr w:rsidR="00EA3F40" w:rsidRPr="00613409" w:rsidTr="00025C5D">
        <w:trPr>
          <w:jc w:val="center"/>
        </w:trPr>
        <w:tc>
          <w:tcPr>
            <w:tcW w:type="dxa" w:w="3402"/>
            <w:vMerge/>
            <w:vAlign w:val="center"/>
          </w:tcPr>
          <w:p w:rsidP="00196812" w:rsidR="00EA3F40" w:rsidRDefault="00EA3F40" w:rsidRPr="00613409">
            <w:pPr>
              <w:adjustRightInd w:val="0"/>
              <w:spacing w:before="29" w:line="360" w:lineRule="auto"/>
              <w:ind w:left="17"/>
              <w:jc w:val="center"/>
              <w:rPr>
                <w:kern w:val="0"/>
                <w:sz w:val="24"/>
              </w:rPr>
            </w:pPr>
          </w:p>
        </w:tc>
        <w:tc>
          <w:tcPr>
            <w:tcW w:type="dxa" w:w="2481"/>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易方达龙宝货币A</w:t>
            </w:r>
          </w:p>
        </w:tc>
        <w:tc>
          <w:tcPr>
            <w:tcW w:type="dxa" w:w="1855"/>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易方达龙宝货币B</w:t>
            </w:r>
          </w:p>
        </w:tc>
        <w:tc>
          <w:tcPr>
            <w:tcW w:type="dxa" w:w="1856"/>
            <w:vAlign w:val="center"/>
          </w:tcPr>
          <w:p w:rsidP="00025C5D"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易方达龙宝货币C</w:t>
            </w:r>
          </w:p>
        </w:tc>
      </w:tr>
      <w:tr w:rsidR="00EA3F40" w:rsidRPr="00613409" w:rsidTr="00025C5D">
        <w:trPr>
          <w:trHeight w:val="840"/>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1.</w:t>
            </w:r>
            <w:r w:rsidRPr="00613409">
              <w:rPr>
                <w:kern w:val="0"/>
                <w:sz w:val="24"/>
              </w:rPr>
              <w:t>本期已实现收益</w:t>
            </w:r>
          </w:p>
        </w:tc>
        <w:tc>
          <w:tcPr>
            <w:tcW w:type="dxa" w:w="2481"/>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3,914,105.38</w:t>
            </w:r>
          </w:p>
        </w:tc>
        <w:tc>
          <w:tcPr>
            <w:tcW w:type="dxa" w:w="1855"/>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426,271.36</w:t>
            </w:r>
          </w:p>
        </w:tc>
        <w:tc>
          <w:tcPr>
            <w:tcW w:type="dxa" w:w="1856"/>
            <w:vAlign w:val="bottom"/>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986,274.66</w:t>
            </w:r>
          </w:p>
        </w:tc>
      </w:tr>
      <w:tr w:rsidR="00EA3F40" w:rsidRPr="00613409" w:rsidTr="00025C5D">
        <w:trPr>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2.</w:t>
            </w:r>
            <w:r w:rsidRPr="00613409">
              <w:rPr>
                <w:kern w:val="0"/>
                <w:sz w:val="24"/>
              </w:rPr>
              <w:t>本期利润</w:t>
            </w:r>
          </w:p>
        </w:tc>
        <w:tc>
          <w:tcPr>
            <w:tcW w:type="dxa" w:w="2481"/>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3,914,105.38</w:t>
            </w:r>
          </w:p>
        </w:tc>
        <w:tc>
          <w:tcPr>
            <w:tcW w:type="dxa" w:w="1855"/>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426,271.36</w:t>
            </w:r>
          </w:p>
        </w:tc>
        <w:tc>
          <w:tcPr>
            <w:tcW w:type="dxa" w:w="1856"/>
            <w:vAlign w:val="bottom"/>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986,274.66</w:t>
            </w:r>
          </w:p>
        </w:tc>
      </w:tr>
      <w:tr w:rsidR="00EA3F40" w:rsidRPr="00613409" w:rsidTr="00025C5D">
        <w:trPr>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3.</w:t>
            </w:r>
            <w:r w:rsidRPr="00613409">
              <w:rPr>
                <w:kern w:val="0"/>
                <w:sz w:val="24"/>
              </w:rPr>
              <w:t>期末基金资产净值</w:t>
            </w:r>
          </w:p>
        </w:tc>
        <w:tc>
          <w:tcPr>
            <w:tcW w:type="dxa" w:w="2481"/>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840,474,752.48</w:t>
            </w:r>
          </w:p>
        </w:tc>
        <w:tc>
          <w:tcPr>
            <w:tcW w:type="dxa" w:w="1855"/>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73,128,902.06</w:t>
            </w:r>
          </w:p>
        </w:tc>
        <w:tc>
          <w:tcPr>
            <w:tcW w:type="dxa" w:w="1856"/>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248,859,444.63</w:t>
            </w:r>
          </w:p>
        </w:tc>
      </w:tr>
    </w:tbl>
    <w:p>
      <w:pPr>
        <w:adjustRightInd w:val="0"/>
        <w:spacing w:line="360" w:lineRule="auto"/>
        <w:ind w:firstLine="480" w:firstLineChars="200"/>
        <w:rPr>
          <w:color w:val="000000"/>
          <w:sz w:val="24"/>
        </w:rPr>
      </w:pPr>
      <w:r>
        <w:rPr>
          <w:color w:val="000000"/>
          <w:sz w:val="24"/>
        </w:rPr>
        <w:t>注：1.本期已实现收益指基金本期利息收入、投资收益、其他收入（不含公允价值变动收益）扣除相关费用后的余额，本期利润为本期已实现收益加上本期公允价值变动收益，由于本基金采用摊余成本法核算，因此，公允价值变动收益为零，本期已实现收益和本期利润的金额相等。</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2.本基金利润分配是按日结转份额。</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3.2 </w:t>
      </w:r>
      <w:r w:rsidRPr="0097021E">
        <w:rPr>
          <w:rFonts w:ascii="宋体" w:cs="Arial" w:hAnsi="宋体" w:hint="eastAsia"/>
          <w:b/>
          <w:color w:val="000000"/>
          <w:kern w:val="0"/>
          <w:sz w:val="24"/>
        </w:rPr>
        <w:t>基金净值表现</w:t>
      </w:r>
    </w:p>
    <w:p w:rsidP="009A755D" w:rsidR="00EA3F40" w:rsidRDefault="00EA3F40" w:rsidRPr="0097021E">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cs="Arial" w:hAnsi="宋体"/>
            <w:b/>
            <w:color w:val="000000"/>
            <w:kern w:val="0"/>
            <w:sz w:val="24"/>
          </w:rPr>
          <w:t>3.2.1</w:t>
        </w:r>
      </w:smartTag>
      <w:r w:rsidRPr="0097021E">
        <w:rPr>
          <w:rFonts w:ascii="宋体" w:cs="Arial" w:hAnsi="宋体"/>
          <w:b/>
          <w:color w:val="000000"/>
          <w:kern w:val="0"/>
          <w:sz w:val="24"/>
        </w:rPr>
        <w:t xml:space="preserve"> </w:t>
      </w:r>
      <w:r w:rsidRPr="0097021E">
        <w:rPr>
          <w:rFonts w:ascii="宋体" w:cs="Arial" w:hAnsi="宋体" w:hint="eastAsia"/>
          <w:b/>
          <w:color w:val="000000"/>
          <w:kern w:val="0"/>
          <w:sz w:val="24"/>
        </w:rPr>
        <w:t>本报告期基金份额净值收益率及其与同期业绩比较基准收益率的比较</w:t>
      </w:r>
    </w:p>
    <w:p w:rsidP="00613409" w:rsidR="00EA3F40" w:rsidRDefault="00EA3F40" w:rsidRPr="00613409">
      <w:pPr>
        <w:pStyle w:val="20"/>
        <w:spacing w:line="360" w:lineRule="auto"/>
        <w:ind w:firstLine="0" w:firstLineChars="0"/>
        <w:rPr>
          <w:b/>
          <w:sz w:val="24"/>
        </w:rPr>
      </w:pPr>
      <w:r w:rsidRPr="00613409">
        <w:rPr>
          <w:b/>
          <w:color w:val="000000"/>
          <w:sz w:val="24"/>
        </w:rPr>
        <w:t/>
      </w:r>
      <w:r w:rsidRPr="00613409">
        <w:rPr>
          <w:rFonts w:cs="宋体"/>
          <w:b/>
          <w:color w:val="000000"/>
          <w:sz w:val="24"/>
        </w:rPr>
        <w:t/>
      </w:r>
      <w:r w:rsidRPr="00613409">
        <w:rPr>
          <w:b/>
          <w:color w:val="000000"/>
          <w:sz w:val="24"/>
        </w:rPr>
        <w:t/>
      </w:r>
      <w:r w:rsidRPr="00613409">
        <w:rPr>
          <w:b/>
          <w:sz w:val="24"/>
        </w:rPr>
        <w:t>易方达龙宝货币A</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0.4554%</w:t>
            </w:r>
          </w:p>
        </w:tc>
        <w:tc>
          <w:tcPr>
            <w:vAlign w:val="center"/>
          </w:tcPr>
          <w:p>
            <w:pPr>
              <w:jc w:val="center"/>
            </w:pPr>
            <w:r>
              <w:rPr>
                <w:color w:val="000000"/>
                <w:kern w:val="2"/>
                <w:sz w:val="24"/>
              </w:rPr>
              <w:t>0.0024%</w:t>
            </w:r>
          </w:p>
        </w:tc>
        <w:tc>
          <w:tcPr>
            <w:vAlign w:val="center"/>
          </w:tcPr>
          <w:p>
            <w:pPr>
              <w:jc w:val="center"/>
            </w:pPr>
            <w:r>
              <w:rPr>
                <w:color w:val="000000"/>
                <w:kern w:val="2"/>
                <w:sz w:val="24"/>
              </w:rPr>
              <w:t>0.3418%</w:t>
            </w:r>
          </w:p>
        </w:tc>
        <w:tc>
          <w:tcPr>
            <w:vAlign w:val="center"/>
          </w:tcPr>
          <w:p>
            <w:pPr>
              <w:jc w:val="center"/>
            </w:pPr>
            <w:r>
              <w:rPr>
                <w:color w:val="000000"/>
                <w:kern w:val="2"/>
                <w:sz w:val="24"/>
              </w:rPr>
              <w:t>0.0000%</w:t>
            </w:r>
          </w:p>
        </w:tc>
        <w:tc>
          <w:tcPr>
            <w:vAlign w:val="center"/>
          </w:tcPr>
          <w:p>
            <w:pPr>
              <w:jc w:val="center"/>
            </w:pPr>
            <w:r>
              <w:rPr>
                <w:color w:val="000000"/>
                <w:kern w:val="2"/>
                <w:sz w:val="24"/>
              </w:rPr>
              <w:t>0.1136%</w:t>
            </w:r>
          </w:p>
        </w:tc>
        <w:tc>
          <w:tcPr>
            <w:vAlign w:val="center"/>
          </w:tcPr>
          <w:p>
            <w:pPr>
              <w:jc w:val="center"/>
            </w:pPr>
            <w:r>
              <w:rPr>
                <w:color w:val="000000"/>
                <w:kern w:val="2"/>
                <w:sz w:val="24"/>
              </w:rPr>
              <w:t>0.0024%</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1.0605%</w:t>
            </w:r>
          </w:p>
        </w:tc>
        <w:tc>
          <w:tcPr>
            <w:vAlign w:val="center"/>
          </w:tcPr>
          <w:p>
            <w:pPr>
              <w:jc w:val="center"/>
            </w:pPr>
            <w:r>
              <w:rPr>
                <w:color w:val="000000"/>
                <w:kern w:val="2"/>
                <w:sz w:val="24"/>
              </w:rPr>
              <w:t>0.0020%</w:t>
            </w:r>
          </w:p>
        </w:tc>
        <w:tc>
          <w:tcPr>
            <w:vAlign w:val="center"/>
          </w:tcPr>
          <w:p>
            <w:pPr>
              <w:jc w:val="center"/>
            </w:pPr>
            <w:r>
              <w:rPr>
                <w:color w:val="000000"/>
                <w:kern w:val="2"/>
                <w:sz w:val="24"/>
              </w:rPr>
              <w:t>0.6848%</w:t>
            </w:r>
          </w:p>
        </w:tc>
        <w:tc>
          <w:tcPr>
            <w:vAlign w:val="center"/>
          </w:tcPr>
          <w:p>
            <w:pPr>
              <w:jc w:val="center"/>
            </w:pPr>
            <w:r>
              <w:rPr>
                <w:color w:val="000000"/>
                <w:kern w:val="2"/>
                <w:sz w:val="24"/>
              </w:rPr>
              <w:t>0.0000%</w:t>
            </w:r>
          </w:p>
        </w:tc>
        <w:tc>
          <w:tcPr>
            <w:vAlign w:val="center"/>
          </w:tcPr>
          <w:p>
            <w:pPr>
              <w:jc w:val="center"/>
            </w:pPr>
            <w:r>
              <w:rPr>
                <w:color w:val="000000"/>
                <w:kern w:val="2"/>
                <w:sz w:val="24"/>
              </w:rPr>
              <w:t>0.3757%</w:t>
            </w:r>
          </w:p>
        </w:tc>
        <w:tc>
          <w:tcPr>
            <w:vAlign w:val="center"/>
          </w:tcPr>
          <w:p>
            <w:pPr>
              <w:jc w:val="center"/>
            </w:pPr>
            <w:r>
              <w:rPr>
                <w:color w:val="000000"/>
                <w:kern w:val="2"/>
                <w:sz w:val="24"/>
              </w:rPr>
              <w:t>0.0020%</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2.2799%</w:t>
            </w:r>
          </w:p>
        </w:tc>
        <w:tc>
          <w:tcPr>
            <w:vAlign w:val="center"/>
          </w:tcPr>
          <w:p>
            <w:pPr>
              <w:jc w:val="center"/>
            </w:pPr>
            <w:r>
              <w:rPr>
                <w:color w:val="000000"/>
                <w:kern w:val="2"/>
                <w:sz w:val="24"/>
              </w:rPr>
              <w:t>0.0015%</w:t>
            </w:r>
          </w:p>
        </w:tc>
        <w:tc>
          <w:tcPr>
            <w:vAlign w:val="center"/>
          </w:tcPr>
          <w:p>
            <w:pPr>
              <w:jc w:val="center"/>
            </w:pPr>
            <w:r>
              <w:rPr>
                <w:color w:val="000000"/>
                <w:kern w:val="2"/>
                <w:sz w:val="24"/>
              </w:rPr>
              <w:t>1.3819%</w:t>
            </w:r>
          </w:p>
        </w:tc>
        <w:tc>
          <w:tcPr>
            <w:vAlign w:val="center"/>
          </w:tcPr>
          <w:p>
            <w:pPr>
              <w:jc w:val="center"/>
            </w:pPr>
            <w:r>
              <w:rPr>
                <w:color w:val="000000"/>
                <w:kern w:val="2"/>
                <w:sz w:val="24"/>
              </w:rPr>
              <w:t>0.0000%</w:t>
            </w:r>
          </w:p>
        </w:tc>
        <w:tc>
          <w:tcPr>
            <w:vAlign w:val="center"/>
          </w:tcPr>
          <w:p>
            <w:pPr>
              <w:jc w:val="center"/>
            </w:pPr>
            <w:r>
              <w:rPr>
                <w:color w:val="000000"/>
                <w:kern w:val="2"/>
                <w:sz w:val="24"/>
              </w:rPr>
              <w:t>0.8980%</w:t>
            </w:r>
          </w:p>
        </w:tc>
        <w:tc>
          <w:tcPr>
            <w:vAlign w:val="center"/>
          </w:tcPr>
          <w:p>
            <w:pPr>
              <w:jc w:val="center"/>
            </w:pPr>
            <w:r>
              <w:rPr>
                <w:color w:val="000000"/>
                <w:kern w:val="2"/>
                <w:sz w:val="24"/>
              </w:rPr>
              <w:t>0.0015%</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9.7247%</w:t>
            </w:r>
          </w:p>
        </w:tc>
        <w:tc>
          <w:tcPr>
            <w:vAlign w:val="center"/>
          </w:tcPr>
          <w:p>
            <w:pPr>
              <w:jc w:val="center"/>
            </w:pPr>
            <w:r>
              <w:rPr>
                <w:color w:val="000000"/>
                <w:kern w:val="2"/>
                <w:sz w:val="24"/>
              </w:rPr>
              <w:t>0.0024%</w:t>
            </w:r>
          </w:p>
        </w:tc>
        <w:tc>
          <w:tcPr>
            <w:vAlign w:val="center"/>
          </w:tcPr>
          <w:p>
            <w:pPr>
              <w:jc w:val="center"/>
            </w:pPr>
            <w:r>
              <w:rPr>
                <w:color w:val="000000"/>
                <w:kern w:val="2"/>
                <w:sz w:val="24"/>
              </w:rPr>
              <w:t>4.1955%</w:t>
            </w:r>
          </w:p>
        </w:tc>
        <w:tc>
          <w:tcPr>
            <w:vAlign w:val="center"/>
          </w:tcPr>
          <w:p>
            <w:pPr>
              <w:jc w:val="center"/>
            </w:pPr>
            <w:r>
              <w:rPr>
                <w:color w:val="000000"/>
                <w:kern w:val="2"/>
                <w:sz w:val="24"/>
              </w:rPr>
              <w:t>0.0000%</w:t>
            </w:r>
          </w:p>
        </w:tc>
        <w:tc>
          <w:tcPr>
            <w:vAlign w:val="center"/>
          </w:tcPr>
          <w:p>
            <w:pPr>
              <w:jc w:val="center"/>
            </w:pPr>
            <w:r>
              <w:rPr>
                <w:color w:val="000000"/>
                <w:kern w:val="2"/>
                <w:sz w:val="24"/>
              </w:rPr>
              <w:t>5.5292%</w:t>
            </w:r>
          </w:p>
        </w:tc>
        <w:tc>
          <w:tcPr>
            <w:vAlign w:val="center"/>
          </w:tcPr>
          <w:p>
            <w:pPr>
              <w:jc w:val="center"/>
            </w:pPr>
            <w:r>
              <w:rPr>
                <w:color w:val="000000"/>
                <w:kern w:val="2"/>
                <w:sz w:val="24"/>
              </w:rPr>
              <w:t>0.0024%</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16.7966%</w:t>
            </w:r>
          </w:p>
        </w:tc>
        <w:tc>
          <w:tcPr>
            <w:vAlign w:val="center"/>
          </w:tcPr>
          <w:p>
            <w:pPr>
              <w:jc w:val="center"/>
            </w:pPr>
            <w:r>
              <w:rPr>
                <w:color w:val="000000"/>
                <w:kern w:val="2"/>
                <w:sz w:val="24"/>
              </w:rPr>
              <w:t>0.0029%</w:t>
            </w:r>
          </w:p>
        </w:tc>
        <w:tc>
          <w:tcPr>
            <w:vAlign w:val="center"/>
          </w:tcPr>
          <w:p>
            <w:pPr>
              <w:jc w:val="center"/>
            </w:pPr>
            <w:r>
              <w:rPr>
                <w:color w:val="000000"/>
                <w:kern w:val="2"/>
                <w:sz w:val="24"/>
              </w:rPr>
              <w:t>7.0913%</w:t>
            </w:r>
          </w:p>
        </w:tc>
        <w:tc>
          <w:tcPr>
            <w:vAlign w:val="center"/>
          </w:tcPr>
          <w:p>
            <w:pPr>
              <w:jc w:val="center"/>
            </w:pPr>
            <w:r>
              <w:rPr>
                <w:color w:val="000000"/>
                <w:kern w:val="2"/>
                <w:sz w:val="24"/>
              </w:rPr>
              <w:t>0.0000%</w:t>
            </w:r>
          </w:p>
        </w:tc>
        <w:tc>
          <w:tcPr>
            <w:vAlign w:val="center"/>
          </w:tcPr>
          <w:p>
            <w:pPr>
              <w:jc w:val="center"/>
            </w:pPr>
            <w:r>
              <w:rPr>
                <w:color w:val="000000"/>
                <w:kern w:val="2"/>
                <w:sz w:val="24"/>
              </w:rPr>
              <w:t>9.7053%</w:t>
            </w:r>
          </w:p>
        </w:tc>
        <w:tc>
          <w:tcPr>
            <w:vAlign w:val="center"/>
          </w:tcPr>
          <w:p>
            <w:pPr>
              <w:jc w:val="center"/>
            </w:pPr>
            <w:r>
              <w:rPr>
                <w:color w:val="000000"/>
                <w:kern w:val="2"/>
                <w:sz w:val="24"/>
              </w:rPr>
              <w:t>0.0029%</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20.5635%</w:t>
            </w:r>
          </w:p>
        </w:tc>
        <w:tc>
          <w:tcPr>
            <w:vAlign w:val="center"/>
          </w:tcPr>
          <w:p>
            <w:pPr>
              <w:jc w:val="center"/>
            </w:pPr>
            <w:r>
              <w:rPr>
                <w:color w:val="000000"/>
                <w:kern w:val="2"/>
                <w:sz w:val="24"/>
              </w:rPr>
              <w:t>0.0034%</w:t>
            </w:r>
          </w:p>
        </w:tc>
        <w:tc>
          <w:tcPr>
            <w:vAlign w:val="center"/>
          </w:tcPr>
          <w:p>
            <w:pPr>
              <w:jc w:val="center"/>
            </w:pPr>
            <w:r>
              <w:rPr>
                <w:color w:val="000000"/>
                <w:kern w:val="2"/>
                <w:sz w:val="24"/>
              </w:rPr>
              <w:t>8.2703%</w:t>
            </w:r>
          </w:p>
        </w:tc>
        <w:tc>
          <w:tcPr>
            <w:vAlign w:val="center"/>
          </w:tcPr>
          <w:p>
            <w:pPr>
              <w:jc w:val="center"/>
            </w:pPr>
            <w:r>
              <w:rPr>
                <w:color w:val="000000"/>
                <w:kern w:val="2"/>
                <w:sz w:val="24"/>
              </w:rPr>
              <w:t>0.0000%</w:t>
            </w:r>
          </w:p>
        </w:tc>
        <w:tc>
          <w:tcPr>
            <w:vAlign w:val="center"/>
          </w:tcPr>
          <w:p>
            <w:pPr>
              <w:jc w:val="center"/>
            </w:pPr>
            <w:r>
              <w:rPr>
                <w:color w:val="000000"/>
                <w:kern w:val="2"/>
                <w:sz w:val="24"/>
              </w:rPr>
              <w:t>12.2932%</w:t>
            </w:r>
          </w:p>
        </w:tc>
        <w:tc>
          <w:tcPr>
            <w:vAlign w:val="center"/>
          </w:tcPr>
          <w:p>
            <w:pPr>
              <w:jc w:val="center"/>
            </w:pPr>
            <w:r>
              <w:rPr>
                <w:color w:val="000000"/>
                <w:kern w:val="2"/>
                <w:sz w:val="24"/>
              </w:rPr>
              <w:t>0.0034%</w:t>
            </w:r>
          </w:p>
        </w:tc>
      </w:tr>
    </w:tbl>
    <w:p w:rsidP="00613409" w:rsidR="00EA3F40" w:rsidRDefault="00EA3F40" w:rsidRPr="00613409">
      <w:pPr>
        <w:pStyle w:val="20"/>
        <w:spacing w:line="360" w:lineRule="auto"/>
        <w:ind w:firstLine="0" w:firstLineChars="0"/>
        <w:rPr>
          <w:b/>
          <w:color w:val="000000"/>
          <w:sz w:val="24"/>
        </w:rPr>
      </w:pPr>
      <w:r w:rsidRPr="00613409">
        <w:rPr>
          <w:b/>
          <w:color w:val="000000"/>
          <w:sz w:val="24"/>
        </w:rPr>
        <w:t>易方达龙宝货币B</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0.5154%</w:t>
            </w:r>
          </w:p>
        </w:tc>
        <w:tc>
          <w:tcPr>
            <w:vAlign w:val="center"/>
          </w:tcPr>
          <w:p>
            <w:pPr>
              <w:jc w:val="center"/>
            </w:pPr>
            <w:r>
              <w:rPr>
                <w:color w:val="000000"/>
                <w:kern w:val="2"/>
                <w:sz w:val="24"/>
              </w:rPr>
              <w:t>0.0024%</w:t>
            </w:r>
          </w:p>
        </w:tc>
        <w:tc>
          <w:tcPr>
            <w:vAlign w:val="center"/>
          </w:tcPr>
          <w:p>
            <w:pPr>
              <w:jc w:val="center"/>
            </w:pPr>
            <w:r>
              <w:rPr>
                <w:color w:val="000000"/>
                <w:kern w:val="2"/>
                <w:sz w:val="24"/>
              </w:rPr>
              <w:t>0.3418%</w:t>
            </w:r>
          </w:p>
        </w:tc>
        <w:tc>
          <w:tcPr>
            <w:vAlign w:val="center"/>
          </w:tcPr>
          <w:p>
            <w:pPr>
              <w:jc w:val="center"/>
            </w:pPr>
            <w:r>
              <w:rPr>
                <w:color w:val="000000"/>
                <w:kern w:val="2"/>
                <w:sz w:val="24"/>
              </w:rPr>
              <w:t>0.0000%</w:t>
            </w:r>
          </w:p>
        </w:tc>
        <w:tc>
          <w:tcPr>
            <w:vAlign w:val="center"/>
          </w:tcPr>
          <w:p>
            <w:pPr>
              <w:jc w:val="center"/>
            </w:pPr>
            <w:r>
              <w:rPr>
                <w:color w:val="000000"/>
                <w:kern w:val="2"/>
                <w:sz w:val="24"/>
              </w:rPr>
              <w:t>0.1736%</w:t>
            </w:r>
          </w:p>
        </w:tc>
        <w:tc>
          <w:tcPr>
            <w:vAlign w:val="center"/>
          </w:tcPr>
          <w:p>
            <w:pPr>
              <w:jc w:val="center"/>
            </w:pPr>
            <w:r>
              <w:rPr>
                <w:color w:val="000000"/>
                <w:kern w:val="2"/>
                <w:sz w:val="24"/>
              </w:rPr>
              <w:t>0.0024%</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1.1811%</w:t>
            </w:r>
          </w:p>
        </w:tc>
        <w:tc>
          <w:tcPr>
            <w:vAlign w:val="center"/>
          </w:tcPr>
          <w:p>
            <w:pPr>
              <w:jc w:val="center"/>
            </w:pPr>
            <w:r>
              <w:rPr>
                <w:color w:val="000000"/>
                <w:kern w:val="2"/>
                <w:sz w:val="24"/>
              </w:rPr>
              <w:t>0.0020%</w:t>
            </w:r>
          </w:p>
        </w:tc>
        <w:tc>
          <w:tcPr>
            <w:vAlign w:val="center"/>
          </w:tcPr>
          <w:p>
            <w:pPr>
              <w:jc w:val="center"/>
            </w:pPr>
            <w:r>
              <w:rPr>
                <w:color w:val="000000"/>
                <w:kern w:val="2"/>
                <w:sz w:val="24"/>
              </w:rPr>
              <w:t>0.6848%</w:t>
            </w:r>
          </w:p>
        </w:tc>
        <w:tc>
          <w:tcPr>
            <w:vAlign w:val="center"/>
          </w:tcPr>
          <w:p>
            <w:pPr>
              <w:jc w:val="center"/>
            </w:pPr>
            <w:r>
              <w:rPr>
                <w:color w:val="000000"/>
                <w:kern w:val="2"/>
                <w:sz w:val="24"/>
              </w:rPr>
              <w:t>0.0000%</w:t>
            </w:r>
          </w:p>
        </w:tc>
        <w:tc>
          <w:tcPr>
            <w:vAlign w:val="center"/>
          </w:tcPr>
          <w:p>
            <w:pPr>
              <w:jc w:val="center"/>
            </w:pPr>
            <w:r>
              <w:rPr>
                <w:color w:val="000000"/>
                <w:kern w:val="2"/>
                <w:sz w:val="24"/>
              </w:rPr>
              <w:t>0.4963%</w:t>
            </w:r>
          </w:p>
        </w:tc>
        <w:tc>
          <w:tcPr>
            <w:vAlign w:val="center"/>
          </w:tcPr>
          <w:p>
            <w:pPr>
              <w:jc w:val="center"/>
            </w:pPr>
            <w:r>
              <w:rPr>
                <w:color w:val="000000"/>
                <w:kern w:val="2"/>
                <w:sz w:val="24"/>
              </w:rPr>
              <w:t>0.0020%</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2.5262%</w:t>
            </w:r>
          </w:p>
        </w:tc>
        <w:tc>
          <w:tcPr>
            <w:vAlign w:val="center"/>
          </w:tcPr>
          <w:p>
            <w:pPr>
              <w:jc w:val="center"/>
            </w:pPr>
            <w:r>
              <w:rPr>
                <w:color w:val="000000"/>
                <w:kern w:val="2"/>
                <w:sz w:val="24"/>
              </w:rPr>
              <w:t>0.0015%</w:t>
            </w:r>
          </w:p>
        </w:tc>
        <w:tc>
          <w:tcPr>
            <w:vAlign w:val="center"/>
          </w:tcPr>
          <w:p>
            <w:pPr>
              <w:jc w:val="center"/>
            </w:pPr>
            <w:r>
              <w:rPr>
                <w:color w:val="000000"/>
                <w:kern w:val="2"/>
                <w:sz w:val="24"/>
              </w:rPr>
              <w:t>1.3819%</w:t>
            </w:r>
          </w:p>
        </w:tc>
        <w:tc>
          <w:tcPr>
            <w:vAlign w:val="center"/>
          </w:tcPr>
          <w:p>
            <w:pPr>
              <w:jc w:val="center"/>
            </w:pPr>
            <w:r>
              <w:rPr>
                <w:color w:val="000000"/>
                <w:kern w:val="2"/>
                <w:sz w:val="24"/>
              </w:rPr>
              <w:t>0.0000%</w:t>
            </w:r>
          </w:p>
        </w:tc>
        <w:tc>
          <w:tcPr>
            <w:vAlign w:val="center"/>
          </w:tcPr>
          <w:p>
            <w:pPr>
              <w:jc w:val="center"/>
            </w:pPr>
            <w:r>
              <w:rPr>
                <w:color w:val="000000"/>
                <w:kern w:val="2"/>
                <w:sz w:val="24"/>
              </w:rPr>
              <w:t>1.1443%</w:t>
            </w:r>
          </w:p>
        </w:tc>
        <w:tc>
          <w:tcPr>
            <w:vAlign w:val="center"/>
          </w:tcPr>
          <w:p>
            <w:pPr>
              <w:jc w:val="center"/>
            </w:pPr>
            <w:r>
              <w:rPr>
                <w:color w:val="000000"/>
                <w:kern w:val="2"/>
                <w:sz w:val="24"/>
              </w:rPr>
              <w:t>0.0015%</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10.5184%</w:t>
            </w:r>
          </w:p>
        </w:tc>
        <w:tc>
          <w:tcPr>
            <w:vAlign w:val="center"/>
          </w:tcPr>
          <w:p>
            <w:pPr>
              <w:jc w:val="center"/>
            </w:pPr>
            <w:r>
              <w:rPr>
                <w:color w:val="000000"/>
                <w:kern w:val="2"/>
                <w:sz w:val="24"/>
              </w:rPr>
              <w:t>0.0024%</w:t>
            </w:r>
          </w:p>
        </w:tc>
        <w:tc>
          <w:tcPr>
            <w:vAlign w:val="center"/>
          </w:tcPr>
          <w:p>
            <w:pPr>
              <w:jc w:val="center"/>
            </w:pPr>
            <w:r>
              <w:rPr>
                <w:color w:val="000000"/>
                <w:kern w:val="2"/>
                <w:sz w:val="24"/>
              </w:rPr>
              <w:t>4.1955%</w:t>
            </w:r>
          </w:p>
        </w:tc>
        <w:tc>
          <w:tcPr>
            <w:vAlign w:val="center"/>
          </w:tcPr>
          <w:p>
            <w:pPr>
              <w:jc w:val="center"/>
            </w:pPr>
            <w:r>
              <w:rPr>
                <w:color w:val="000000"/>
                <w:kern w:val="2"/>
                <w:sz w:val="24"/>
              </w:rPr>
              <w:t>0.0000%</w:t>
            </w:r>
          </w:p>
        </w:tc>
        <w:tc>
          <w:tcPr>
            <w:vAlign w:val="center"/>
          </w:tcPr>
          <w:p>
            <w:pPr>
              <w:jc w:val="center"/>
            </w:pPr>
            <w:r>
              <w:rPr>
                <w:color w:val="000000"/>
                <w:kern w:val="2"/>
                <w:sz w:val="24"/>
              </w:rPr>
              <w:t>6.3229%</w:t>
            </w:r>
          </w:p>
        </w:tc>
        <w:tc>
          <w:tcPr>
            <w:vAlign w:val="center"/>
          </w:tcPr>
          <w:p>
            <w:pPr>
              <w:jc w:val="center"/>
            </w:pPr>
            <w:r>
              <w:rPr>
                <w:color w:val="000000"/>
                <w:kern w:val="2"/>
                <w:sz w:val="24"/>
              </w:rPr>
              <w:t>0.0024%</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18.2069%</w:t>
            </w:r>
          </w:p>
        </w:tc>
        <w:tc>
          <w:tcPr>
            <w:vAlign w:val="center"/>
          </w:tcPr>
          <w:p>
            <w:pPr>
              <w:jc w:val="center"/>
            </w:pPr>
            <w:r>
              <w:rPr>
                <w:color w:val="000000"/>
                <w:kern w:val="2"/>
                <w:sz w:val="24"/>
              </w:rPr>
              <w:t>0.0029%</w:t>
            </w:r>
          </w:p>
        </w:tc>
        <w:tc>
          <w:tcPr>
            <w:vAlign w:val="center"/>
          </w:tcPr>
          <w:p>
            <w:pPr>
              <w:jc w:val="center"/>
            </w:pPr>
            <w:r>
              <w:rPr>
                <w:color w:val="000000"/>
                <w:kern w:val="2"/>
                <w:sz w:val="24"/>
              </w:rPr>
              <w:t>7.0913%</w:t>
            </w:r>
          </w:p>
        </w:tc>
        <w:tc>
          <w:tcPr>
            <w:vAlign w:val="center"/>
          </w:tcPr>
          <w:p>
            <w:pPr>
              <w:jc w:val="center"/>
            </w:pPr>
            <w:r>
              <w:rPr>
                <w:color w:val="000000"/>
                <w:kern w:val="2"/>
                <w:sz w:val="24"/>
              </w:rPr>
              <w:t>0.0000%</w:t>
            </w:r>
          </w:p>
        </w:tc>
        <w:tc>
          <w:tcPr>
            <w:vAlign w:val="center"/>
          </w:tcPr>
          <w:p>
            <w:pPr>
              <w:jc w:val="center"/>
            </w:pPr>
            <w:r>
              <w:rPr>
                <w:color w:val="000000"/>
                <w:kern w:val="2"/>
                <w:sz w:val="24"/>
              </w:rPr>
              <w:t>11.1156%</w:t>
            </w:r>
          </w:p>
        </w:tc>
        <w:tc>
          <w:tcPr>
            <w:vAlign w:val="center"/>
          </w:tcPr>
          <w:p>
            <w:pPr>
              <w:jc w:val="center"/>
            </w:pPr>
            <w:r>
              <w:rPr>
                <w:color w:val="000000"/>
                <w:kern w:val="2"/>
                <w:sz w:val="24"/>
              </w:rPr>
              <w:t>0.0029%</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22.2510%</w:t>
            </w:r>
          </w:p>
        </w:tc>
        <w:tc>
          <w:tcPr>
            <w:vAlign w:val="center"/>
          </w:tcPr>
          <w:p>
            <w:pPr>
              <w:jc w:val="center"/>
            </w:pPr>
            <w:r>
              <w:rPr>
                <w:color w:val="000000"/>
                <w:kern w:val="2"/>
                <w:sz w:val="24"/>
              </w:rPr>
              <w:t>0.0034%</w:t>
            </w:r>
          </w:p>
        </w:tc>
        <w:tc>
          <w:tcPr>
            <w:vAlign w:val="center"/>
          </w:tcPr>
          <w:p>
            <w:pPr>
              <w:jc w:val="center"/>
            </w:pPr>
            <w:r>
              <w:rPr>
                <w:color w:val="000000"/>
                <w:kern w:val="2"/>
                <w:sz w:val="24"/>
              </w:rPr>
              <w:t>8.2703%</w:t>
            </w:r>
          </w:p>
        </w:tc>
        <w:tc>
          <w:tcPr>
            <w:vAlign w:val="center"/>
          </w:tcPr>
          <w:p>
            <w:pPr>
              <w:jc w:val="center"/>
            </w:pPr>
            <w:r>
              <w:rPr>
                <w:color w:val="000000"/>
                <w:kern w:val="2"/>
                <w:sz w:val="24"/>
              </w:rPr>
              <w:t>0.0000%</w:t>
            </w:r>
          </w:p>
        </w:tc>
        <w:tc>
          <w:tcPr>
            <w:vAlign w:val="center"/>
          </w:tcPr>
          <w:p>
            <w:pPr>
              <w:jc w:val="center"/>
            </w:pPr>
            <w:r>
              <w:rPr>
                <w:color w:val="000000"/>
                <w:kern w:val="2"/>
                <w:sz w:val="24"/>
              </w:rPr>
              <w:t>13.9807%</w:t>
            </w:r>
          </w:p>
        </w:tc>
        <w:tc>
          <w:tcPr>
            <w:vAlign w:val="center"/>
          </w:tcPr>
          <w:p>
            <w:pPr>
              <w:jc w:val="center"/>
            </w:pPr>
            <w:r>
              <w:rPr>
                <w:color w:val="000000"/>
                <w:kern w:val="2"/>
                <w:sz w:val="24"/>
              </w:rPr>
              <w:t>0.0034%</w:t>
            </w:r>
          </w:p>
        </w:tc>
      </w:tr>
    </w:tbl>
    <w:p w:rsidP="00613409" w:rsidR="00EA3F40" w:rsidRDefault="00EA3F40" w:rsidRPr="00613409">
      <w:pPr>
        <w:pStyle w:val="20"/>
        <w:spacing w:line="360" w:lineRule="auto"/>
        <w:ind w:firstLine="0" w:firstLineChars="0"/>
        <w:rPr>
          <w:b/>
          <w:color w:val="000000"/>
          <w:sz w:val="24"/>
        </w:rPr>
      </w:pPr>
      <w:r w:rsidRPr="00613409">
        <w:rPr>
          <w:b/>
          <w:color w:val="000000"/>
          <w:sz w:val="24"/>
        </w:rPr>
        <w:t>易方达龙宝货币C</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0.5055%</w:t>
            </w:r>
          </w:p>
        </w:tc>
        <w:tc>
          <w:tcPr>
            <w:vAlign w:val="center"/>
          </w:tcPr>
          <w:p>
            <w:pPr>
              <w:jc w:val="center"/>
            </w:pPr>
            <w:r>
              <w:rPr>
                <w:color w:val="000000"/>
                <w:kern w:val="2"/>
                <w:sz w:val="24"/>
              </w:rPr>
              <w:t>0.0024%</w:t>
            </w:r>
          </w:p>
        </w:tc>
        <w:tc>
          <w:tcPr>
            <w:vAlign w:val="center"/>
          </w:tcPr>
          <w:p>
            <w:pPr>
              <w:jc w:val="center"/>
            </w:pPr>
            <w:r>
              <w:rPr>
                <w:color w:val="000000"/>
                <w:kern w:val="2"/>
                <w:sz w:val="24"/>
              </w:rPr>
              <w:t>0.3418%</w:t>
            </w:r>
          </w:p>
        </w:tc>
        <w:tc>
          <w:tcPr>
            <w:vAlign w:val="center"/>
          </w:tcPr>
          <w:p>
            <w:pPr>
              <w:jc w:val="center"/>
            </w:pPr>
            <w:r>
              <w:rPr>
                <w:color w:val="000000"/>
                <w:kern w:val="2"/>
                <w:sz w:val="24"/>
              </w:rPr>
              <w:t>0.0000%</w:t>
            </w:r>
          </w:p>
        </w:tc>
        <w:tc>
          <w:tcPr>
            <w:vAlign w:val="center"/>
          </w:tcPr>
          <w:p>
            <w:pPr>
              <w:jc w:val="center"/>
            </w:pPr>
            <w:r>
              <w:rPr>
                <w:color w:val="000000"/>
                <w:kern w:val="2"/>
                <w:sz w:val="24"/>
              </w:rPr>
              <w:t>0.1637%</w:t>
            </w:r>
          </w:p>
        </w:tc>
        <w:tc>
          <w:tcPr>
            <w:vAlign w:val="center"/>
          </w:tcPr>
          <w:p>
            <w:pPr>
              <w:jc w:val="center"/>
            </w:pPr>
            <w:r>
              <w:rPr>
                <w:color w:val="000000"/>
                <w:kern w:val="2"/>
                <w:sz w:val="24"/>
              </w:rPr>
              <w:t>0.0024%</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1.1611%</w:t>
            </w:r>
          </w:p>
        </w:tc>
        <w:tc>
          <w:tcPr>
            <w:vAlign w:val="center"/>
          </w:tcPr>
          <w:p>
            <w:pPr>
              <w:jc w:val="center"/>
            </w:pPr>
            <w:r>
              <w:rPr>
                <w:color w:val="000000"/>
                <w:kern w:val="2"/>
                <w:sz w:val="24"/>
              </w:rPr>
              <w:t>0.0020%</w:t>
            </w:r>
          </w:p>
        </w:tc>
        <w:tc>
          <w:tcPr>
            <w:vAlign w:val="center"/>
          </w:tcPr>
          <w:p>
            <w:pPr>
              <w:jc w:val="center"/>
            </w:pPr>
            <w:r>
              <w:rPr>
                <w:color w:val="000000"/>
                <w:kern w:val="2"/>
                <w:sz w:val="24"/>
              </w:rPr>
              <w:t>0.6848%</w:t>
            </w:r>
          </w:p>
        </w:tc>
        <w:tc>
          <w:tcPr>
            <w:vAlign w:val="center"/>
          </w:tcPr>
          <w:p>
            <w:pPr>
              <w:jc w:val="center"/>
            </w:pPr>
            <w:r>
              <w:rPr>
                <w:color w:val="000000"/>
                <w:kern w:val="2"/>
                <w:sz w:val="24"/>
              </w:rPr>
              <w:t>0.0000%</w:t>
            </w:r>
          </w:p>
        </w:tc>
        <w:tc>
          <w:tcPr>
            <w:vAlign w:val="center"/>
          </w:tcPr>
          <w:p>
            <w:pPr>
              <w:jc w:val="center"/>
            </w:pPr>
            <w:r>
              <w:rPr>
                <w:color w:val="000000"/>
                <w:kern w:val="2"/>
                <w:sz w:val="24"/>
              </w:rPr>
              <w:t>0.4763%</w:t>
            </w:r>
          </w:p>
        </w:tc>
        <w:tc>
          <w:tcPr>
            <w:vAlign w:val="center"/>
          </w:tcPr>
          <w:p>
            <w:pPr>
              <w:jc w:val="center"/>
            </w:pPr>
            <w:r>
              <w:rPr>
                <w:color w:val="000000"/>
                <w:kern w:val="2"/>
                <w:sz w:val="24"/>
              </w:rPr>
              <w:t>0.0020%</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2.4853%</w:t>
            </w:r>
          </w:p>
        </w:tc>
        <w:tc>
          <w:tcPr>
            <w:vAlign w:val="center"/>
          </w:tcPr>
          <w:p>
            <w:pPr>
              <w:jc w:val="center"/>
            </w:pPr>
            <w:r>
              <w:rPr>
                <w:color w:val="000000"/>
                <w:kern w:val="2"/>
                <w:sz w:val="24"/>
              </w:rPr>
              <w:t>0.0015%</w:t>
            </w:r>
          </w:p>
        </w:tc>
        <w:tc>
          <w:tcPr>
            <w:vAlign w:val="center"/>
          </w:tcPr>
          <w:p>
            <w:pPr>
              <w:jc w:val="center"/>
            </w:pPr>
            <w:r>
              <w:rPr>
                <w:color w:val="000000"/>
                <w:kern w:val="2"/>
                <w:sz w:val="24"/>
              </w:rPr>
              <w:t>1.3819%</w:t>
            </w:r>
          </w:p>
        </w:tc>
        <w:tc>
          <w:tcPr>
            <w:vAlign w:val="center"/>
          </w:tcPr>
          <w:p>
            <w:pPr>
              <w:jc w:val="center"/>
            </w:pPr>
            <w:r>
              <w:rPr>
                <w:color w:val="000000"/>
                <w:kern w:val="2"/>
                <w:sz w:val="24"/>
              </w:rPr>
              <w:t>0.0000%</w:t>
            </w:r>
          </w:p>
        </w:tc>
        <w:tc>
          <w:tcPr>
            <w:vAlign w:val="center"/>
          </w:tcPr>
          <w:p>
            <w:pPr>
              <w:jc w:val="center"/>
            </w:pPr>
            <w:r>
              <w:rPr>
                <w:color w:val="000000"/>
                <w:kern w:val="2"/>
                <w:sz w:val="24"/>
              </w:rPr>
              <w:t>1.1034%</w:t>
            </w:r>
          </w:p>
        </w:tc>
        <w:tc>
          <w:tcPr>
            <w:vAlign w:val="center"/>
          </w:tcPr>
          <w:p>
            <w:pPr>
              <w:jc w:val="center"/>
            </w:pPr>
            <w:r>
              <w:rPr>
                <w:color w:val="000000"/>
                <w:kern w:val="2"/>
                <w:sz w:val="24"/>
              </w:rPr>
              <w:t>0.0015%</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c>
          <w:tcPr>
            <w:vAlign w:val="center"/>
          </w:tcPr>
          <w:p>
            <w:pPr>
              <w:jc w:val="center"/>
            </w:pPr>
            <w:r>
              <w:rPr>
                <w:color w:val="000000"/>
                <w:kern w:val="2"/>
                <w:sz w:val="24"/>
              </w:rPr>
              <w:t>-</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9.6020%</w:t>
            </w:r>
          </w:p>
        </w:tc>
        <w:tc>
          <w:tcPr>
            <w:vAlign w:val="center"/>
          </w:tcPr>
          <w:p>
            <w:pPr>
              <w:jc w:val="center"/>
            </w:pPr>
            <w:r>
              <w:rPr>
                <w:color w:val="000000"/>
                <w:kern w:val="2"/>
                <w:sz w:val="24"/>
              </w:rPr>
              <w:t>0.0024%</w:t>
            </w:r>
          </w:p>
        </w:tc>
        <w:tc>
          <w:tcPr>
            <w:vAlign w:val="center"/>
          </w:tcPr>
          <w:p>
            <w:pPr>
              <w:jc w:val="center"/>
            </w:pPr>
            <w:r>
              <w:rPr>
                <w:color w:val="000000"/>
                <w:kern w:val="2"/>
                <w:sz w:val="24"/>
              </w:rPr>
              <w:t>3.9614%</w:t>
            </w:r>
          </w:p>
        </w:tc>
        <w:tc>
          <w:tcPr>
            <w:vAlign w:val="center"/>
          </w:tcPr>
          <w:p>
            <w:pPr>
              <w:jc w:val="center"/>
            </w:pPr>
            <w:r>
              <w:rPr>
                <w:color w:val="000000"/>
                <w:kern w:val="2"/>
                <w:sz w:val="24"/>
              </w:rPr>
              <w:t>0.0000%</w:t>
            </w:r>
          </w:p>
        </w:tc>
        <w:tc>
          <w:tcPr>
            <w:vAlign w:val="center"/>
          </w:tcPr>
          <w:p>
            <w:pPr>
              <w:jc w:val="center"/>
            </w:pPr>
            <w:r>
              <w:rPr>
                <w:color w:val="000000"/>
                <w:kern w:val="2"/>
                <w:sz w:val="24"/>
              </w:rPr>
              <w:t>5.6406%</w:t>
            </w:r>
          </w:p>
        </w:tc>
        <w:tc>
          <w:tcPr>
            <w:vAlign w:val="center"/>
          </w:tcPr>
          <w:p>
            <w:pPr>
              <w:jc w:val="center"/>
            </w:pPr>
            <w:r>
              <w:rPr>
                <w:color w:val="000000"/>
                <w:kern w:val="2"/>
                <w:sz w:val="24"/>
              </w:rPr>
              <w:t>0.0024%</w:t>
            </w:r>
          </w:p>
        </w:tc>
      </w:tr>
    </w:tbl>
    <w:p w:rsidP="009A755D" w:rsidR="00EA3F40" w:rsidRDefault="00EA3F40" w:rsidRPr="0097021E">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cs="Arial" w:hAnsi="宋体"/>
            <w:b/>
            <w:color w:val="000000"/>
            <w:kern w:val="0"/>
            <w:sz w:val="24"/>
          </w:rPr>
          <w:t>3.2.2</w:t>
        </w:r>
        <w:r w:rsidR="001136E5" w:rsidRPr="00370BEA">
          <w:rPr>
            <w:rStyle w:val="af"/>
            <w:rFonts w:hint="eastAsia"/>
            <w:color w:val="000000"/>
            <w:sz w:val="24"/>
            <w:shd w:color="auto" w:fill="FFFFFF" w:val="clear"/>
          </w:rPr>
          <w:t>自基金合同生效以来</w:t>
        </w:r>
      </w:smartTag>
      <w:r w:rsidRPr="0097021E">
        <w:rPr>
          <w:rFonts w:ascii="宋体" w:cs="Arial" w:hAnsi="宋体" w:hint="eastAsia"/>
          <w:b/>
          <w:color w:val="000000"/>
          <w:kern w:val="0"/>
          <w:sz w:val="24"/>
        </w:rPr>
        <w:t>基金累计净值收益率变动及其与同期业绩比较基准收益率变动的比较</w:t>
      </w:r>
    </w:p>
    <w:p w:rsidP="009A755D" w:rsidR="00EA3F40" w:rsidRDefault="00EA3F40" w:rsidRPr="00613409">
      <w:pPr>
        <w:spacing w:line="360" w:lineRule="auto"/>
        <w:jc w:val="center"/>
        <w:rPr>
          <w:sz w:val="24"/>
        </w:rPr>
      </w:pPr>
      <w:r w:rsidRPr="00613409">
        <w:rPr>
          <w:sz w:val="24"/>
        </w:rPr>
        <w:t>易方达龙宝货币市场基金</w:t>
      </w:r>
    </w:p>
    <w:p w:rsidP="00CB6152" w:rsidR="00CB6152" w:rsidRDefault="00EA3F40" w:rsidRPr="00CB6152">
      <w:pPr>
        <w:pStyle w:val="a6"/>
        <w:snapToGrid w:val="0"/>
        <w:spacing w:line="360" w:lineRule="auto"/>
        <w:jc w:val="center"/>
        <w:rPr>
          <w:rFonts w:ascii="Times New Roman" w:hAnsi="Times New Roman"/>
          <w:color w:val="000000"/>
          <w:sz w:val="24"/>
          <w:szCs w:val="24"/>
        </w:rPr>
      </w:pPr>
      <w:r w:rsidRPr="00613409">
        <w:rPr>
          <w:rFonts w:ascii="Times New Roman" w:hAnsi="Times New Roman"/>
          <w:sz w:val="24"/>
          <w:szCs w:val="24"/>
        </w:rPr>
        <w:t>累计净值收益率与业绩比较基准收益率的历史走势对比图</w:t>
      </w:r>
    </w:p>
    <w:p w:rsidP="00CB6152" w:rsidR="00CB6152" w:rsidRDefault="00EA3F40" w:rsidRPr="00CB6152">
      <w:pPr>
        <w:snapToGrid w:val="0"/>
        <w:spacing w:line="360" w:lineRule="auto"/>
        <w:rPr>
          <w:rFonts w:hAnsi="宋体"/>
          <w:color w:val="000000"/>
          <w:sz w:val="24"/>
        </w:rPr>
      </w:pPr>
      <w:r w:rsidRPr="00613409">
        <w:rPr>
          <w:color w:val="000000"/>
          <w:kern w:val="0"/>
          <w:sz w:val="24"/>
        </w:rPr>
        <w:t>易方达龙宝货币A</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（2014年9月12日至2020年6月30日）</w:t>
      </w:r>
    </w:p>
    <w:p w:rsidP="00196812" w:rsidR="00EA3F40" w:rsidRDefault="00B261EB" w:rsidRPr="007600BC">
      <w:pPr>
        <w:tabs>
          <w:tab w:pos="0" w:val="left"/>
        </w:tabs>
        <w:spacing w:line="360" w:lineRule="auto"/>
        <w:jc w:val="center"/>
        <w:rPr>
          <w:rFonts w:ascii="宋体"/>
          <w:color w:val="000000"/>
          <w:sz w:val="24"/>
        </w:rPr>
      </w:pPr>
      <w:r>
        <w:rPr>
          <w:rFonts w:ascii="宋体"/>
          <w:noProof/>
          <w:color w:val="000000"/>
          <w:sz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52.25pt;height:267pt;visibility:visible" type="#_x0000_t75">
            <v:imagedata o:title="" r:id="rId10"/>
          </v:shape>
        </w:pict>
      </w:r>
    </w:p>
    <w:p w:rsidP="00613409" w:rsidR="00EA3F40" w:rsidRDefault="00613409" w:rsidRPr="0097021E">
      <w:pPr>
        <w:tabs>
          <w:tab w:pos="825" w:val="left"/>
        </w:tabs>
        <w:adjustRightInd w:val="0"/>
        <w:snapToGrid w:val="0"/>
        <w:spacing w:line="360" w:lineRule="auto"/>
        <w:rPr>
          <w:rFonts w:ascii="宋体"/>
          <w:color w:val="000000"/>
          <w:sz w:val="24"/>
        </w:rPr>
      </w:pPr>
      <w:r>
        <w:rPr>
          <w:rFonts w:ascii="宋体"/>
          <w:color w:val="000000"/>
          <w:sz w:val="24"/>
        </w:rPr>
        <w:tab/>
      </w:r>
    </w:p>
    <w:p w:rsidP="00CB6152" w:rsidR="00CB6152" w:rsidRDefault="00EA3F40" w:rsidRPr="00CB6152">
      <w:pPr>
        <w:snapToGrid w:val="0"/>
        <w:spacing w:before="312" w:beforeLines="100" w:line="360" w:lineRule="auto"/>
        <w:rPr>
          <w:rFonts w:hAnsi="宋体"/>
          <w:color w:val="000000"/>
          <w:sz w:val="24"/>
        </w:rPr>
      </w:pPr>
      <w:r w:rsidRPr="00613409">
        <w:rPr>
          <w:color w:val="000000"/>
          <w:kern w:val="0"/>
          <w:sz w:val="24"/>
        </w:rPr>
        <w:t>易方达龙宝货币B</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（2014年9月12日至2020年6月30日）</w:t>
      </w:r>
    </w:p>
    <w:p w:rsidP="00196812" w:rsidR="00EA3F40" w:rsidRDefault="00B261EB" w:rsidRPr="0097021E">
      <w:pPr>
        <w:snapToGrid w:val="0"/>
        <w:spacing w:line="360" w:lineRule="auto"/>
        <w:jc w:val="center"/>
        <w:rPr>
          <w:rFonts w:ascii="宋体"/>
          <w:color w:val="000000"/>
          <w:sz w:val="24"/>
        </w:rPr>
      </w:pPr>
      <w:r>
        <w:rPr>
          <w:rFonts w:ascii="宋体"/>
          <w:noProof/>
          <w:color w:val="000000"/>
          <w:sz w:val="24"/>
        </w:rPr>
        <w:lastRenderedPageBreak/>
        <w:pict>
          <v:shape id="图片 2" o:spid="_x0000_i1026" style="width:452.25pt;height:267pt;visibility:visible" type="#_x0000_t75">
            <v:imagedata o:title="" r:id="rId11"/>
          </v:shape>
        </w:pict>
      </w:r>
    </w:p>
    <w:p w:rsidP="00CB6152" w:rsidR="00CB6152" w:rsidRDefault="00EA3F40" w:rsidRPr="00CB6152">
      <w:pPr>
        <w:snapToGrid w:val="0"/>
        <w:spacing w:before="312" w:beforeLines="100" w:line="360" w:lineRule="auto"/>
        <w:rPr>
          <w:rFonts w:hAnsi="宋体"/>
          <w:color w:val="000000"/>
          <w:sz w:val="24"/>
        </w:rPr>
      </w:pPr>
      <w:r w:rsidRPr="00613409">
        <w:rPr>
          <w:color w:val="000000"/>
          <w:kern w:val="0"/>
          <w:sz w:val="24"/>
        </w:rPr>
        <w:t>易方达龙宝货币C</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（2017年8月30日至2020年6月30日）</w:t>
      </w:r>
    </w:p>
    <w:p w:rsidP="00220437" w:rsidR="00EA3F40" w:rsidRDefault="00B261EB" w:rsidRPr="000A39AB">
      <w:pPr>
        <w:autoSpaceDE w:val="0"/>
        <w:autoSpaceDN w:val="0"/>
        <w:adjustRightInd w:val="0"/>
        <w:spacing w:line="360" w:lineRule="auto"/>
        <w:jc w:val="center"/>
        <w:rPr>
          <w:rFonts w:ascii="宋体"/>
          <w:color w:val="000000"/>
          <w:sz w:val="24"/>
        </w:rPr>
      </w:pPr>
      <w:r>
        <w:rPr>
          <w:rFonts w:ascii="宋体"/>
          <w:noProof/>
          <w:color w:val="000000"/>
          <w:sz w:val="24"/>
        </w:rPr>
        <w:pict>
          <v:shape id="图片 6" o:spid="_x0000_i1027" style="width:452.25pt;height:267pt;visibility:visible" type="#_x0000_t75">
            <v:imagedata o:title="" r:id="rId12"/>
          </v:shape>
        </w:pict>
      </w:r>
    </w:p>
    <w:p>
      <w:pPr>
        <w:adjustRightInd w:val="0"/>
        <w:spacing w:line="360" w:lineRule="auto"/>
        <w:ind w:firstLine="480" w:firstLineChars="200"/>
        <w:rPr>
          <w:color w:val="000000"/>
          <w:sz w:val="24"/>
        </w:rPr>
      </w:pPr>
      <w:r>
        <w:rPr>
          <w:color w:val="000000"/>
          <w:sz w:val="24"/>
        </w:rPr>
        <w:t>注：1.自2017年8月29日起,本基金增设C类份额类别,份额首次确认日为2017年8月30日,增设当期的相关数据和指标按实际存续期计算。</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lastRenderedPageBreak/>
        <w:t>2.自基金合同生效至报告期末，A类基金份额净值收益率为20.5635%，B类基金份额净值收益率为22.2510%，同期业绩比较基准收益率为8.2703%。C类基金份额净值收益率为9.6020%，同期业绩比较基准收益率为3.9614%。</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4  </w:t>
      </w:r>
      <w:r w:rsidRPr="0097021E">
        <w:rPr>
          <w:rFonts w:ascii="宋体" w:cs="Arial" w:hAnsi="宋体" w:hint="eastAsia"/>
          <w:color w:val="000000"/>
          <w:kern w:val="0"/>
          <w:sz w:val="24"/>
          <w:szCs w:val="24"/>
        </w:rPr>
        <w:t>管理人报告</w:t>
      </w:r>
    </w:p>
    <w:p w:rsidP="00E23C1B" w:rsidR="00E23C1B" w:rsidRDefault="00EA3F40" w:rsidRPr="0078105B">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4.1 </w:t>
      </w:r>
      <w:r w:rsidRPr="0097021E">
        <w:rPr>
          <w:rFonts w:ascii="宋体" w:cs="Arial" w:hAnsi="宋体" w:hint="eastAsia"/>
          <w:b/>
          <w:color w:val="000000"/>
          <w:kern w:val="0"/>
          <w:sz w:val="24"/>
        </w:rPr>
        <w:t>基金经理</w:t>
      </w:r>
      <w:r w:rsidR="007C3671">
        <w:rPr>
          <w:rFonts w:ascii="宋体" w:cs="Arial" w:hAnsi="宋体" w:hint="eastAsia"/>
          <w:b/>
          <w:color w:val="000000"/>
          <w:kern w:val="0"/>
          <w:sz w:val="24"/>
        </w:rPr>
        <w:t>（</w:t>
      </w:r>
      <w:r w:rsidR="007C3671" w:rsidRPr="0097021E">
        <w:rPr>
          <w:rFonts w:ascii="宋体" w:cs="Arial" w:hAnsi="宋体" w:hint="eastAsia"/>
          <w:b/>
          <w:color w:val="000000"/>
          <w:kern w:val="0"/>
          <w:sz w:val="24"/>
        </w:rPr>
        <w:t>或基金经理小组</w:t>
      </w:r>
      <w:r w:rsidR="007C3671">
        <w:rPr>
          <w:rFonts w:ascii="宋体" w:cs="Arial" w:hAnsi="宋体" w:hint="eastAsia"/>
          <w:b/>
          <w:color w:val="000000"/>
          <w:kern w:val="0"/>
          <w:sz w:val="24"/>
        </w:rPr>
        <w:t>）</w:t>
      </w:r>
      <w:r w:rsidRPr="0097021E">
        <w:rPr>
          <w:rFonts w:ascii="宋体" w:cs="Arial" w:hAnsi="宋体" w:hint="eastAsia"/>
          <w:b/>
          <w:color w:val="000000"/>
          <w:kern w:val="0"/>
          <w:sz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E23C1B" w:rsidRPr="0078105B" w:rsidTr="002E41BD">
        <w:trPr>
          <w:cantSplit/>
        </w:trPr>
        <w:tc>
          <w:tcPr>
            <w:tcW w:type="dxa" w:w="567"/>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E23C1B" w:rsidRPr="0078105B" w:rsidTr="002E41BD">
        <w:trPr>
          <w:cantSplit/>
        </w:trPr>
        <w:tc>
          <w:tcPr>
            <w:tcW w:type="dxa" w:w="567"/>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2835"/>
            <w:vMerge/>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石大怿</w:t>
            </w:r>
          </w:p>
        </w:tc>
        <w:tc>
          <w:tcPr>
            <w:vAlign w:val="center"/>
          </w:tcPr>
          <w:p>
            <w:pPr>
              <w:jc w:val="left"/>
            </w:pPr>
            <w:r>
              <w:rPr>
                <w:color w:val="000000"/>
                <w:sz w:val="24"/>
              </w:rPr>
              <w:t>本基金的基金经理、易方达月月利理财债券型证券投资基金的基金经理、易方达天天理财货币市场基金的基金经理、易方达保证金收益货币市场基金的基金经理、易方达货币市场基金的基金经理、易方达易理财货币市场基金的基金经理、易方达财富快线货币市场基金的基金经理、易方达天天增利货币市场基金的基金经理、易方达现金增利货币市场基金的基金经理、易方达天天发货币市场基金的基金经理、易方达掌柜季季盈理财债券型证券投资基金的基金经理、易方达安瑞短债债券型证券投资基金的基金经理、易方达恒安定期开放债券型发起式证券投资基金的基金经理助理</w:t>
            </w:r>
          </w:p>
        </w:tc>
        <w:tc>
          <w:tcPr>
            <w:vAlign w:val="center"/>
          </w:tcPr>
          <w:p>
            <w:pPr>
              <w:jc w:val="center"/>
            </w:pPr>
            <w:r>
              <w:rPr>
                <w:color w:val="000000"/>
                <w:sz w:val="24"/>
              </w:rPr>
              <w:t>2014-09-12</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南方基金管理有限公司交易管理部交易员，易方达基金管理有限公司集中交易室债券交易员、固定收益部基金经理助理、易方达双月利理财债券型证券投资基金基金经理、易方达新鑫灵活配置混合型证券投资基金基金经理助理。</w:t>
            </w:r>
          </w:p>
        </w:tc>
      </w:tr>
      <w:tr>
        <w:tc>
          <w:tcPr>
            <w:vAlign w:val="center"/>
          </w:tcPr>
          <w:p>
            <w:pPr>
              <w:jc w:val="center"/>
            </w:pPr>
            <w:r>
              <w:rPr>
                <w:color w:val="000000"/>
                <w:sz w:val="24"/>
              </w:rPr>
              <w:t>梁莹</w:t>
            </w:r>
          </w:p>
        </w:tc>
        <w:tc>
          <w:tcPr>
            <w:vAlign w:val="center"/>
          </w:tcPr>
          <w:p>
            <w:pPr>
              <w:jc w:val="left"/>
            </w:pPr>
            <w:r>
              <w:rPr>
                <w:color w:val="000000"/>
                <w:sz w:val="24"/>
              </w:rPr>
              <w:t>本基金的基金经理、易方达月月利理财债券型证券投资基金的基金经理、易方达增金宝货币市场基金的基金经理、易方达天天增利货币市场基金的基金经理、易方达财富快线货币市场基金的基金经理、易方达现金增利货币市场基金的基金经理、易方达掌柜季季盈理财债券型证券投资基金的基金经理、易方达保证金收益货币市场基金的基金经理、易方达安悦超短债债券型证券投资基金的基金经理、易方达货币市场基金的基金经理助理、易方达天天理财货币市场基金的基金经理助理、易方达易理财货币市场基金的基金经理助理、易方达天天发货币市场基金的基金经理助理、投资经理</w:t>
            </w:r>
          </w:p>
        </w:tc>
        <w:tc>
          <w:tcPr>
            <w:vAlign w:val="center"/>
          </w:tcPr>
          <w:p>
            <w:pPr>
              <w:jc w:val="center"/>
            </w:pPr>
            <w:r>
              <w:rPr>
                <w:color w:val="000000"/>
                <w:sz w:val="24"/>
              </w:rPr>
              <w:t>2015-03-17</w:t>
            </w:r>
          </w:p>
        </w:tc>
        <w:tc>
          <w:tcPr>
            <w:vAlign w:val="center"/>
          </w:tcPr>
          <w:p>
            <w:pPr>
              <w:jc w:val="center"/>
            </w:pPr>
            <w:r>
              <w:rPr>
                <w:color w:val="000000"/>
                <w:sz w:val="24"/>
              </w:rPr>
              <w:t>-</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招商证券股份有限公司债券销售交易部交易员，易方达基金管理有限公司固定收益交易员、易方达保证金收益货币市场基金基金经理助理、易方达双月利理财债券型证券投资基金基金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E23C1B" w:rsidR="00EA3F40" w:rsidRDefault="00E23C1B" w:rsidRPr="00613409">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4.2 </w:t>
      </w:r>
      <w:r w:rsidRPr="0044342F">
        <w:rPr>
          <w:rFonts w:ascii="宋体" w:cs="Arial" w:hAnsi="宋体" w:hint="eastAsia"/>
          <w:b/>
          <w:color w:val="000000"/>
          <w:kern w:val="0"/>
          <w:sz w:val="24"/>
        </w:rPr>
        <w:t>管理人对报告期内本基金运作遵规守信情况的说明</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A755D" w:rsidR="00EA3F40" w:rsidRDefault="00EA3F40" w:rsidRPr="0097021E">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4.3 </w:t>
      </w:r>
      <w:r w:rsidRPr="0097021E">
        <w:rPr>
          <w:rFonts w:ascii="宋体" w:cs="Arial" w:hAnsi="宋体" w:hint="eastAsia"/>
          <w:b/>
          <w:color w:val="000000"/>
          <w:kern w:val="0"/>
          <w:sz w:val="24"/>
        </w:rPr>
        <w:t>公平交易专项说明</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4.3.1</w:t>
        </w:r>
      </w:smartTag>
      <w:r w:rsidRPr="0097021E">
        <w:rPr>
          <w:rFonts w:ascii="宋体" w:hAnsi="宋体"/>
          <w:sz w:val="24"/>
        </w:rPr>
        <w:t xml:space="preserve"> </w:t>
      </w:r>
      <w:r w:rsidRPr="0097021E">
        <w:rPr>
          <w:rFonts w:ascii="宋体" w:hAnsi="宋体" w:hint="eastAsia"/>
          <w:sz w:val="24"/>
        </w:rPr>
        <w:t>公平交易制度的执行情况</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4.3.2</w:t>
        </w:r>
      </w:smartTag>
      <w:r w:rsidRPr="0097021E">
        <w:rPr>
          <w:rFonts w:ascii="宋体" w:hAnsi="宋体"/>
          <w:sz w:val="24"/>
        </w:rPr>
        <w:t xml:space="preserve"> </w:t>
      </w:r>
      <w:r w:rsidRPr="0097021E">
        <w:rPr>
          <w:rFonts w:ascii="宋体" w:hAnsi="宋体" w:hint="eastAsia"/>
          <w:sz w:val="24"/>
        </w:rPr>
        <w:t>异常交易行为的专项说明</w:t>
      </w:r>
    </w:p>
    <w:p>
      <w:pPr>
        <w:adjustRightInd w:val="0"/>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本报告期内，未发现本基金有可能导致不公平交易和利益输送的异常交易。</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4.4 </w:t>
      </w:r>
      <w:r w:rsidRPr="0097021E">
        <w:rPr>
          <w:rFonts w:ascii="宋体" w:cs="Arial" w:hAnsi="宋体" w:hint="eastAsia"/>
          <w:b/>
          <w:color w:val="000000"/>
          <w:kern w:val="0"/>
          <w:sz w:val="24"/>
        </w:rPr>
        <w:t>报告期内基金的投资策略和业绩表现说明</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4.4.1</w:t>
        </w:r>
      </w:smartTag>
      <w:r w:rsidRPr="0097021E">
        <w:rPr>
          <w:rFonts w:ascii="宋体" w:hAnsi="宋体" w:hint="eastAsia"/>
          <w:sz w:val="24"/>
        </w:rPr>
        <w:t>报告期内基金投资策略和运作分析</w:t>
      </w:r>
    </w:p>
    <w:p>
      <w:pPr>
        <w:adjustRightInd w:val="0"/>
        <w:spacing w:line="360" w:lineRule="auto"/>
        <w:ind w:firstLine="480" w:firstLineChars="200"/>
        <w:rPr>
          <w:color w:val="000000"/>
          <w:sz w:val="24"/>
        </w:rPr>
      </w:pPr>
      <w:r>
        <w:rPr>
          <w:color w:val="000000"/>
          <w:sz w:val="24"/>
        </w:rPr>
        <w:t>2020年二季度，宏观经济总体来看呈现边际企稳复苏的态势。4月工业增加值同比增长3.9%，5月工业增加值同比增长4.4%，显示虽然经济回升的速度在放缓，但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adjustRightInd w:val="0"/>
        <w:spacing w:line="360" w:lineRule="auto"/>
        <w:ind w:firstLine="480" w:firstLineChars="200"/>
        <w:rPr>
          <w:color w:val="000000"/>
          <w:sz w:val="24"/>
        </w:rPr>
      </w:pPr>
      <w:r>
        <w:rPr>
          <w:color w:val="000000"/>
          <w:sz w:val="24"/>
        </w:rPr>
        <w:t>债券市场在二季度收益率先下后上，波动较大。季初，受海内外疫情继续发酵的持续影响，市场风险偏好仍处于相对低位。清明节期间，央行实行了定向降准，同时将超额准备金利率从0.72%下调到0.35%，资金面整体更加宽松，债券市场各期限收益率快速下行。5月上旬，货币政策进一步宽松的程度不及市场预期，随着央行开始打击资金空转套利，货币市场各资产收益率出现小幅上行，货币市场在5月底呈现短期紧张。在此期间，叠加经济修复延续，债券市场长端收益率开始上行。随后，社融放量强化了经济修复预期，债券收益率进一步大幅上行，货币市场上行幅度更大，收益率曲线呈现出熊平趋势。进入6月，货币环境仍未好转，在此期间，地方债巨量发行，债券市场市场情绪进一步悲观，一级市场发行利率不断上行，推动二级市场各期限债券收益率持续大幅上行。直到半年末，央行开启公开市场逆回购操作呵护半年末流动性后，市场情绪有所恢复，债券市场和货币市场收益率趋于稳定。信用债走势与利率债类似，全季来看收益率整体大幅上行。</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操作方面，报告期内基金以同业存单、同业存款、短期逆回购为主要配置资产，同时根据自身的客户结构特性进行了资产配置，维持了适当的剩余期限和杠杆率。总体来看，组合在二季度保持了较好的流动性和稳定的收益率。</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4.4.2</w:t>
        </w:r>
      </w:smartTag>
      <w:r w:rsidRPr="0097021E">
        <w:rPr>
          <w:rFonts w:ascii="宋体" w:hAnsi="宋体" w:hint="eastAsia"/>
          <w:sz w:val="24"/>
        </w:rPr>
        <w:t>报告期内基金的业绩表现</w:t>
      </w:r>
    </w:p>
    <w:p w:rsidP="00613409" w:rsidR="00EA3F40" w:rsidRDefault="00EA3F40" w:rsidRPr="00613409">
      <w:pPr>
        <w:adjustRightInd w:val="0"/>
        <w:spacing w:line="360" w:lineRule="auto"/>
        <w:ind w:firstLine="480" w:firstLineChars="200"/>
        <w:rPr>
          <w:color w:val="000000"/>
          <w:sz w:val="24"/>
        </w:rPr>
      </w:pPr>
      <w:bookmarkStart w:id="0" w:name="_Toc255486598"/>
      <w:bookmarkStart w:id="1" w:name="_Toc245193825"/>
      <w:r w:rsidRPr="001752C7">
        <w:rPr>
          <w:color w:val="000000"/>
          <w:sz w:val="24"/>
        </w:rPr>
        <w:t>本基金本报告期内A类基金份额净值收益率为0.4554%，同期业绩比较基准收益率为0.3418%；B类基金份额净值收益率为0.5154%，同期业绩比较基准收益率为0.3418%；C类基金份额净值收益率为0.5055%，同期业绩比较基准收益率为0.3418%。</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5  </w:t>
      </w:r>
      <w:r w:rsidRPr="0097021E">
        <w:rPr>
          <w:rFonts w:ascii="宋体" w:cs="Arial" w:hAnsi="宋体" w:hint="eastAsia"/>
          <w:color w:val="000000"/>
          <w:kern w:val="0"/>
          <w:sz w:val="24"/>
          <w:szCs w:val="24"/>
        </w:rPr>
        <w:t>投资组合报告</w:t>
      </w:r>
    </w:p>
    <w:p w:rsidP="003A0EC1"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5.1 </w:t>
      </w:r>
      <w:r w:rsidRPr="0097021E">
        <w:rPr>
          <w:rFonts w:ascii="宋体" w:cs="Arial" w:hAnsi="宋体" w:hint="eastAsia"/>
          <w:b/>
          <w:color w:val="000000"/>
          <w:kern w:val="0"/>
          <w:sz w:val="24"/>
        </w:rPr>
        <w:t>报告期末基金资产组合情况</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3119"/>
        <w:gridCol w:w="1843"/>
      </w:tblGrid>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序号</w:t>
            </w:r>
          </w:p>
        </w:tc>
        <w:tc>
          <w:tcPr>
            <w:tcW w:type="dxa" w:w="3357"/>
            <w:vAlign w:val="center"/>
          </w:tcPr>
          <w:p w:rsidP="00196812" w:rsidR="00EA3F40" w:rsidRDefault="00EA3F40" w:rsidRPr="00613409">
            <w:pPr>
              <w:spacing w:before="29" w:line="360" w:lineRule="auto"/>
              <w:ind w:left="17"/>
              <w:jc w:val="center"/>
              <w:rPr>
                <w:color w:val="000000"/>
                <w:sz w:val="24"/>
              </w:rPr>
            </w:pPr>
            <w:r w:rsidRPr="00613409">
              <w:rPr>
                <w:color w:val="000000"/>
                <w:sz w:val="24"/>
              </w:rPr>
              <w:t>项目</w:t>
            </w:r>
          </w:p>
        </w:tc>
        <w:tc>
          <w:tcPr>
            <w:tcW w:type="dxa" w:w="3119"/>
            <w:vAlign w:val="center"/>
          </w:tcPr>
          <w:p w:rsidP="007C3671" w:rsidR="00EA3F40" w:rsidRDefault="00EA3F40" w:rsidRPr="00613409">
            <w:pPr>
              <w:spacing w:before="29" w:line="360" w:lineRule="auto"/>
              <w:ind w:left="17"/>
              <w:jc w:val="center"/>
              <w:rPr>
                <w:color w:val="000000"/>
                <w:sz w:val="24"/>
              </w:rPr>
            </w:pPr>
            <w:r w:rsidRPr="00613409">
              <w:rPr>
                <w:color w:val="000000"/>
                <w:sz w:val="24"/>
              </w:rPr>
              <w:t>金额</w:t>
            </w:r>
            <w:r w:rsidR="007C3671" w:rsidRPr="00613409">
              <w:rPr>
                <w:color w:val="000000"/>
                <w:sz w:val="24"/>
              </w:rPr>
              <w:t>（元）</w:t>
            </w:r>
          </w:p>
        </w:tc>
        <w:tc>
          <w:tcPr>
            <w:tcW w:type="dxa" w:w="1843"/>
            <w:vAlign w:val="center"/>
          </w:tcPr>
          <w:p w:rsidP="007C3671" w:rsidR="00EA3F40" w:rsidRDefault="00EA3F40" w:rsidRPr="00613409">
            <w:pPr>
              <w:spacing w:before="29" w:line="360" w:lineRule="auto"/>
              <w:ind w:left="17"/>
              <w:jc w:val="center"/>
              <w:rPr>
                <w:color w:val="000000"/>
                <w:sz w:val="24"/>
              </w:rPr>
            </w:pPr>
            <w:r w:rsidRPr="00613409">
              <w:rPr>
                <w:color w:val="000000"/>
                <w:sz w:val="24"/>
              </w:rPr>
              <w:t>占基金总资产的比例</w:t>
            </w:r>
            <w:r w:rsidR="007C3671" w:rsidRPr="00613409">
              <w:rPr>
                <w:color w:val="000000"/>
                <w:sz w:val="24"/>
              </w:rPr>
              <w:t>（</w:t>
            </w:r>
            <w:r w:rsidR="007C3671" w:rsidRPr="00613409">
              <w:rPr>
                <w:color w:val="000000"/>
                <w:sz w:val="24"/>
              </w:rPr>
              <w:t>%</w:t>
            </w:r>
            <w:r w:rsidR="007C3671"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1</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固定收益投资</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537,782,155.58</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42.58</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其中：债券</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527,782,155.58</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41.79</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9216A0" w:rsidR="00EA3F40" w:rsidRDefault="00EA3F40" w:rsidRPr="00613409">
            <w:pPr>
              <w:autoSpaceDE w:val="0"/>
              <w:autoSpaceDN w:val="0"/>
              <w:adjustRightInd w:val="0"/>
              <w:spacing w:before="29" w:line="360" w:lineRule="auto"/>
              <w:ind w:firstLine="720" w:firstLineChars="300" w:left="17"/>
              <w:jc w:val="left"/>
              <w:rPr>
                <w:color w:val="000000"/>
                <w:sz w:val="24"/>
              </w:rPr>
            </w:pPr>
            <w:r w:rsidRPr="00613409">
              <w:rPr>
                <w:color w:val="000000"/>
                <w:sz w:val="24"/>
              </w:rPr>
              <w:t>资产支持证券</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10,000,000.00</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0.79</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2</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买入返售金融资产</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480,063,315.60</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
            </w:r>
            <w:r w:rsidRPr="00613409">
              <w:rPr>
                <w:color w:val="000000"/>
                <w:sz w:val="24"/>
              </w:rPr>
              <w:lastRenderedPageBreak/>
              <w:t>38.01</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其中：买断式回购的买入返售金融资产</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3</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银行存款和结算备付金合计</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219,369,547.34</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17.37</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4</w:t>
            </w:r>
          </w:p>
        </w:tc>
        <w:tc>
          <w:tcPr>
            <w:tcW w:type="dxa" w:w="3357"/>
            <w:vAlign w:val="center"/>
          </w:tcPr>
          <w:p w:rsidP="00196812" w:rsidR="00EA3F40" w:rsidRDefault="00EA3F40" w:rsidRPr="00613409">
            <w:pPr>
              <w:spacing w:line="360" w:lineRule="auto"/>
              <w:jc w:val="left"/>
              <w:rPr>
                <w:sz w:val="24"/>
              </w:rPr>
            </w:pPr>
            <w:r w:rsidRPr="00613409">
              <w:rPr>
                <w:color w:val="000000"/>
                <w:sz w:val="24"/>
              </w:rPr>
              <w:t>其他资产</w:t>
            </w:r>
          </w:p>
        </w:tc>
        <w:tc>
          <w:tcPr>
            <w:tcW w:type="dxa" w:w="3119"/>
            <w:vAlign w:val="center"/>
          </w:tcPr>
          <w:p w:rsidP="00196812" w:rsidR="00EA3F40" w:rsidRDefault="00EA3F40" w:rsidRPr="00613409">
            <w:pPr>
              <w:spacing w:line="360" w:lineRule="auto"/>
              <w:jc w:val="right"/>
              <w:rPr>
                <w:color w:val="000000"/>
                <w:sz w:val="24"/>
              </w:rPr>
            </w:pPr>
            <w:r w:rsidRPr="00613409">
              <w:rPr>
                <w:color w:val="000000"/>
                <w:sz w:val="24"/>
              </w:rPr>
              <w:t>25,766,158.09</w:t>
            </w:r>
          </w:p>
        </w:tc>
        <w:tc>
          <w:tcPr>
            <w:tcW w:type="dxa" w:w="1843"/>
            <w:vAlign w:val="center"/>
          </w:tcPr>
          <w:p w:rsidP="00196812" w:rsidR="00EA3F40" w:rsidRDefault="00EA3F40" w:rsidRPr="00613409">
            <w:pPr>
              <w:spacing w:line="360" w:lineRule="auto"/>
              <w:jc w:val="right"/>
              <w:rPr>
                <w:color w:val="000000"/>
                <w:sz w:val="24"/>
              </w:rPr>
            </w:pPr>
            <w:r w:rsidRPr="00613409">
              <w:rPr>
                <w:color w:val="000000"/>
                <w:sz w:val="24"/>
              </w:rPr>
              <w:t/>
            </w:r>
            <w:r w:rsidRPr="00613409">
              <w:rPr>
                <w:color w:val="000000"/>
                <w:sz w:val="24"/>
              </w:rPr>
              <w:lastRenderedPageBreak/>
              <w:t>2.04</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lastRenderedPageBreak/>
              <w:t>5</w:t>
            </w:r>
          </w:p>
        </w:tc>
        <w:tc>
          <w:tcPr>
            <w:tcW w:type="dxa" w:w="3357"/>
            <w:vAlign w:val="center"/>
          </w:tcPr>
          <w:p w:rsidP="00196812" w:rsidR="00EA3F40" w:rsidRDefault="00EA3F40" w:rsidRPr="00613409">
            <w:pPr>
              <w:spacing w:line="360" w:lineRule="auto"/>
              <w:jc w:val="left"/>
              <w:rPr>
                <w:sz w:val="24"/>
              </w:rPr>
            </w:pPr>
            <w:r w:rsidRPr="00613409">
              <w:rPr>
                <w:color w:val="000000"/>
                <w:sz w:val="24"/>
              </w:rPr>
              <w:t>合计</w:t>
            </w:r>
          </w:p>
        </w:tc>
        <w:tc>
          <w:tcPr>
            <w:tcW w:type="dxa" w:w="3119"/>
            <w:vAlign w:val="center"/>
          </w:tcPr>
          <w:p w:rsidP="00196812" w:rsidR="00EA3F40" w:rsidRDefault="00EA3F40" w:rsidRPr="00613409">
            <w:pPr>
              <w:spacing w:line="360" w:lineRule="auto"/>
              <w:jc w:val="right"/>
              <w:rPr>
                <w:color w:val="000000"/>
                <w:sz w:val="24"/>
              </w:rPr>
            </w:pPr>
            <w:r w:rsidRPr="00613409">
              <w:rPr>
                <w:color w:val="000000"/>
                <w:sz w:val="24"/>
              </w:rPr>
              <w:t>1,262,981,176.61</w:t>
            </w:r>
          </w:p>
        </w:tc>
        <w:tc>
          <w:tcPr>
            <w:tcW w:type="dxa" w:w="1843"/>
            <w:vAlign w:val="center"/>
          </w:tcPr>
          <w:p w:rsidP="00196812" w:rsidR="00EA3F40" w:rsidRDefault="00EA3F40" w:rsidRPr="00613409">
            <w:pPr>
              <w:spacing w:line="360" w:lineRule="auto"/>
              <w:jc w:val="right"/>
              <w:rPr>
                <w:color w:val="000000"/>
                <w:sz w:val="24"/>
              </w:rPr>
            </w:pPr>
            <w:r w:rsidRPr="00613409">
              <w:rPr>
                <w:color w:val="000000"/>
                <w:sz w:val="24"/>
              </w:rPr>
              <w:t>100.00</w:t>
            </w:r>
          </w:p>
        </w:tc>
      </w:tr>
    </w:tbl>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5.2 </w:t>
      </w:r>
      <w:r w:rsidRPr="0097021E">
        <w:rPr>
          <w:rFonts w:ascii="宋体" w:cs="Arial" w:hAnsi="宋体" w:hint="eastAsia"/>
          <w:b/>
          <w:color w:val="000000"/>
          <w:kern w:val="0"/>
          <w:sz w:val="24"/>
        </w:rPr>
        <w:t>报告期债券回购融资情况</w:t>
      </w:r>
    </w:p>
    <w:tbl>
      <w:tblPr>
        <w:tblW w:type="auto" w:w="0"/>
        <w:tblInd w:type="dxa" w:w="108"/>
        <w:tblLayout w:type="fixed"/>
        <w:tblLook w:firstColumn="0" w:firstRow="0" w:lastColumn="0" w:lastRow="0" w:noHBand="0" w:noVBand="0" w:val="0000"/>
      </w:tblPr>
      <w:tblGrid>
        <w:gridCol w:w="861"/>
        <w:gridCol w:w="3108"/>
        <w:gridCol w:w="2977"/>
        <w:gridCol w:w="2126"/>
      </w:tblGrid>
      <w:tr w:rsidR="00EA3F40" w:rsidRPr="0097021E" w:rsidTr="00F11244">
        <w:tc>
          <w:tcPr>
            <w:tcW w:type="dxa" w:w="861"/>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序号</w:t>
            </w:r>
          </w:p>
        </w:tc>
        <w:tc>
          <w:tcPr>
            <w:tcW w:type="dxa" w:w="3108"/>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项目</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占基金资产净值的比例（％）</w:t>
            </w:r>
          </w:p>
        </w:tc>
      </w:tr>
      <w:tr w:rsidR="00EA3F40" w:rsidRPr="0097021E" w:rsidTr="00F11244">
        <w:tc>
          <w:tcPr>
            <w:tcW w:type="dxa" w:w="861"/>
            <w:tcBorders>
              <w:top w:color="000000" w:space="0" w:sz="8" w:val="single"/>
              <w:left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1</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报告期内债券回购融资余额</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9.61</w:t>
            </w:r>
          </w:p>
        </w:tc>
      </w:tr>
      <w:tr w:rsidR="00EA3F40" w:rsidRPr="0097021E" w:rsidTr="00F11244">
        <w:trPr>
          <w:trHeight w:val="712"/>
        </w:trPr>
        <w:tc>
          <w:tcPr>
            <w:tcW w:type="dxa" w:w="861"/>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其中：买断式回购融资</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r>
      <w:tr w:rsidR="00EA3F40" w:rsidRPr="0097021E" w:rsidTr="00F11244">
        <w:tc>
          <w:tcPr>
            <w:tcW w:type="dxa" w:w="861"/>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r w:rsidRPr="00613409">
              <w:rPr>
                <w:color w:val="000000"/>
                <w:kern w:val="0"/>
                <w:sz w:val="24"/>
              </w:rPr>
              <w:t>序号</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项目</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金额</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color w:val="000000"/>
                <w:kern w:val="0"/>
                <w:sz w:val="24"/>
              </w:rPr>
              <w:t>占基金资产净值的比例（％）</w:t>
            </w:r>
          </w:p>
        </w:tc>
      </w:tr>
      <w:tr w:rsidR="00EA3F40" w:rsidRPr="0097021E" w:rsidTr="00F11244">
        <w:tc>
          <w:tcPr>
            <w:tcW w:type="dxa" w:w="861"/>
            <w:vMerge w:val="restart"/>
            <w:tcBorders>
              <w:top w:color="000000" w:space="0" w:sz="8" w:val="single"/>
              <w:left w:color="000000" w:space="0" w:sz="8" w:val="single"/>
              <w:right w:color="000000" w:space="0" w:sz="8" w:val="single"/>
            </w:tcBorders>
            <w:vAlign w:val="center"/>
          </w:tcPr>
          <w:p w:rsidP="00196812" w:rsidR="00EA3F40" w:rsidRDefault="00EA3F40" w:rsidRPr="00613409">
            <w:pPr>
              <w:spacing w:line="360" w:lineRule="auto"/>
              <w:rPr>
                <w:color w:val="000000"/>
                <w:sz w:val="24"/>
              </w:rPr>
            </w:pPr>
            <w:r w:rsidRPr="00613409">
              <w:rPr>
                <w:color w:val="000000"/>
                <w:sz w:val="24"/>
              </w:rPr>
              <w:t>2</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报告期末债券回购融资余额</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97,094,751.45</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8.35</w:t>
            </w:r>
          </w:p>
        </w:tc>
      </w:tr>
      <w:tr w:rsidR="00EA3F40" w:rsidRPr="0097021E" w:rsidTr="00F11244">
        <w:tc>
          <w:tcPr>
            <w:tcW w:type="dxa" w:w="861"/>
            <w:vMerge/>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其中：买断式回购融资</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r>
    </w:tbl>
    <w:p w:rsidP="00613409" w:rsidR="00EA3F40" w:rsidRDefault="00EA3F40" w:rsidRPr="00613409">
      <w:pPr>
        <w:adjustRightInd w:val="0"/>
        <w:spacing w:line="360" w:lineRule="auto"/>
        <w:ind w:firstLine="480" w:firstLineChars="200"/>
        <w:rPr>
          <w:color w:val="000000"/>
          <w:sz w:val="24"/>
        </w:rPr>
      </w:pPr>
      <w:r w:rsidRPr="001752C7">
        <w:rPr>
          <w:color w:val="000000"/>
          <w:sz w:val="24"/>
        </w:rPr>
        <w:t>注：上表中报告期内债券回购融资余额占基金资产净值的比例为报告期内每个交易日融资余额占基金资产净值比例的简单平均值。</w:t>
      </w:r>
    </w:p>
    <w:p w:rsidP="00196812" w:rsidR="00EA3F40" w:rsidRDefault="00EA3F40" w:rsidRPr="003A0EC1">
      <w:pPr>
        <w:spacing w:line="360" w:lineRule="auto"/>
        <w:rPr>
          <w:rFonts w:ascii="宋体" w:cs="Arial"/>
          <w:b/>
          <w:color w:val="000000"/>
          <w:kern w:val="0"/>
          <w:sz w:val="24"/>
        </w:rPr>
      </w:pPr>
      <w:r w:rsidRPr="003A0EC1">
        <w:rPr>
          <w:rFonts w:ascii="宋体" w:cs="Arial"/>
          <w:b/>
          <w:color w:val="000000"/>
          <w:kern w:val="0"/>
          <w:sz w:val="24"/>
        </w:rPr>
        <w:t/>
      </w:r>
      <w:r w:rsidRPr="003A0EC1">
        <w:rPr>
          <w:rFonts w:ascii="宋体" w:cs="Arial" w:hAnsi="宋体"/>
          <w:b/>
          <w:color w:val="000000"/>
          <w:kern w:val="0"/>
          <w:sz w:val="24"/>
        </w:rPr>
        <w:t/>
      </w:r>
      <w:r w:rsidRPr="003A0EC1">
        <w:rPr>
          <w:rFonts w:ascii="宋体" w:cs="Arial" w:hAnsi="宋体" w:hint="eastAsia"/>
          <w:b/>
          <w:color w:val="000000"/>
          <w:kern w:val="0"/>
          <w:sz w:val="24"/>
        </w:rPr>
        <w:t>债券正回购的资金余额超过基金资产净值的</w:t>
      </w:r>
      <w:r w:rsidRPr="003A0EC1">
        <w:rPr>
          <w:rFonts w:ascii="宋体" w:cs="Arial" w:hAnsi="宋体"/>
          <w:b/>
          <w:color w:val="000000"/>
          <w:kern w:val="0"/>
          <w:sz w:val="24"/>
        </w:rPr>
        <w:t>20</w:t>
      </w:r>
      <w:r w:rsidRPr="003A0EC1">
        <w:rPr>
          <w:rFonts w:ascii="宋体" w:cs="Arial" w:hAnsi="宋体" w:hint="eastAsia"/>
          <w:b/>
          <w:color w:val="000000"/>
          <w:kern w:val="0"/>
          <w:sz w:val="24"/>
        </w:rPr>
        <w:t>％的说明</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在本报告期内本货币市场基金债券正回购的资金余额未超过资产净值的20%。</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 </w:t>
      </w:r>
      <w:r w:rsidRPr="0097021E">
        <w:rPr>
          <w:rFonts w:ascii="宋体" w:cs="Arial" w:hAnsi="宋体" w:hint="eastAsia"/>
          <w:b/>
          <w:color w:val="000000"/>
          <w:kern w:val="0"/>
          <w:sz w:val="24"/>
        </w:rPr>
        <w:t>基金投资组合平均剩余期限</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5.3.1 </w:t>
      </w:r>
      <w:r w:rsidRPr="0097021E">
        <w:rPr>
          <w:rFonts w:ascii="宋体" w:cs="Arial" w:hAnsi="宋体" w:hint="eastAsia"/>
          <w:b/>
          <w:color w:val="000000"/>
          <w:kern w:val="0"/>
          <w:sz w:val="24"/>
        </w:rPr>
        <w:t>投资组合平均剩余期限基本情况</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056"/>
        <w:gridCol w:w="5016"/>
      </w:tblGrid>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r w:rsidRPr="00613409">
              <w:rPr>
                <w:color w:val="000000"/>
                <w:kern w:val="0"/>
                <w:sz w:val="24"/>
              </w:rPr>
              <w:t/>
            </w:r>
          </w:p>
        </w:tc>
        <w:tc>
          <w:tcPr>
            <w:tcW w:type="dxa" w:w="5016"/>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天数</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报告期末投资组合平均剩余期限</w:t>
            </w:r>
          </w:p>
        </w:tc>
        <w:tc>
          <w:tcPr>
            <w:tcW w:type="dxa" w:w="5016"/>
            <w:vAlign w:val="center"/>
          </w:tcPr>
          <w:p w:rsidP="00196812" w:rsidR="00EA3F40" w:rsidRDefault="00EA3F40" w:rsidRPr="00613409">
            <w:pPr>
              <w:spacing w:line="360" w:lineRule="auto"/>
              <w:ind w:right="120"/>
              <w:jc w:val="right"/>
              <w:rPr>
                <w:sz w:val="24"/>
              </w:rPr>
            </w:pPr>
            <w:r w:rsidRPr="00613409">
              <w:rPr>
                <w:color w:val="000000"/>
                <w:sz w:val="24"/>
              </w:rPr>
              <w:t/>
            </w:r>
            <w:r w:rsidRPr="00613409">
              <w:rPr>
                <w:sz w:val="24"/>
              </w:rPr>
              <w:t>78</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报告期内投资组合平均剩余期限最高值</w:t>
            </w:r>
          </w:p>
        </w:tc>
        <w:tc>
          <w:tcPr>
            <w:tcW w:type="dxa" w:w="5016"/>
            <w:vAlign w:val="center"/>
          </w:tcPr>
          <w:p w:rsidP="00196812" w:rsidR="00EA3F40" w:rsidRDefault="00EA3F40" w:rsidRPr="00613409">
            <w:pPr>
              <w:spacing w:line="360" w:lineRule="auto"/>
              <w:jc w:val="right"/>
              <w:rPr>
                <w:sz w:val="24"/>
              </w:rPr>
            </w:pPr>
            <w:r w:rsidRPr="00613409">
              <w:rPr>
                <w:color w:val="000000"/>
                <w:sz w:val="24"/>
              </w:rPr>
              <w:t/>
            </w:r>
            <w:r w:rsidRPr="00613409">
              <w:rPr>
                <w:sz w:val="24"/>
              </w:rPr>
              <w:t>112</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报告期内投资组合平均剩余期限最低值</w:t>
            </w:r>
          </w:p>
        </w:tc>
        <w:tc>
          <w:tcPr>
            <w:tcW w:type="dxa" w:w="5016"/>
            <w:vAlign w:val="center"/>
          </w:tcPr>
          <w:p w:rsidP="00196812" w:rsidR="00EA3F40" w:rsidRDefault="00EA3F40" w:rsidRPr="00613409">
            <w:pPr>
              <w:spacing w:line="360" w:lineRule="auto"/>
              <w:ind w:right="120"/>
              <w:jc w:val="right"/>
              <w:rPr>
                <w:sz w:val="24"/>
              </w:rPr>
            </w:pPr>
            <w:r w:rsidRPr="00613409">
              <w:rPr>
                <w:color w:val="000000"/>
                <w:sz w:val="24"/>
              </w:rPr>
              <w:t/>
            </w:r>
            <w:r w:rsidRPr="00613409">
              <w:rPr>
                <w:sz w:val="24"/>
              </w:rPr>
              <w:t>63</w:t>
            </w:r>
          </w:p>
        </w:tc>
      </w:tr>
    </w:tbl>
    <w:p w:rsidP="00546492" w:rsidR="00546492" w:rsidRDefault="00546492" w:rsidRPr="00546492">
      <w:pPr>
        <w:spacing w:line="360" w:lineRule="auto"/>
        <w:rPr>
          <w:rFonts w:ascii="宋体" w:cs="Arial" w:hAnsi="宋体"/>
          <w:b/>
          <w:color w:val="000000"/>
          <w:kern w:val="0"/>
          <w:sz w:val="24"/>
        </w:rPr>
      </w:pPr>
      <w:r w:rsidRPr="00546492">
        <w:rPr>
          <w:rFonts w:ascii="宋体" w:cs="Arial" w:hAnsi="宋体" w:hint="eastAsia"/>
          <w:b/>
          <w:color w:val="000000"/>
          <w:kern w:val="0"/>
          <w:sz w:val="24"/>
        </w:rPr>
        <w:t>报告期内投资组合平均剩余期限超过</w:t>
      </w:r>
      <w:r w:rsidRPr="00546492">
        <w:rPr>
          <w:rFonts w:ascii="宋体" w:cs="Arial" w:hAnsi="宋体"/>
          <w:b/>
          <w:color w:val="000000"/>
          <w:kern w:val="0"/>
          <w:sz w:val="24"/>
        </w:rPr>
        <w:t>1</w:t>
      </w:r>
      <w:r w:rsidRPr="00546492">
        <w:rPr>
          <w:rFonts w:ascii="宋体" w:cs="Arial" w:hAnsi="宋体" w:hint="eastAsia"/>
          <w:b/>
          <w:color w:val="000000"/>
          <w:kern w:val="0"/>
          <w:sz w:val="24"/>
        </w:rPr>
        <w:t>20天情况说明</w:t>
      </w:r>
    </w:p>
    <w:p w:rsidP="00613409" w:rsidR="00546492" w:rsidRDefault="00546492" w:rsidRPr="00546492">
      <w:pPr>
        <w:adjustRightInd w:val="0"/>
        <w:spacing w:line="360" w:lineRule="auto"/>
        <w:ind w:firstLine="480" w:firstLineChars="200"/>
        <w:rPr>
          <w:color w:val="000000"/>
          <w:sz w:val="24"/>
        </w:rPr>
      </w:pPr>
      <w:r w:rsidRPr="00546492">
        <w:rPr>
          <w:color w:val="000000"/>
          <w:sz w:val="24"/>
        </w:rPr>
        <w:lastRenderedPageBreak/>
        <w:t>本报告期内本货币市场基金投资组合平均剩余期限未超过120天。</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5.3.2 </w:t>
      </w:r>
      <w:r w:rsidRPr="0097021E">
        <w:rPr>
          <w:rFonts w:ascii="宋体" w:cs="Arial" w:hAnsi="宋体" w:hint="eastAsia"/>
          <w:b/>
          <w:color w:val="000000"/>
          <w:kern w:val="0"/>
          <w:sz w:val="24"/>
        </w:rPr>
        <w:t>报告期末投资组合平均剩余期限分布比例</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851"/>
        <w:gridCol w:w="3351"/>
        <w:gridCol w:w="2529"/>
        <w:gridCol w:w="2431"/>
      </w:tblGrid>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序号</w:t>
            </w:r>
          </w:p>
        </w:tc>
        <w:tc>
          <w:tcPr>
            <w:tcW w:type="dxa" w:w="33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平均剩余期限</w:t>
            </w:r>
            <w:r w:rsidRPr="007A1ACF">
              <w:rPr>
                <w:color w:val="000000"/>
                <w:kern w:val="0"/>
                <w:sz w:val="24"/>
              </w:rPr>
              <w:t/>
            </w:r>
          </w:p>
        </w:tc>
        <w:tc>
          <w:tcPr>
            <w:tcW w:type="dxa" w:w="2529"/>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各期限资产占基金资产净值的比例（</w:t>
            </w:r>
            <w:r w:rsidRPr="007A1ACF">
              <w:rPr>
                <w:color w:val="000000"/>
                <w:kern w:val="0"/>
                <w:sz w:val="24"/>
              </w:rPr>
              <w:t>%</w:t>
            </w:r>
            <w:r w:rsidRPr="007A1ACF">
              <w:rPr>
                <w:color w:val="000000"/>
                <w:kern w:val="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各期限负债占基金资产净值的比例（％）</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sz w:val="24"/>
              </w:rPr>
              <w:t>1</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30</w:t>
            </w:r>
            <w:r w:rsidRPr="007A1ACF">
              <w:rPr>
                <w:color w:val="000000"/>
                <w:sz w:val="24"/>
              </w:rPr>
              <w:t>天以内</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41.26</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8.35</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
            </w:r>
            <w:r w:rsidRPr="007A1ACF">
              <w:rPr>
                <w:color w:val="000000"/>
                <w:sz w:val="24"/>
              </w:rPr>
              <w:lastRenderedPageBreak/>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lastRenderedPageBreak/>
              <w:t/>
            </w:r>
            <w:r w:rsidRPr="007A1ACF">
              <w:rPr>
                <w:color w:val="000000"/>
                <w:sz w:val="24"/>
              </w:rPr>
              <w:lastRenderedPageBreak/>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r w:rsidRPr="007A1ACF">
              <w:rPr>
                <w:color w:val="000000"/>
                <w:sz w:val="24"/>
              </w:rPr>
              <w:lastRenderedPageBreak/>
              <w:t>2</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30</w:t>
            </w:r>
            <w:r w:rsidRPr="007A1ACF">
              <w:rPr>
                <w:color w:val="000000"/>
                <w:sz w:val="24"/>
              </w:rPr>
              <w:t>天（含）</w:t>
            </w:r>
            <w:r w:rsidRPr="007A1ACF">
              <w:rPr>
                <w:color w:val="000000"/>
                <w:sz w:val="24"/>
              </w:rPr>
              <w:t>—60</w:t>
            </w:r>
            <w:r w:rsidRPr="007A1ACF">
              <w:rPr>
                <w:color w:val="000000"/>
                <w:sz w:val="24"/>
              </w:rPr>
              <w:t>天</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12.87</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r w:rsidRPr="007A1ACF">
              <w:rPr>
                <w:color w:val="000000"/>
                <w:sz w:val="24"/>
              </w:rPr>
              <w:t>3</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sz w:val="24"/>
              </w:rPr>
            </w:pPr>
            <w:r w:rsidRPr="007A1ACF">
              <w:rPr>
                <w:color w:val="000000"/>
                <w:sz w:val="24"/>
              </w:rPr>
              <w:t>60</w:t>
            </w:r>
            <w:r w:rsidRPr="007A1ACF">
              <w:rPr>
                <w:color w:val="000000"/>
                <w:sz w:val="24"/>
              </w:rPr>
              <w:t>天（含）</w:t>
            </w:r>
            <w:r w:rsidRPr="007A1ACF">
              <w:rPr>
                <w:color w:val="000000"/>
                <w:sz w:val="24"/>
              </w:rPr>
              <w:t>—90</w:t>
            </w:r>
            <w:r w:rsidRPr="007A1ACF">
              <w:rPr>
                <w:color w:val="000000"/>
                <w:sz w:val="24"/>
              </w:rPr>
              <w:t>天</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18.03</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t>4</w:t>
            </w: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90</w:t>
            </w:r>
            <w:r w:rsidRPr="009F2322">
              <w:rPr>
                <w:color w:val="000000"/>
                <w:sz w:val="24"/>
              </w:rPr>
              <w:t>天（含）</w:t>
            </w:r>
            <w:r w:rsidRPr="009F2322">
              <w:rPr>
                <w:color w:val="000000"/>
                <w:sz w:val="24"/>
              </w:rPr>
              <w:t>—120</w:t>
            </w:r>
            <w:r w:rsidRPr="009F2322">
              <w:rPr>
                <w:color w:val="000000"/>
                <w:sz w:val="24"/>
              </w:rPr>
              <w:t>天</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其中：剩余存续期超过</w:t>
            </w:r>
            <w:r w:rsidRPr="009F2322">
              <w:rPr>
                <w:color w:val="000000"/>
                <w:sz w:val="24"/>
              </w:rPr>
              <w:t>397</w:t>
            </w:r>
            <w:r w:rsidRPr="009F2322">
              <w:rPr>
                <w:color w:val="000000"/>
                <w:sz w:val="24"/>
              </w:rPr>
              <w:t>天的浮动利率债</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
            </w:r>
            <w:r w:rsidRPr="009F2322">
              <w:rPr>
                <w:color w:val="000000"/>
                <w:sz w:val="24"/>
              </w:rPr>
              <w:lastRenderedPageBreak/>
              <w:t>-</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lastRenderedPageBreak/>
              <w:t/>
            </w:r>
            <w:r w:rsidRPr="009F2322">
              <w:rPr>
                <w:color w:val="000000"/>
                <w:sz w:val="24"/>
              </w:rPr>
              <w:lastRenderedPageBreak/>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lastRenderedPageBreak/>
              <w:t>5</w:t>
            </w: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120</w:t>
            </w:r>
            <w:r w:rsidRPr="009F2322">
              <w:rPr>
                <w:color w:val="000000"/>
                <w:sz w:val="24"/>
              </w:rPr>
              <w:t>天（含）</w:t>
            </w:r>
            <w:r w:rsidRPr="009F2322">
              <w:rPr>
                <w:color w:val="000000"/>
                <w:sz w:val="24"/>
              </w:rPr>
              <w:t>—397</w:t>
            </w:r>
            <w:r w:rsidRPr="009F2322">
              <w:rPr>
                <w:color w:val="000000"/>
                <w:sz w:val="24"/>
              </w:rPr>
              <w:t>天（含）</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34.28</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其中：剩余存续期超过</w:t>
            </w:r>
            <w:r w:rsidRPr="009F2322">
              <w:rPr>
                <w:color w:val="000000"/>
                <w:sz w:val="24"/>
              </w:rPr>
              <w:t>397</w:t>
            </w:r>
            <w:r w:rsidRPr="009F2322">
              <w:rPr>
                <w:color w:val="000000"/>
                <w:sz w:val="24"/>
              </w:rPr>
              <w:t>天的浮动利率债</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4202"/>
            <w:gridSpan w:val="2"/>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t>合计</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106.43</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8.35</w:t>
            </w:r>
          </w:p>
        </w:tc>
      </w:tr>
    </w:tbl>
    <w:p w:rsidP="007A1ACF" w:rsidR="007A1ACF" w:rsidRDefault="007A1ACF" w:rsidRPr="007A1ACF">
      <w:pPr>
        <w:spacing w:line="360" w:lineRule="auto"/>
        <w:rPr>
          <w:rFonts w:ascii="宋体" w:cs="Arial" w:hAnsi="宋体"/>
          <w:b/>
          <w:color w:val="000000"/>
          <w:kern w:val="0"/>
          <w:sz w:val="24"/>
        </w:rPr>
      </w:pPr>
      <w:r w:rsidRPr="007A1ACF">
        <w:rPr>
          <w:rFonts w:ascii="宋体" w:cs="Arial" w:hAnsi="宋体" w:hint="eastAsia"/>
          <w:b/>
          <w:color w:val="000000"/>
          <w:kern w:val="0"/>
          <w:sz w:val="24"/>
        </w:rPr>
        <w:t>5.4</w:t>
      </w:r>
      <w:r>
        <w:rPr>
          <w:rFonts w:ascii="宋体" w:hAnsi="宋体" w:hint="eastAsia"/>
          <w:b/>
          <w:color w:val="000000"/>
          <w:sz w:val="24"/>
        </w:rPr>
        <w:t>报告期内投资组合平均剩余存续期超过240天情况说明</w:t>
      </w:r>
    </w:p>
    <w:p w:rsidP="00613409" w:rsidR="007A1ACF" w:rsidRDefault="007A1ACF" w:rsidRPr="007A1ACF">
      <w:pPr>
        <w:adjustRightInd w:val="0"/>
        <w:spacing w:line="360" w:lineRule="auto"/>
        <w:ind w:firstLine="480" w:firstLineChars="200"/>
        <w:rPr>
          <w:color w:val="000000"/>
          <w:sz w:val="24"/>
        </w:rPr>
      </w:pPr>
      <w:r w:rsidRPr="007A1ACF">
        <w:rPr>
          <w:color w:val="000000"/>
          <w:sz w:val="24"/>
        </w:rPr>
        <w:t>本报告期内本货币市场基金投资组合平均剩余存续期未超过240天。</w:t>
      </w:r>
    </w:p>
    <w:p w:rsidP="00710B11" w:rsidR="00710B11" w:rsidRDefault="00EA3F40" w:rsidRPr="00675D72">
      <w:pPr>
        <w:spacing w:line="360" w:lineRule="auto"/>
        <w:rPr>
          <w:b/>
          <w:color w:val="000000"/>
          <w:kern w:val="0"/>
          <w:sz w:val="24"/>
        </w:rPr>
      </w:pPr>
      <w:r w:rsidRPr="0097021E">
        <w:rPr>
          <w:rFonts w:ascii="宋体" w:cs="Arial" w:hAnsi="宋体"/>
          <w:b/>
          <w:color w:val="000000"/>
          <w:kern w:val="0"/>
          <w:sz w:val="24"/>
        </w:rPr>
        <w:lastRenderedPageBreak/>
        <w:t>5.</w:t>
      </w:r>
      <w:r w:rsidR="007A1ACF">
        <w:rPr>
          <w:rFonts w:ascii="宋体" w:cs="Arial" w:hAnsi="宋体" w:hint="eastAsia"/>
          <w:b/>
          <w:color w:val="000000"/>
          <w:kern w:val="0"/>
          <w:sz w:val="24"/>
        </w:rPr>
        <w:t>5</w:t>
      </w:r>
      <w:r w:rsidRPr="0097021E">
        <w:rPr>
          <w:rFonts w:ascii="宋体" w:cs="Arial" w:hAnsi="宋体"/>
          <w:b/>
          <w:color w:val="000000"/>
          <w:kern w:val="0"/>
          <w:sz w:val="24"/>
        </w:rPr>
        <w:t xml:space="preserve"> </w:t>
      </w:r>
      <w:r w:rsidRPr="0097021E">
        <w:rPr>
          <w:rFonts w:ascii="宋体" w:cs="Arial" w:hAnsi="宋体" w:hint="eastAsia"/>
          <w:b/>
          <w:color w:val="000000"/>
          <w:kern w:val="0"/>
          <w:sz w:val="24"/>
        </w:rPr>
        <w:t>报告期末按债券品种分类的债券投资组合</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3119"/>
        <w:gridCol w:w="1984"/>
      </w:tblGrid>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序号</w:t>
            </w:r>
          </w:p>
        </w:tc>
        <w:tc>
          <w:tcPr>
            <w:tcW w:type="dxa" w:w="3260"/>
            <w:vAlign w:val="center"/>
          </w:tcPr>
          <w:p w:rsidP="00546492" w:rsidR="00710B11" w:rsidRDefault="00710B11" w:rsidRPr="00675D72">
            <w:pPr>
              <w:spacing w:before="29" w:line="360" w:lineRule="auto"/>
              <w:ind w:left="17"/>
              <w:jc w:val="center"/>
              <w:rPr>
                <w:color w:val="000000"/>
                <w:sz w:val="24"/>
              </w:rPr>
            </w:pPr>
            <w:r w:rsidRPr="00675D72">
              <w:rPr>
                <w:color w:val="000000"/>
                <w:sz w:val="24"/>
              </w:rPr>
              <w:t>债券品种</w:t>
            </w:r>
            <w:r w:rsidRPr="00675D72">
              <w:rPr>
                <w:color w:val="000000"/>
                <w:sz w:val="24"/>
              </w:rPr>
              <w:t/>
            </w:r>
          </w:p>
        </w:tc>
        <w:tc>
          <w:tcPr>
            <w:tcW w:type="dxa" w:w="3119"/>
            <w:vAlign w:val="center"/>
          </w:tcPr>
          <w:p w:rsidP="00546492" w:rsidR="00710B11" w:rsidRDefault="00710B11" w:rsidRPr="00675D72">
            <w:pPr>
              <w:spacing w:before="29" w:line="360" w:lineRule="auto"/>
              <w:ind w:left="17"/>
              <w:jc w:val="center"/>
              <w:rPr>
                <w:color w:val="000000"/>
                <w:sz w:val="24"/>
              </w:rPr>
            </w:pPr>
            <w:r w:rsidRPr="00675D72">
              <w:rPr>
                <w:color w:val="000000"/>
                <w:sz w:val="24"/>
              </w:rPr>
              <w:t>摊余成本（元）</w:t>
            </w:r>
          </w:p>
        </w:tc>
        <w:tc>
          <w:tcPr>
            <w:tcW w:type="dxa" w:w="1984"/>
            <w:vAlign w:val="center"/>
          </w:tcPr>
          <w:p w:rsidP="00546492" w:rsidR="00710B11" w:rsidRDefault="00710B11" w:rsidRPr="00675D72">
            <w:pPr>
              <w:spacing w:before="29" w:line="360" w:lineRule="auto"/>
              <w:ind w:left="17"/>
              <w:jc w:val="center"/>
              <w:rPr>
                <w:color w:val="000000"/>
                <w:sz w:val="24"/>
              </w:rPr>
            </w:pPr>
            <w:r w:rsidRPr="00675D72">
              <w:rPr>
                <w:color w:val="000000"/>
                <w:sz w:val="24"/>
              </w:rPr>
              <w:t>占基金资产净值比例</w:t>
            </w:r>
            <w:r w:rsidRPr="00675D72">
              <w:rPr>
                <w:color w:val="000000"/>
                <w:sz w:val="24"/>
              </w:rPr>
              <w:t>(</w:t>
            </w:r>
            <w:r w:rsidRPr="00675D72">
              <w:rPr>
                <w:color w:val="000000"/>
                <w:sz w:val="24"/>
              </w:rPr>
              <w:t>％</w:t>
            </w: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1</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国家债券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2</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央行票据</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3</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金融债券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70,267,351.91</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6.04</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其中：政策性金融债</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70,267,351.91</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6.04</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4</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企业债券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
            </w:r>
            <w:r w:rsidRPr="00675D72">
              <w:rPr>
                <w:color w:val="000000"/>
                <w:sz w:val="24"/>
              </w:rPr>
              <w:lastRenderedPageBreak/>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lastRenderedPageBreak/>
              <w:t>5</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企业短期融资券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129,889,300.58</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11.17</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6</w:t>
            </w:r>
          </w:p>
        </w:tc>
        <w:tc>
          <w:tcPr>
            <w:tcW w:type="dxa" w:w="3260"/>
            <w:vAlign w:val="center"/>
          </w:tcPr>
          <w:p w:rsidP="00C91200" w:rsidR="00710B11" w:rsidRDefault="00710B11" w:rsidRPr="00675D72">
            <w:pPr>
              <w:spacing w:before="29" w:line="360" w:lineRule="auto"/>
              <w:ind w:left="17"/>
              <w:jc w:val="left"/>
              <w:rPr>
                <w:color w:val="000000"/>
                <w:sz w:val="24"/>
              </w:rPr>
            </w:pPr>
            <w:r w:rsidRPr="00675D72">
              <w:rPr>
                <w:color w:val="000000"/>
                <w:sz w:val="24"/>
              </w:rPr>
              <w:t>中期票据</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30,250,518.99</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2.60</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7</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同业存单</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297,374,984.10</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25.58</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8</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其他</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lastRenderedPageBreak/>
              <w:t>9</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合计</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527,782,155.58</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45.40</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10</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剩余存续期超过</w:t>
            </w:r>
            <w:r w:rsidRPr="00675D72">
              <w:rPr>
                <w:color w:val="000000"/>
                <w:sz w:val="24"/>
              </w:rPr>
              <w:t>397</w:t>
            </w:r>
            <w:r w:rsidRPr="00675D72">
              <w:rPr>
                <w:color w:val="000000"/>
                <w:sz w:val="24"/>
              </w:rPr>
              <w:t>天的浮动利率债券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bl>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6</w:t>
      </w:r>
      <w:r w:rsidRPr="0097021E">
        <w:rPr>
          <w:rFonts w:ascii="宋体" w:cs="Arial" w:hAnsi="宋体"/>
          <w:b/>
          <w:color w:val="000000"/>
          <w:kern w:val="0"/>
          <w:sz w:val="24"/>
        </w:rPr>
        <w:t xml:space="preserve"> </w:t>
      </w:r>
      <w:r w:rsidR="00AD6777">
        <w:rPr>
          <w:rFonts w:ascii="宋体" w:cs="Arial" w:hAnsi="宋体" w:hint="eastAsia"/>
          <w:b/>
          <w:color w:val="000000"/>
          <w:kern w:val="0"/>
          <w:sz w:val="24"/>
        </w:rPr>
        <w:t>报告期末按摊余成本占基金资产净值比例大小排名</w:t>
      </w:r>
      <w:r w:rsidRPr="0097021E">
        <w:rPr>
          <w:rFonts w:ascii="宋体" w:cs="Arial" w:hAnsi="宋体" w:hint="eastAsia"/>
          <w:b/>
          <w:color w:val="000000"/>
          <w:kern w:val="0"/>
          <w:sz w:val="24"/>
        </w:rPr>
        <w:t>的前十名债券投资明细</w:t>
      </w:r>
    </w:p>
    <w:tbl>
      <w:tblPr>
        <w:tblW w:type="auto" w:w="0"/>
        <w:tblInd w:type="dxa" w:w="1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1" w:firstRow="1" w:lastColumn="0" w:lastRow="0" w:noHBand="0" w:noVBand="0" w:val="00A0"/>
      </w:tblPr>
      <w:tblGrid>
        <w:gridCol w:w="1227"/>
        <w:gridCol w:w="1226"/>
        <w:gridCol w:w="1226"/>
        <w:gridCol w:w="2047"/>
        <w:gridCol w:w="1840"/>
        <w:gridCol w:w="1721"/>
      </w:tblGrid>
      <w:tr w:rsidR="00EA3F40" w:rsidRPr="0097021E" w:rsidTr="00053472">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序号</w:t>
            </w:r>
          </w:p>
        </w:tc>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债券代码</w:t>
            </w:r>
          </w:p>
        </w:tc>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债券名称</w:t>
            </w:r>
          </w:p>
        </w:tc>
        <w:tc>
          <w:tcPr>
            <w:tcW w:type="dxa" w:w="2119"/>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债券数量</w:t>
            </w:r>
          </w:p>
          <w:p w:rsidP="007C3671" w:rsidR="00EA3F40" w:rsidRDefault="007C3671"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（张）</w:t>
            </w:r>
          </w:p>
        </w:tc>
        <w:tc>
          <w:tcPr>
            <w:tcW w:type="dxa" w:w="1787"/>
            <w:vAlign w:val="center"/>
          </w:tcPr>
          <w:p w:rsidP="007C3671"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摊余成本</w:t>
            </w:r>
            <w:r w:rsidR="007C3671" w:rsidRPr="00613409">
              <w:rPr>
                <w:color w:val="000000"/>
                <w:kern w:val="0"/>
                <w:sz w:val="24"/>
              </w:rPr>
              <w:t>（元）</w:t>
            </w:r>
          </w:p>
        </w:tc>
        <w:tc>
          <w:tcPr>
            <w:tcW w:type="dxa" w:w="1595"/>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012000560</w:t>
            </w:r>
          </w:p>
        </w:tc>
        <w:tc>
          <w:tcPr>
            <w:vAlign w:val="center"/>
          </w:tcPr>
          <w:p>
            <w:pPr>
              <w:jc w:val="center"/>
            </w:pPr>
            <w:r>
              <w:rPr>
                <w:color w:val="000000"/>
                <w:sz w:val="24"/>
              </w:rPr>
              <w:t>20浙交投SCP002</w:t>
            </w:r>
          </w:p>
        </w:tc>
        <w:tc>
          <w:tcPr>
            <w:vAlign w:val="center"/>
          </w:tcPr>
          <w:p>
            <w:pPr>
              <w:jc w:val="right"/>
            </w:pPr>
            <w:r>
              <w:rPr>
                <w:color w:val="000000"/>
                <w:sz w:val="24"/>
              </w:rPr>
              <w:t>1,000,000</w:t>
            </w:r>
          </w:p>
        </w:tc>
        <w:tc>
          <w:tcPr>
            <w:vAlign w:val="center"/>
          </w:tcPr>
          <w:p>
            <w:pPr>
              <w:jc w:val="right"/>
            </w:pPr>
            <w:r>
              <w:rPr>
                <w:color w:val="000000"/>
                <w:sz w:val="24"/>
              </w:rPr>
              <w:t>99,887,404.45</w:t>
            </w:r>
          </w:p>
        </w:tc>
        <w:tc>
          <w:tcPr>
            <w:vAlign w:val="center"/>
          </w:tcPr>
          <w:p>
            <w:pPr>
              <w:jc w:val="right"/>
            </w:pPr>
            <w:r>
              <w:rPr>
                <w:color w:val="000000"/>
                <w:sz w:val="24"/>
              </w:rPr>
              <w:t>8.59</w:t>
            </w:r>
          </w:p>
        </w:tc>
      </w:tr>
      <w:tr>
        <w:tc>
          <w:tcPr>
            <w:vAlign w:val="center"/>
          </w:tcPr>
          <w:p>
            <w:pPr>
              <w:jc w:val="center"/>
            </w:pPr>
            <w:r>
              <w:rPr>
                <w:color w:val="000000"/>
                <w:sz w:val="24"/>
              </w:rPr>
              <w:t>2</w:t>
            </w:r>
          </w:p>
        </w:tc>
        <w:tc>
          <w:tcPr>
            <w:vAlign w:val="center"/>
          </w:tcPr>
          <w:p>
            <w:pPr>
              <w:jc w:val="center"/>
            </w:pPr>
            <w:r>
              <w:rPr>
                <w:color w:val="000000"/>
                <w:sz w:val="24"/>
              </w:rPr>
              <w:t>111903094</w:t>
            </w:r>
          </w:p>
        </w:tc>
        <w:tc>
          <w:tcPr>
            <w:vAlign w:val="center"/>
          </w:tcPr>
          <w:p>
            <w:pPr>
              <w:jc w:val="center"/>
            </w:pPr>
            <w:r>
              <w:rPr>
                <w:color w:val="000000"/>
                <w:sz w:val="24"/>
              </w:rPr>
              <w:t>19农业银行CD094</w:t>
            </w:r>
          </w:p>
        </w:tc>
        <w:tc>
          <w:tcPr>
            <w:vAlign w:val="center"/>
          </w:tcPr>
          <w:p>
            <w:pPr>
              <w:jc w:val="right"/>
            </w:pPr>
            <w:r>
              <w:rPr>
                <w:color w:val="000000"/>
                <w:sz w:val="24"/>
              </w:rPr>
              <w:t>1,000,000</w:t>
            </w:r>
          </w:p>
        </w:tc>
        <w:tc>
          <w:tcPr>
            <w:vAlign w:val="center"/>
          </w:tcPr>
          <w:p>
            <w:pPr>
              <w:jc w:val="right"/>
            </w:pPr>
            <w:r>
              <w:rPr>
                <w:color w:val="000000"/>
                <w:sz w:val="24"/>
              </w:rPr>
              <w:t>99,726,249.88</w:t>
            </w:r>
          </w:p>
        </w:tc>
        <w:tc>
          <w:tcPr>
            <w:vAlign w:val="center"/>
          </w:tcPr>
          <w:p>
            <w:pPr>
              <w:jc w:val="right"/>
            </w:pPr>
            <w:r>
              <w:rPr>
                <w:color w:val="000000"/>
                <w:sz w:val="24"/>
              </w:rPr>
              <w:t>8.58</w:t>
            </w:r>
          </w:p>
        </w:tc>
      </w:tr>
      <w:tr>
        <w:tc>
          <w:tcPr>
            <w:vAlign w:val="center"/>
          </w:tcPr>
          <w:p>
            <w:pPr>
              <w:jc w:val="center"/>
            </w:pPr>
            <w:r>
              <w:rPr>
                <w:color w:val="000000"/>
                <w:sz w:val="24"/>
              </w:rPr>
              <w:t>3</w:t>
            </w:r>
          </w:p>
        </w:tc>
        <w:tc>
          <w:tcPr>
            <w:vAlign w:val="center"/>
          </w:tcPr>
          <w:p>
            <w:pPr>
              <w:jc w:val="center"/>
            </w:pPr>
            <w:r>
              <w:rPr>
                <w:color w:val="000000"/>
                <w:sz w:val="24"/>
              </w:rPr>
              <w:t>112016060</w:t>
            </w:r>
          </w:p>
        </w:tc>
        <w:tc>
          <w:tcPr>
            <w:vAlign w:val="center"/>
          </w:tcPr>
          <w:p>
            <w:pPr>
              <w:jc w:val="center"/>
            </w:pPr>
            <w:r>
              <w:rPr>
                <w:color w:val="000000"/>
                <w:sz w:val="24"/>
              </w:rPr>
              <w:t>20上海银行CD060</w:t>
            </w:r>
          </w:p>
        </w:tc>
        <w:tc>
          <w:tcPr>
            <w:vAlign w:val="center"/>
          </w:tcPr>
          <w:p>
            <w:pPr>
              <w:jc w:val="right"/>
            </w:pPr>
            <w:r>
              <w:rPr>
                <w:color w:val="000000"/>
                <w:sz w:val="24"/>
              </w:rPr>
              <w:t>1,000,000</w:t>
            </w:r>
          </w:p>
        </w:tc>
        <w:tc>
          <w:tcPr>
            <w:vAlign w:val="center"/>
          </w:tcPr>
          <w:p>
            <w:pPr>
              <w:jc w:val="right"/>
            </w:pPr>
            <w:r>
              <w:rPr>
                <w:color w:val="000000"/>
                <w:sz w:val="24"/>
              </w:rPr>
              <w:t>99,568,720.47</w:t>
            </w:r>
          </w:p>
        </w:tc>
        <w:tc>
          <w:tcPr>
            <w:vAlign w:val="center"/>
          </w:tcPr>
          <w:p>
            <w:pPr>
              <w:jc w:val="right"/>
            </w:pPr>
            <w:r>
              <w:rPr>
                <w:color w:val="000000"/>
                <w:sz w:val="24"/>
              </w:rPr>
              <w:t>8.57</w:t>
            </w:r>
          </w:p>
        </w:tc>
      </w:tr>
      <w:tr>
        <w:tc>
          <w:tcPr>
            <w:vAlign w:val="center"/>
          </w:tcPr>
          <w:p>
            <w:pPr>
              <w:jc w:val="center"/>
            </w:pPr>
            <w:r>
              <w:rPr>
                <w:color w:val="000000"/>
                <w:sz w:val="24"/>
              </w:rPr>
              <w:t>4</w:t>
            </w:r>
          </w:p>
        </w:tc>
        <w:tc>
          <w:tcPr>
            <w:vAlign w:val="center"/>
          </w:tcPr>
          <w:p>
            <w:pPr>
              <w:jc w:val="center"/>
            </w:pPr>
            <w:r>
              <w:rPr>
                <w:color w:val="000000"/>
                <w:sz w:val="24"/>
              </w:rPr>
              <w:t>200201</w:t>
            </w:r>
          </w:p>
        </w:tc>
        <w:tc>
          <w:tcPr>
            <w:vAlign w:val="center"/>
          </w:tcPr>
          <w:p>
            <w:pPr>
              <w:jc w:val="center"/>
            </w:pPr>
            <w:r>
              <w:rPr>
                <w:color w:val="000000"/>
                <w:sz w:val="24"/>
              </w:rPr>
              <w:t>20国开01</w:t>
            </w:r>
          </w:p>
        </w:tc>
        <w:tc>
          <w:tcPr>
            <w:vAlign w:val="center"/>
          </w:tcPr>
          <w:p>
            <w:pPr>
              <w:jc w:val="right"/>
            </w:pPr>
            <w:r>
              <w:rPr>
                <w:color w:val="000000"/>
                <w:sz w:val="24"/>
              </w:rPr>
              <w:t>600,000</w:t>
            </w:r>
          </w:p>
        </w:tc>
        <w:tc>
          <w:tcPr>
            <w:vAlign w:val="center"/>
          </w:tcPr>
          <w:p>
            <w:pPr>
              <w:jc w:val="right"/>
            </w:pPr>
            <w:r>
              <w:rPr>
                <w:color w:val="000000"/>
                <w:sz w:val="24"/>
              </w:rPr>
              <w:t>60,223,464.71</w:t>
            </w:r>
          </w:p>
        </w:tc>
        <w:tc>
          <w:tcPr>
            <w:vAlign w:val="center"/>
          </w:tcPr>
          <w:p>
            <w:pPr>
              <w:jc w:val="right"/>
            </w:pPr>
            <w:r>
              <w:rPr>
                <w:color w:val="000000"/>
                <w:sz w:val="24"/>
              </w:rPr>
              <w:t>5.18</w:t>
            </w:r>
          </w:p>
        </w:tc>
      </w:tr>
      <w:tr>
        <w:tc>
          <w:tcPr>
            <w:vAlign w:val="center"/>
          </w:tcPr>
          <w:p>
            <w:pPr>
              <w:jc w:val="center"/>
            </w:pPr>
            <w:r>
              <w:rPr>
                <w:color w:val="000000"/>
                <w:sz w:val="24"/>
              </w:rPr>
              <w:t>5</w:t>
            </w:r>
          </w:p>
        </w:tc>
        <w:tc>
          <w:tcPr>
            <w:vAlign w:val="center"/>
          </w:tcPr>
          <w:p>
            <w:pPr>
              <w:jc w:val="center"/>
            </w:pPr>
            <w:r>
              <w:rPr>
                <w:color w:val="000000"/>
                <w:sz w:val="24"/>
              </w:rPr>
              <w:t>112006029</w:t>
            </w:r>
          </w:p>
        </w:tc>
        <w:tc>
          <w:tcPr>
            <w:vAlign w:val="center"/>
          </w:tcPr>
          <w:p>
            <w:pPr>
              <w:jc w:val="center"/>
            </w:pPr>
            <w:r>
              <w:rPr>
                <w:color w:val="000000"/>
                <w:sz w:val="24"/>
              </w:rPr>
              <w:t>20交通银行CD029</w:t>
            </w:r>
          </w:p>
        </w:tc>
        <w:tc>
          <w:tcPr>
            <w:vAlign w:val="center"/>
          </w:tcPr>
          <w:p>
            <w:pPr>
              <w:jc w:val="right"/>
            </w:pPr>
            <w:r>
              <w:rPr>
                <w:color w:val="000000"/>
                <w:sz w:val="24"/>
              </w:rPr>
              <w:t>500,000</w:t>
            </w:r>
          </w:p>
        </w:tc>
        <w:tc>
          <w:tcPr>
            <w:vAlign w:val="center"/>
          </w:tcPr>
          <w:p>
            <w:pPr>
              <w:jc w:val="right"/>
            </w:pPr>
            <w:r>
              <w:rPr>
                <w:color w:val="000000"/>
                <w:sz w:val="24"/>
              </w:rPr>
              <w:t>49,040,032.95</w:t>
            </w:r>
          </w:p>
        </w:tc>
        <w:tc>
          <w:tcPr>
            <w:vAlign w:val="center"/>
          </w:tcPr>
          <w:p>
            <w:pPr>
              <w:jc w:val="right"/>
            </w:pPr>
            <w:r>
              <w:rPr>
                <w:color w:val="000000"/>
                <w:sz w:val="24"/>
              </w:rPr>
              <w:t>4.22</w:t>
            </w:r>
          </w:p>
        </w:tc>
      </w:tr>
      <w:tr>
        <w:tc>
          <w:tcPr>
            <w:vAlign w:val="center"/>
          </w:tcPr>
          <w:p>
            <w:pPr>
              <w:jc w:val="center"/>
            </w:pPr>
            <w:r>
              <w:rPr>
                <w:color w:val="000000"/>
                <w:sz w:val="24"/>
              </w:rPr>
              <w:t>6</w:t>
            </w:r>
          </w:p>
        </w:tc>
        <w:tc>
          <w:tcPr>
            <w:vAlign w:val="center"/>
          </w:tcPr>
          <w:p>
            <w:pPr>
              <w:jc w:val="center"/>
            </w:pPr>
            <w:r>
              <w:rPr>
                <w:color w:val="000000"/>
                <w:sz w:val="24"/>
              </w:rPr>
              <w:t>112006020</w:t>
            </w:r>
          </w:p>
        </w:tc>
        <w:tc>
          <w:tcPr>
            <w:vAlign w:val="center"/>
          </w:tcPr>
          <w:p>
            <w:pPr>
              <w:jc w:val="center"/>
            </w:pPr>
            <w:r>
              <w:rPr>
                <w:color w:val="000000"/>
                <w:sz w:val="24"/>
              </w:rPr>
              <w:t>20交通银行CD020</w:t>
            </w:r>
          </w:p>
        </w:tc>
        <w:tc>
          <w:tcPr>
            <w:vAlign w:val="center"/>
          </w:tcPr>
          <w:p>
            <w:pPr>
              <w:jc w:val="right"/>
            </w:pPr>
            <w:r>
              <w:rPr>
                <w:color w:val="000000"/>
                <w:sz w:val="24"/>
              </w:rPr>
              <w:t>500,000</w:t>
            </w:r>
          </w:p>
        </w:tc>
        <w:tc>
          <w:tcPr>
            <w:vAlign w:val="center"/>
          </w:tcPr>
          <w:p>
            <w:pPr>
              <w:jc w:val="right"/>
            </w:pPr>
            <w:r>
              <w:rPr>
                <w:color w:val="000000"/>
                <w:sz w:val="24"/>
              </w:rPr>
              <w:t>49,039,980.80</w:t>
            </w:r>
          </w:p>
        </w:tc>
        <w:tc>
          <w:tcPr>
            <w:vAlign w:val="center"/>
          </w:tcPr>
          <w:p>
            <w:pPr>
              <w:jc w:val="right"/>
            </w:pPr>
            <w:r>
              <w:rPr>
                <w:color w:val="000000"/>
                <w:sz w:val="24"/>
              </w:rPr>
              <w:t>4.22</w:t>
            </w:r>
          </w:p>
        </w:tc>
      </w:tr>
      <w:tr>
        <w:tc>
          <w:tcPr>
            <w:vAlign w:val="center"/>
          </w:tcPr>
          <w:p>
            <w:pPr>
              <w:jc w:val="center"/>
            </w:pPr>
            <w:r>
              <w:rPr>
                <w:color w:val="000000"/>
                <w:sz w:val="24"/>
              </w:rPr>
              <w:t>7</w:t>
            </w:r>
          </w:p>
        </w:tc>
        <w:tc>
          <w:tcPr>
            <w:vAlign w:val="center"/>
          </w:tcPr>
          <w:p>
            <w:pPr>
              <w:jc w:val="center"/>
            </w:pPr>
            <w:r>
              <w:rPr>
                <w:color w:val="000000"/>
                <w:sz w:val="24"/>
              </w:rPr>
              <w:t>011902307</w:t>
            </w:r>
          </w:p>
        </w:tc>
        <w:tc>
          <w:tcPr>
            <w:vAlign w:val="center"/>
          </w:tcPr>
          <w:p>
            <w:pPr>
              <w:jc w:val="center"/>
            </w:pPr>
            <w:r>
              <w:rPr>
                <w:color w:val="000000"/>
                <w:sz w:val="24"/>
              </w:rPr>
              <w:t>19鲁能源SCP001</w:t>
            </w:r>
          </w:p>
        </w:tc>
        <w:tc>
          <w:tcPr>
            <w:vAlign w:val="center"/>
          </w:tcPr>
          <w:p>
            <w:pPr>
              <w:jc w:val="right"/>
            </w:pPr>
            <w:r>
              <w:rPr>
                <w:color w:val="000000"/>
                <w:sz w:val="24"/>
              </w:rPr>
              <w:t>200,000</w:t>
            </w:r>
          </w:p>
        </w:tc>
        <w:tc>
          <w:tcPr>
            <w:vAlign w:val="center"/>
          </w:tcPr>
          <w:p>
            <w:pPr>
              <w:jc w:val="right"/>
            </w:pPr>
            <w:r>
              <w:rPr>
                <w:color w:val="000000"/>
                <w:sz w:val="24"/>
              </w:rPr>
              <w:t>19,998,750.83</w:t>
            </w:r>
          </w:p>
        </w:tc>
        <w:tc>
          <w:tcPr>
            <w:vAlign w:val="center"/>
          </w:tcPr>
          <w:p>
            <w:pPr>
              <w:jc w:val="right"/>
            </w:pPr>
            <w:r>
              <w:rPr>
                <w:color w:val="000000"/>
                <w:sz w:val="24"/>
              </w:rPr>
              <w:t>1.72</w:t>
            </w:r>
          </w:p>
        </w:tc>
      </w:tr>
      <w:tr>
        <w:tc>
          <w:tcPr>
            <w:vAlign w:val="center"/>
          </w:tcPr>
          <w:p>
            <w:pPr>
              <w:jc w:val="center"/>
            </w:pPr>
            <w:r>
              <w:rPr>
                <w:color w:val="000000"/>
                <w:sz w:val="24"/>
              </w:rPr>
              <w:t>8</w:t>
            </w:r>
          </w:p>
        </w:tc>
        <w:tc>
          <w:tcPr>
            <w:vAlign w:val="center"/>
          </w:tcPr>
          <w:p>
            <w:pPr>
              <w:jc w:val="center"/>
            </w:pPr>
            <w:r>
              <w:rPr>
                <w:color w:val="000000"/>
                <w:sz w:val="24"/>
              </w:rPr>
              <w:t>101800090</w:t>
            </w:r>
          </w:p>
        </w:tc>
        <w:tc>
          <w:tcPr>
            <w:vAlign w:val="center"/>
          </w:tcPr>
          <w:p>
            <w:pPr>
              <w:jc w:val="center"/>
            </w:pPr>
            <w:r>
              <w:rPr>
                <w:color w:val="000000"/>
                <w:sz w:val="24"/>
              </w:rPr>
              <w:t>18津城建MTN003</w:t>
            </w:r>
          </w:p>
        </w:tc>
        <w:tc>
          <w:tcPr>
            <w:vAlign w:val="center"/>
          </w:tcPr>
          <w:p>
            <w:pPr>
              <w:jc w:val="right"/>
            </w:pPr>
            <w:r>
              <w:rPr>
                <w:color w:val="000000"/>
                <w:sz w:val="24"/>
              </w:rPr>
              <w:t>100,000</w:t>
            </w:r>
          </w:p>
        </w:tc>
        <w:tc>
          <w:tcPr>
            <w:vAlign w:val="center"/>
          </w:tcPr>
          <w:p>
            <w:pPr>
              <w:jc w:val="right"/>
            </w:pPr>
            <w:r>
              <w:rPr>
                <w:color w:val="000000"/>
                <w:sz w:val="24"/>
              </w:rPr>
              <w:t>10,232,685.30</w:t>
            </w:r>
          </w:p>
        </w:tc>
        <w:tc>
          <w:tcPr>
            <w:vAlign w:val="center"/>
          </w:tcPr>
          <w:p>
            <w:pPr>
              <w:jc w:val="right"/>
            </w:pPr>
            <w:r>
              <w:rPr>
                <w:color w:val="000000"/>
                <w:sz w:val="24"/>
              </w:rPr>
              <w:t>0.88</w:t>
            </w:r>
          </w:p>
        </w:tc>
      </w:tr>
      <w:tr>
        <w:tc>
          <w:tcPr>
            <w:vAlign w:val="center"/>
          </w:tcPr>
          <w:p>
            <w:pPr>
              <w:jc w:val="center"/>
            </w:pPr>
            <w:r>
              <w:rPr>
                <w:color w:val="000000"/>
                <w:sz w:val="24"/>
              </w:rPr>
              <w:t>9</w:t>
            </w:r>
          </w:p>
        </w:tc>
        <w:tc>
          <w:tcPr>
            <w:vAlign w:val="center"/>
          </w:tcPr>
          <w:p>
            <w:pPr>
              <w:jc w:val="center"/>
            </w:pPr>
            <w:r>
              <w:rPr>
                <w:color w:val="000000"/>
                <w:sz w:val="24"/>
              </w:rPr>
              <w:t>170209</w:t>
            </w:r>
          </w:p>
        </w:tc>
        <w:tc>
          <w:tcPr>
            <w:vAlign w:val="center"/>
          </w:tcPr>
          <w:p>
            <w:pPr>
              <w:jc w:val="center"/>
            </w:pPr>
            <w:r>
              <w:rPr>
                <w:color w:val="000000"/>
                <w:sz w:val="24"/>
              </w:rPr>
              <w:t>17国开09</w:t>
            </w:r>
          </w:p>
        </w:tc>
        <w:tc>
          <w:tcPr>
            <w:vAlign w:val="center"/>
          </w:tcPr>
          <w:p>
            <w:pPr>
              <w:jc w:val="right"/>
            </w:pPr>
            <w:r>
              <w:rPr>
                <w:color w:val="000000"/>
                <w:sz w:val="24"/>
              </w:rPr>
              <w:t>100,000</w:t>
            </w:r>
          </w:p>
        </w:tc>
        <w:tc>
          <w:tcPr>
            <w:vAlign w:val="center"/>
          </w:tcPr>
          <w:p>
            <w:pPr>
              <w:jc w:val="right"/>
            </w:pPr>
            <w:r>
              <w:rPr>
                <w:color w:val="000000"/>
                <w:sz w:val="24"/>
              </w:rPr>
              <w:t>10,043,887.20</w:t>
            </w:r>
          </w:p>
        </w:tc>
        <w:tc>
          <w:tcPr>
            <w:vAlign w:val="center"/>
          </w:tcPr>
          <w:p>
            <w:pPr>
              <w:jc w:val="right"/>
            </w:pPr>
            <w:r>
              <w:rPr>
                <w:color w:val="000000"/>
                <w:sz w:val="24"/>
              </w:rPr>
              <w:t>0.86</w:t>
            </w:r>
          </w:p>
        </w:tc>
      </w:tr>
      <w:tr>
        <w:tc>
          <w:tcPr>
            <w:vAlign w:val="center"/>
          </w:tcPr>
          <w:p>
            <w:pPr>
              <w:jc w:val="center"/>
            </w:pPr>
            <w:r>
              <w:rPr>
                <w:color w:val="000000"/>
                <w:sz w:val="24"/>
              </w:rPr>
              <w:t>10</w:t>
            </w:r>
          </w:p>
        </w:tc>
        <w:tc>
          <w:tcPr>
            <w:vAlign w:val="center"/>
          </w:tcPr>
          <w:p>
            <w:pPr>
              <w:jc w:val="center"/>
            </w:pPr>
            <w:r>
              <w:rPr>
                <w:color w:val="000000"/>
                <w:sz w:val="24"/>
              </w:rPr>
              <w:t>101773011</w:t>
            </w:r>
          </w:p>
        </w:tc>
        <w:tc>
          <w:tcPr>
            <w:vAlign w:val="center"/>
          </w:tcPr>
          <w:p>
            <w:pPr>
              <w:jc w:val="center"/>
            </w:pPr>
            <w:r>
              <w:rPr>
                <w:color w:val="000000"/>
                <w:sz w:val="24"/>
              </w:rPr>
              <w:t>17龙湖地产MTN001A</w:t>
            </w:r>
          </w:p>
        </w:tc>
        <w:tc>
          <w:tcPr>
            <w:vAlign w:val="center"/>
          </w:tcPr>
          <w:p>
            <w:pPr>
              <w:jc w:val="right"/>
            </w:pPr>
            <w:r>
              <w:rPr>
                <w:color w:val="000000"/>
                <w:sz w:val="24"/>
              </w:rPr>
              <w:t>100,000</w:t>
            </w:r>
          </w:p>
        </w:tc>
        <w:tc>
          <w:tcPr>
            <w:vAlign w:val="center"/>
          </w:tcPr>
          <w:p>
            <w:pPr>
              <w:jc w:val="right"/>
            </w:pPr>
            <w:r>
              <w:rPr>
                <w:color w:val="000000"/>
                <w:sz w:val="24"/>
              </w:rPr>
              <w:t>10,010,042.20</w:t>
            </w:r>
          </w:p>
        </w:tc>
        <w:tc>
          <w:tcPr>
            <w:vAlign w:val="center"/>
          </w:tcPr>
          <w:p>
            <w:pPr>
              <w:jc w:val="right"/>
            </w:pPr>
            <w:r>
              <w:rPr>
                <w:color w:val="000000"/>
                <w:sz w:val="24"/>
              </w:rPr>
              <w:t>0.86</w:t>
            </w:r>
          </w:p>
        </w:tc>
      </w:tr>
    </w:tbl>
    <w:p w:rsidP="003A0EC1"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7</w:t>
      </w:r>
      <w:r w:rsidRPr="0097021E">
        <w:rPr>
          <w:rFonts w:ascii="宋体" w:cs="Arial" w:hAnsi="宋体" w:hint="eastAsia"/>
          <w:b/>
          <w:color w:val="000000"/>
          <w:kern w:val="0"/>
          <w:sz w:val="24"/>
        </w:rPr>
        <w:t>“影子定价”与“摊余成本法”确定的基金资产净值的偏离</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5812"/>
        <w:gridCol w:w="3382"/>
      </w:tblGrid>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r w:rsidRPr="00613409">
              <w:rPr>
                <w:color w:val="000000"/>
                <w:kern w:val="0"/>
                <w:sz w:val="24"/>
              </w:rPr>
              <w:t/>
            </w:r>
          </w:p>
        </w:tc>
        <w:tc>
          <w:tcPr>
            <w:tcW w:type="dxa" w:w="3382"/>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偏离情况</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报告期内偏离度的绝对值在</w:t>
            </w:r>
            <w:r w:rsidRPr="00613409">
              <w:rPr>
                <w:color w:val="000000"/>
                <w:kern w:val="0"/>
                <w:sz w:val="24"/>
              </w:rPr>
              <w:t>0.25(</w:t>
            </w:r>
            <w:r w:rsidRPr="00613409">
              <w:rPr>
                <w:color w:val="000000"/>
                <w:kern w:val="0"/>
                <w:sz w:val="24"/>
              </w:rPr>
              <w:t>含</w:t>
            </w:r>
            <w:r w:rsidRPr="00613409">
              <w:rPr>
                <w:color w:val="000000"/>
                <w:kern w:val="0"/>
                <w:sz w:val="24"/>
              </w:rPr>
              <w:t>)-0.5%</w:t>
            </w:r>
            <w:r w:rsidRPr="00613409">
              <w:rPr>
                <w:color w:val="000000"/>
                <w:kern w:val="0"/>
                <w:sz w:val="24"/>
              </w:rPr>
              <w:t>间的次数</w:t>
            </w:r>
          </w:p>
        </w:tc>
        <w:tc>
          <w:tcPr>
            <w:tcW w:type="dxa" w:w="3382"/>
            <w:vAlign w:val="bottom"/>
          </w:tcPr>
          <w:p w:rsidP="00196812" w:rsidR="00EA3F40" w:rsidRDefault="00EA3F40" w:rsidRPr="00613409">
            <w:pPr>
              <w:spacing w:line="360" w:lineRule="auto"/>
              <w:jc w:val="right"/>
              <w:rPr>
                <w:sz w:val="24"/>
              </w:rPr>
            </w:pPr>
            <w:r w:rsidRPr="00613409">
              <w:rPr>
                <w:color w:val="000000"/>
                <w:sz w:val="24"/>
              </w:rPr>
              <w:t/>
            </w:r>
            <w:r w:rsidRPr="00613409">
              <w:rPr>
                <w:color w:val="000000"/>
                <w:sz w:val="24"/>
              </w:rPr>
              <w:lastRenderedPageBreak/>
              <w:t>35</w:t>
            </w:r>
            <w:r w:rsidRPr="00613409">
              <w:rPr>
                <w:color w:val="000000"/>
                <w:sz w:val="24"/>
              </w:rPr>
              <w:t>次</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lastRenderedPageBreak/>
              <w:t>报告期内偏离度的最高值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0.3491%</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报告期内偏离度的最低值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0.0578%</w:t>
            </w:r>
          </w:p>
        </w:tc>
      </w:tr>
      <w:tr w:rsidR="00EA3F40" w:rsidRPr="0097021E" w:rsidTr="00C526E2">
        <w:tc>
          <w:tcPr>
            <w:tcW w:type="dxa" w:w="5812"/>
            <w:vAlign w:val="center"/>
          </w:tcPr>
          <w:p w:rsidP="00BD0F36"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报告期内每个工作日偏离度的绝对值的简单平均值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0.2241%</w:t>
            </w:r>
          </w:p>
        </w:tc>
      </w:tr>
    </w:tbl>
    <w:p w:rsidP="007A1ACF" w:rsidR="007A1ACF" w:rsidRDefault="007A1ACF" w:rsidRPr="007A1ACF">
      <w:pPr>
        <w:spacing w:line="360" w:lineRule="auto"/>
        <w:rPr>
          <w:b/>
          <w:color w:val="000000"/>
          <w:kern w:val="0"/>
          <w:sz w:val="24"/>
        </w:rPr>
      </w:pPr>
      <w:r w:rsidRPr="007A1ACF">
        <w:rPr>
          <w:b/>
          <w:color w:val="000000"/>
          <w:sz w:val="24"/>
        </w:rPr>
        <w:t>报告期内负偏离度的绝对值达到</w:t>
      </w:r>
      <w:r w:rsidRPr="007A1ACF">
        <w:rPr>
          <w:b/>
          <w:color w:val="000000"/>
          <w:sz w:val="24"/>
        </w:rPr>
        <w:t>0.25%</w:t>
      </w:r>
      <w:r w:rsidRPr="007A1ACF">
        <w:rPr>
          <w:b/>
          <w:color w:val="000000"/>
          <w:sz w:val="24"/>
        </w:rPr>
        <w:t>情况说明</w:t>
      </w:r>
    </w:p>
    <w:p w:rsidP="007A1ACF" w:rsidR="007A1ACF" w:rsidRDefault="007A1ACF" w:rsidRPr="007A1ACF">
      <w:pPr>
        <w:adjustRightInd w:val="0"/>
        <w:spacing w:line="360" w:lineRule="auto"/>
        <w:ind w:firstLine="480" w:firstLineChars="200"/>
        <w:rPr>
          <w:color w:val="000000"/>
          <w:sz w:val="24"/>
        </w:rPr>
      </w:pPr>
      <w:r w:rsidRPr="007A1ACF">
        <w:rPr>
          <w:color w:val="000000"/>
          <w:sz w:val="24"/>
        </w:rPr>
        <w:t/>
      </w:r>
      <w:r w:rsidRPr="007A1ACF">
        <w:rPr>
          <w:color w:val="000000"/>
          <w:sz w:val="24"/>
        </w:rPr>
        <w:lastRenderedPageBreak/>
        <w:t>本基金本报告期内不存在负偏离度的绝对值达到0.25%的情况。</w:t>
      </w:r>
    </w:p>
    <w:p w:rsidP="007A1ACF" w:rsidR="007A1ACF" w:rsidRDefault="007A1ACF" w:rsidRPr="007A1ACF">
      <w:pPr>
        <w:spacing w:line="360" w:lineRule="auto"/>
        <w:rPr>
          <w:b/>
          <w:color w:val="000000"/>
          <w:kern w:val="0"/>
          <w:sz w:val="24"/>
        </w:rPr>
      </w:pPr>
      <w:r w:rsidRPr="007A1ACF">
        <w:rPr>
          <w:b/>
          <w:color w:val="000000"/>
          <w:sz w:val="24"/>
        </w:rPr>
        <w:t>报告期内正偏离度的绝对值达到</w:t>
      </w:r>
      <w:r w:rsidRPr="007A1ACF">
        <w:rPr>
          <w:b/>
          <w:color w:val="000000"/>
          <w:sz w:val="24"/>
        </w:rPr>
        <w:t>0.5%</w:t>
      </w:r>
      <w:r w:rsidRPr="007A1ACF">
        <w:rPr>
          <w:b/>
          <w:color w:val="000000"/>
          <w:sz w:val="24"/>
        </w:rPr>
        <w:t>情况说明</w:t>
      </w:r>
    </w:p>
    <w:p w:rsidP="00613409" w:rsidR="007A1ACF" w:rsidRDefault="007A1ACF" w:rsidRPr="007A1ACF">
      <w:pPr>
        <w:adjustRightInd w:val="0"/>
        <w:spacing w:line="360" w:lineRule="auto"/>
        <w:ind w:firstLine="480" w:firstLineChars="200"/>
        <w:rPr>
          <w:color w:val="000000"/>
          <w:sz w:val="24"/>
        </w:rPr>
      </w:pPr>
      <w:r w:rsidRPr="007A1ACF">
        <w:rPr>
          <w:color w:val="000000"/>
          <w:sz w:val="24"/>
        </w:rPr>
        <w:t>本基金本报告期内不存在正偏离度的绝对值达到0.5%的情况。</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8</w:t>
      </w:r>
      <w:r w:rsidR="00AD6777">
        <w:rPr>
          <w:rFonts w:ascii="宋体" w:cs="Arial" w:hAnsi="宋体" w:hint="eastAsia"/>
          <w:b/>
          <w:color w:val="000000"/>
          <w:kern w:val="0"/>
          <w:sz w:val="24"/>
        </w:rPr>
        <w:t>报告期末按公允价值占基金资产净值比例大小排名</w:t>
      </w:r>
      <w:r w:rsidRPr="0097021E">
        <w:rPr>
          <w:rFonts w:ascii="宋体" w:cs="Arial" w:hAnsi="宋体" w:hint="eastAsia"/>
          <w:b/>
          <w:color w:val="000000"/>
          <w:kern w:val="0"/>
          <w:sz w:val="24"/>
        </w:rPr>
        <w:t>的前十名资产支持证券投资明细</w:t>
      </w:r>
    </w:p>
    <w:tbl>
      <w:tblPr>
        <w:tblW w:type="auto" w:w="0"/>
        <w:tblInd w:type="dxa" w:w="1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1" w:firstRow="1" w:lastColumn="0" w:lastRow="0" w:noHBand="0" w:noVBand="0" w:val="00A0"/>
      </w:tblPr>
      <w:tblGrid>
        <w:gridCol w:w="1411"/>
        <w:gridCol w:w="1410"/>
        <w:gridCol w:w="1410"/>
        <w:gridCol w:w="1685"/>
        <w:gridCol w:w="1685"/>
        <w:gridCol w:w="1686"/>
      </w:tblGrid>
      <w:tr w:rsidR="00EA3F40" w:rsidRPr="0097021E" w:rsidTr="00841A22">
        <w:tc>
          <w:tcPr>
            <w:tcW w:type="dxa" w:w="1547"/>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序号</w:t>
            </w:r>
          </w:p>
        </w:tc>
        <w:tc>
          <w:tcPr>
            <w:tcW w:type="dxa" w:w="1548"/>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证券代码</w:t>
            </w:r>
          </w:p>
        </w:tc>
        <w:tc>
          <w:tcPr>
            <w:tcW w:type="dxa" w:w="1548"/>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证券名称</w:t>
            </w:r>
          </w:p>
        </w:tc>
        <w:tc>
          <w:tcPr>
            <w:tcW w:type="dxa" w:w="1548"/>
            <w:vAlign w:val="center"/>
          </w:tcPr>
          <w:p w:rsidP="007C3671"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数量</w:t>
            </w:r>
            <w:r w:rsidR="007C3671" w:rsidRPr="00613409">
              <w:rPr>
                <w:color w:val="000000"/>
                <w:kern w:val="0"/>
                <w:sz w:val="24"/>
              </w:rPr>
              <w:t>（份）</w:t>
            </w:r>
          </w:p>
        </w:tc>
        <w:tc>
          <w:tcPr>
            <w:tcW w:type="dxa" w:w="1548"/>
            <w:vAlign w:val="center"/>
          </w:tcPr>
          <w:p w:rsidP="007C3671" w:rsidR="00EA3F40" w:rsidRDefault="00DE4550" w:rsidRPr="00613409">
            <w:pPr>
              <w:autoSpaceDE w:val="0"/>
              <w:autoSpaceDN w:val="0"/>
              <w:adjustRightInd w:val="0"/>
              <w:spacing w:before="29" w:line="360" w:lineRule="auto"/>
              <w:ind w:left="15"/>
              <w:jc w:val="center"/>
              <w:rPr>
                <w:color w:val="000000"/>
                <w:kern w:val="0"/>
                <w:sz w:val="24"/>
              </w:rPr>
            </w:pPr>
            <w:r w:rsidRPr="00DE4550">
              <w:rPr>
                <w:rFonts w:hint="eastAsia"/>
                <w:color w:val="000000"/>
                <w:kern w:val="0"/>
                <w:sz w:val="24"/>
              </w:rPr>
              <w:t>摊余成本</w:t>
            </w:r>
            <w:r w:rsidR="007C3671" w:rsidRPr="00613409">
              <w:rPr>
                <w:color w:val="000000"/>
                <w:kern w:val="0"/>
                <w:sz w:val="24"/>
              </w:rPr>
              <w:t>（元）</w:t>
            </w:r>
          </w:p>
        </w:tc>
        <w:tc>
          <w:tcPr>
            <w:tcW w:type="dxa" w:w="1548"/>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138276</w:t>
            </w:r>
          </w:p>
        </w:tc>
        <w:tc>
          <w:tcPr>
            <w:vAlign w:val="center"/>
          </w:tcPr>
          <w:p>
            <w:pPr>
              <w:jc w:val="center"/>
            </w:pPr>
            <w:r>
              <w:rPr>
                <w:color w:val="000000"/>
                <w:sz w:val="24"/>
              </w:rPr>
              <w:t>永熙优20</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0.86</w:t>
            </w:r>
          </w:p>
        </w:tc>
      </w:tr>
    </w:tbl>
    <w:p w:rsidP="00976A1A" w:rsidR="00EA3F40" w:rsidRDefault="00EA3F40" w:rsidRPr="006662B2">
      <w:pPr>
        <w:spacing w:line="360" w:lineRule="auto"/>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6662B2">
        <w:rPr>
          <w:rFonts w:ascii="宋体" w:cs="Arial" w:hAnsi="宋体"/>
          <w:b/>
          <w:color w:val="000000"/>
          <w:kern w:val="0"/>
          <w:sz w:val="24"/>
        </w:rPr>
        <w:t>.</w:t>
      </w:r>
      <w:r>
        <w:rPr>
          <w:rFonts w:ascii="宋体" w:cs="Arial"/>
          <w:b/>
          <w:color w:val="000000"/>
          <w:kern w:val="0"/>
          <w:sz w:val="24"/>
        </w:rPr>
        <w:t/>
      </w:r>
      <w:r>
        <w:rPr>
          <w:rFonts w:ascii="宋体" w:cs="Arial" w:hAnsi="宋体"/>
          <w:b/>
          <w:color w:val="000000"/>
          <w:kern w:val="0"/>
          <w:sz w:val="24"/>
        </w:rPr>
        <w:t/>
      </w:r>
      <w:r w:rsidR="007A1ACF">
        <w:rPr>
          <w:rFonts w:ascii="宋体" w:cs="Arial" w:hAnsi="宋体" w:hint="eastAsia"/>
          <w:b/>
          <w:color w:val="000000"/>
          <w:kern w:val="0"/>
          <w:sz w:val="24"/>
        </w:rPr>
        <w:t/>
      </w:r>
      <w:r>
        <w:rPr>
          <w:rFonts w:ascii="宋体" w:cs="Arial" w:hAnsi="宋体"/>
          <w:b/>
          <w:color w:val="000000"/>
          <w:kern w:val="0"/>
          <w:sz w:val="24"/>
        </w:rPr>
        <w:t>9</w:t>
      </w:r>
      <w:r w:rsidRPr="006662B2">
        <w:rPr>
          <w:rFonts w:ascii="宋体" w:cs="Arial" w:hAnsi="宋体"/>
          <w:b/>
          <w:color w:val="000000"/>
          <w:kern w:val="0"/>
          <w:sz w:val="24"/>
        </w:rPr>
        <w:t xml:space="preserve"> </w:t>
      </w:r>
      <w:r w:rsidRPr="006662B2">
        <w:rPr>
          <w:rFonts w:ascii="宋体" w:cs="Arial" w:hAnsi="宋体" w:hint="eastAsia"/>
          <w:b/>
          <w:color w:val="000000"/>
          <w:kern w:val="0"/>
          <w:sz w:val="24"/>
        </w:rPr>
        <w:t>投资组合报告附注</w:t>
      </w:r>
    </w:p>
    <w:p w:rsidP="007A1ACF" w:rsidR="007A1ACF" w:rsidRDefault="007A1ACF" w:rsidRPr="007A1ACF">
      <w:pPr>
        <w:spacing w:line="360" w:lineRule="auto"/>
        <w:rPr>
          <w:color w:val="000000"/>
          <w:sz w:val="24"/>
        </w:rPr>
      </w:pPr>
      <w:r w:rsidRPr="007A1ACF">
        <w:rPr>
          <w:color w:val="000000"/>
          <w:sz w:val="24"/>
        </w:rPr>
        <w:t>5.9.1</w:t>
      </w:r>
      <w:r w:rsidRPr="007A1ACF">
        <w:rPr>
          <w:color w:val="000000"/>
          <w:sz w:val="24"/>
        </w:rPr>
        <w:t>基金计价方法说明</w:t>
      </w:r>
    </w:p>
    <w:p>
      <w:pPr>
        <w:spacing w:line="360" w:lineRule="auto"/>
        <w:ind w:firstLine="480" w:firstLineChars="200"/>
        <w:rPr>
          <w:color w:val="000000"/>
          <w:sz w:val="24"/>
        </w:rPr>
      </w:pPr>
      <w:r>
        <w:rPr>
          <w:color w:val="000000"/>
          <w:sz w:val="24"/>
        </w:rPr>
        <w:t>本基金目前投资工具的估值方法如下：</w:t>
      </w:r>
    </w:p>
    <w:p>
      <w:pPr>
        <w:spacing w:line="360" w:lineRule="auto"/>
        <w:ind w:firstLine="480" w:firstLineChars="200"/>
        <w:rPr>
          <w:color w:val="000000"/>
          <w:sz w:val="24"/>
        </w:rPr>
      </w:pPr>
      <w:r>
        <w:rPr>
          <w:color w:val="000000"/>
          <w:sz w:val="24"/>
        </w:rPr>
        <w:t>（1）基金持有的债券（包括票据）购买时采用实际支付价款（包含交易费用）确定初始成本，按实际利率计算其摊余成本及各期利息收入，每日计提收益；</w:t>
      </w:r>
    </w:p>
    <w:p>
      <w:pPr>
        <w:spacing w:line="360" w:lineRule="auto"/>
        <w:ind w:firstLine="480" w:firstLineChars="200"/>
        <w:rPr>
          <w:color w:val="000000"/>
          <w:sz w:val="24"/>
        </w:rPr>
      </w:pPr>
      <w:r>
        <w:rPr>
          <w:color w:val="000000"/>
          <w:sz w:val="24"/>
        </w:rPr>
        <w:t>（2）基金持有的回购以成本列示，按实际利率在实际持有期间内逐日计提利息；合同利率与实际利率差异较小的，也可采用合同利率计算确定利息收入；</w:t>
      </w:r>
    </w:p>
    <w:p>
      <w:pPr>
        <w:spacing w:line="360" w:lineRule="auto"/>
        <w:ind w:firstLine="480" w:firstLineChars="200"/>
        <w:rPr>
          <w:color w:val="000000"/>
          <w:sz w:val="24"/>
        </w:rPr>
      </w:pPr>
      <w:r>
        <w:rPr>
          <w:color w:val="000000"/>
          <w:sz w:val="24"/>
        </w:rPr>
        <w:t>（3）基金持有的银行存款以本金列示，按实际协议利率逐日计提利息。</w:t>
      </w:r>
    </w:p>
    <w:p>
      <w:pPr>
        <w:spacing w:line="360" w:lineRule="auto"/>
        <w:ind w:firstLine="480" w:firstLineChars="200"/>
        <w:rPr>
          <w:color w:val="000000"/>
          <w:sz w:val="24"/>
        </w:rPr>
      </w:pPr>
      <w:r>
        <w:rPr>
          <w:color w:val="000000"/>
          <w:sz w:val="24"/>
        </w:rPr>
        <w:t>如有确凿证据表明按上述方法进行估值不能客观反映其公允价值的，基金管理人可根据具体情况与基金托管人商定后，按最能反映公允价值的方法估值。</w:t>
      </w:r>
    </w:p>
    <w:p w:rsidP="007A1ACF" w:rsidR="007A1ACF" w:rsidRDefault="007A1ACF" w:rsidRPr="007A1ACF">
      <w:pPr>
        <w:spacing w:line="360" w:lineRule="auto"/>
        <w:ind w:firstLine="480" w:firstLineChars="200"/>
        <w:rPr>
          <w:color w:val="000000"/>
          <w:sz w:val="24"/>
        </w:rPr>
      </w:pPr>
      <w:r w:rsidRPr="007A1ACF">
        <w:rPr>
          <w:color w:val="000000"/>
          <w:sz w:val="24"/>
        </w:rPr>
        <w:t>如有新增事项，按国家最新规定估值。</w:t>
      </w:r>
    </w:p>
    <w:p w:rsidP="00613409" w:rsidR="00EA3F40" w:rsidRDefault="007A1ACF" w:rsidRPr="007A1ACF">
      <w:pPr>
        <w:widowControl/>
        <w:spacing w:line="360" w:lineRule="auto"/>
        <w:rPr>
          <w:color w:val="000000"/>
          <w:sz w:val="24"/>
        </w:rPr>
      </w:pPr>
      <w:r w:rsidRPr="007A1ACF">
        <w:rPr>
          <w:color w:val="000000"/>
          <w:sz w:val="24"/>
        </w:rPr>
        <w:t>5.9.2</w:t>
      </w:r>
      <w:r w:rsidR="00D568AA">
        <w:rPr>
          <w:rFonts w:hint="eastAsia"/>
          <w:color w:val="000000"/>
          <w:sz w:val="24"/>
        </w:rPr>
        <w:t xml:space="preserve"> </w:t>
      </w:r>
      <w:r w:rsidRPr="007A1ACF">
        <w:rPr>
          <w:color w:val="000000"/>
          <w:sz w:val="24"/>
        </w:rPr>
        <w:t>2019年7月25日，中国银行保险监督管理委员会上海监管局针对中国农业银行股份有限公司信用卡中心的如下违法违规行为作出“责令改正，并处罚款20万元”的行政处罚决定：2017年5月至2018年6月在办理部分客户信用卡业务时未遵守总授信额度管理制度的违法违规事实。2020年1月19日，国家税务总局北京市海淀区税务局对中国农业银行股份有限公司未按照规定期限办理纳税申报和报送纳税资料的违法违规事实，作出罚款50万元的行政处罚决定。2020年3月9日，中国银行保险监督管理委员会对中国农业银行股份有限公司的如下违法违规行为作出罚款50万元的行政处罚决定：可回溯制度执行不到位、可回溯基础管理不到位、部分可回溯视频质检结果未反馈给保险公司、可回溯资料不符合监管规定。2020年4月22日，中国银行保险监督管理委员会对中国农业银行股份有限公司的如下违法违规行为作出罚款230万元的行政处罚决定：农业银行监管标准化数据（EAST）系统数据质量及数据报送（一）资金交易信息漏报严重；（二）信贷资产转让业务漏报；（三）贸易融资业务漏报；（四）分户账明细记录应报未报；（五）分户账账户数据应报未报；（六）关键且应报字段漏报或填报错误。2020年4月22日，中国银行保险监督管理委员会对中国农业银行股份有限公司的如下违法违规行为作出罚款200万元的行政处罚决定：（一）“两会一层”境外机构管理履职不到位；（二）国别风险管理不满足监管要求；（三）信贷资金被挪用作保证金；（四）未将集团成员纳入集团客户统一授信管理。</w:t>
      </w:r>
    </w:p>
    <w:p>
      <w:pPr>
        <w:widowControl/>
        <w:spacing w:line="360" w:lineRule="auto"/>
        <w:rPr>
          <w:color w:val="000000"/>
          <w:sz w:val="24"/>
        </w:rPr>
      </w:pPr>
      <w:r>
        <w:rPr>
          <w:color w:val="000000"/>
          <w:sz w:val="24"/>
        </w:rPr>
        <w:t>2019年7月8日，中国银行保险监督管理委员会上海监管局对上海银行股份有限公司信用卡中心的如下违法违规行为作出“责令改正，并处罚款40万元”的行政处罚决定：2017年12月，该中心在为部分客户办理信用卡业务时，未遵守总授信额度管理制度。2019年11月2日，中国人民银行上海分行对上海银行股份有限公司违反支付业务规定的行为，没收违法所得1,762,787.61元，并处以1,762,787.61元罚款，共计3,525,575.22元，同时对相关高级管理人员作出处罚。</w:t>
      </w:r>
    </w:p>
    <w:p>
      <w:pPr>
        <w:widowControl/>
        <w:spacing w:line="360" w:lineRule="auto"/>
        <w:rPr>
          <w:color w:val="000000"/>
          <w:sz w:val="24"/>
        </w:rPr>
      </w:pPr>
      <w:r>
        <w:rPr>
          <w:color w:val="000000"/>
          <w:sz w:val="24"/>
        </w:rPr>
        <w:t>2019年7月25日，中国银行保险监督管理委员会上海监管局对交通银行股份有限公司太平洋信用卡中心的如下违法违规行为作出“处以责令改正，并处罚款40万元”的行政处罚决定：2017年6月至10月期间在办理部分客户信用卡业务时未遵守总授信额度管理制度。2019年12月27日，中国银行保险监督管理委员会对交通银行股份有限公司如下违法违规行为作出“罚款150万元”的行政处罚：1、授信审批不审慎；2、总行对分支机构管控不力承担管理责任。2020年4月20日，中国银行保险监督管理委员会对交通银行股份有限公司如下违法违规行为作出“罚款260万元”的行政处罚：交通银行监管标准化数据（EAST）系统数据质量及数据报送存在（一）理财产品数量漏报；（二）资金交易信息漏报严重；（三）贸易融资业务漏报；（四）信贷业务担保合同漏报；（五）分户账明细记录应报未报；（六）分户账账户数据应报未报；（七）关键且应报字段漏报或填报错误。</w:t>
      </w:r>
    </w:p>
    <w:p>
      <w:pPr>
        <w:widowControl/>
        <w:spacing w:line="360" w:lineRule="auto"/>
        <w:rPr>
          <w:color w:val="000000"/>
          <w:sz w:val="24"/>
        </w:rPr>
      </w:pPr>
      <w:r>
        <w:rPr>
          <w:color w:val="000000"/>
          <w:sz w:val="24"/>
        </w:rPr>
        <w:t>本基金投资19农业银行CD094、20上海银行CD060、20交通银行CD029、20交通银行CD020的投资决策程序符合公司投资制度的规定。</w:t>
      </w:r>
    </w:p>
    <w:p>
      <w:pPr>
        <w:widowControl/>
        <w:spacing w:line="360" w:lineRule="auto"/>
        <w:rPr>
          <w:color w:val="000000"/>
          <w:sz w:val="24"/>
        </w:rPr>
      </w:pPr>
      <w:r>
        <w:rPr>
          <w:color w:val="000000"/>
          <w:sz w:val="24"/>
        </w:rPr>
        <w:t>除19农业银行CD094、20上海银行CD060、20交通银行CD029、20交通银行CD020外，本基金投资的前十名证券的发行主体本期没有出现被监管部门立案调查，或在报告编制日前一年内受到公开谴责、处罚的情形。</w:t>
      </w:r>
    </w:p>
    <w:p w:rsidP="00976A1A" w:rsidR="00EA3F40" w:rsidRDefault="00EA3F40" w:rsidRPr="007A1ACF">
      <w:pPr>
        <w:spacing w:line="360" w:lineRule="auto"/>
        <w:rPr>
          <w:bCs/>
          <w:sz w:val="24"/>
        </w:rPr>
      </w:pPr>
      <w:r w:rsidRPr="007A1ACF">
        <w:rPr>
          <w:sz w:val="24"/>
        </w:rPr>
        <w:t>5.9.3</w:t>
      </w:r>
      <w:r w:rsidR="00B261EB">
        <w:rPr>
          <w:sz w:val="24"/>
        </w:rPr>
        <w:t>其他</w:t>
      </w:r>
      <w:bookmarkStart w:id="2" w:name="_GoBack"/>
      <w:bookmarkEnd w:id="2"/>
      <w:r w:rsidRPr="007A1ACF">
        <w:rPr>
          <w:sz w:val="24"/>
        </w:rPr>
        <w:t>资产构成</w:t>
      </w:r>
    </w:p>
    <w:tbl>
      <w:tblPr>
        <w:tblW w:type="auto" w:w="0"/>
        <w:tblInd w:type="dxa" w:w="1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942"/>
        <w:gridCol w:w="3535"/>
        <w:gridCol w:w="4808"/>
      </w:tblGrid>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序号</w:t>
            </w:r>
          </w:p>
        </w:tc>
        <w:tc>
          <w:tcPr>
            <w:tcW w:type="dxa" w:w="3535"/>
            <w:vAlign w:val="center"/>
          </w:tcPr>
          <w:p w:rsidP="00841A22"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名称</w:t>
            </w:r>
          </w:p>
        </w:tc>
        <w:tc>
          <w:tcPr>
            <w:tcW w:type="dxa" w:w="4808"/>
            <w:vAlign w:val="center"/>
          </w:tcPr>
          <w:p w:rsidP="007C3671"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金额</w:t>
            </w:r>
            <w:r w:rsidR="007C3671" w:rsidRPr="00613409">
              <w:rPr>
                <w:color w:val="000000"/>
                <w:kern w:val="0"/>
                <w:sz w:val="24"/>
              </w:rPr>
              <w:t>（元）</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sz w:val="24"/>
              </w:rPr>
              <w:t>1</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存出保证金</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2</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应收证券清算款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17,372.61</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3</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应收利息</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3,290,773.37</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4</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应收申购款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22,458,012.11</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5</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其他应收款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6</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待摊费用</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7</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其他</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8</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合计</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25,766,158.09</w:t>
            </w:r>
          </w:p>
        </w:tc>
      </w:tr>
    </w:tbl>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hAnsi="宋体"/>
          <w:color w:val="000000"/>
          <w:kern w:val="0"/>
          <w:sz w:val="24"/>
          <w:szCs w:val="24"/>
        </w:rPr>
        <w:t xml:space="preserve">6  </w:t>
      </w:r>
      <w:r w:rsidRPr="0097021E">
        <w:rPr>
          <w:rFonts w:ascii="宋体" w:cs="Arial" w:hAnsi="宋体" w:hint="eastAsia"/>
          <w:color w:val="000000"/>
          <w:kern w:val="0"/>
          <w:sz w:val="24"/>
          <w:szCs w:val="24"/>
        </w:rPr>
        <w:t>开放式基金份额变动</w:t>
      </w:r>
    </w:p>
    <w:p w:rsidP="00196812" w:rsidR="00EA3F40" w:rsidRDefault="00EA3F40"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单位：份</w:t>
      </w:r>
    </w:p>
    <w:tbl>
      <w:tblPr>
        <w:tblW w:type="dxa" w:w="1008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3279"/>
        <w:gridCol w:w="2268"/>
        <w:gridCol w:w="2268"/>
        <w:gridCol w:w="2269"/>
      </w:tblGrid>
      <w:tr w:rsidR="00EA3F40" w:rsidRPr="0097021E" w:rsidTr="00102307">
        <w:trPr>
          <w:jc w:val="center"/>
        </w:trPr>
        <w:tc>
          <w:tcPr>
            <w:tcW w:type="dxa" w:w="3279"/>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p>
        </w:tc>
        <w:tc>
          <w:tcPr>
            <w:tcW w:type="dxa" w:w="2268"/>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易方达龙宝货币A</w:t>
            </w:r>
          </w:p>
        </w:tc>
        <w:tc>
          <w:tcPr>
            <w:tcW w:type="dxa" w:w="2268"/>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易方达龙宝货币B</w:t>
            </w:r>
          </w:p>
        </w:tc>
        <w:tc>
          <w:tcPr>
            <w:tcW w:type="dxa" w:w="2269"/>
          </w:tcPr>
          <w:p w:rsidP="003451F3"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易方达龙宝货币C</w:t>
            </w:r>
          </w:p>
        </w:tc>
      </w:tr>
      <w:tr w:rsidR="00EA3F40" w:rsidRPr="0097021E" w:rsidTr="00F56FBC">
        <w:trPr>
          <w:jc w:val="center"/>
        </w:trPr>
        <w:tc>
          <w:tcPr>
            <w:tcW w:type="dxa" w:w="3279"/>
            <w:vAlign w:val="center"/>
          </w:tcPr>
          <w:p w:rsidP="00587524" w:rsidR="00EA3F40" w:rsidRDefault="00EA3F40" w:rsidRPr="00613409">
            <w:pPr>
              <w:autoSpaceDE w:val="0"/>
              <w:autoSpaceDN w:val="0"/>
              <w:adjustRightInd w:val="0"/>
              <w:spacing w:before="29" w:line="360" w:lineRule="auto"/>
              <w:ind w:left="17"/>
              <w:jc w:val="left"/>
              <w:rPr>
                <w:color w:val="000000"/>
                <w:kern w:val="0"/>
                <w:sz w:val="24"/>
              </w:rPr>
            </w:pPr>
            <w:r w:rsidRPr="00613409">
              <w:rPr>
                <w:color w:val="000000"/>
                <w:kern w:val="0"/>
                <w:sz w:val="24"/>
              </w:rPr>
              <w:t>报告期期初基金份额总额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876,319,088.66</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106,942,257.90</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190,062,992.93</w:t>
            </w:r>
          </w:p>
        </w:tc>
      </w:tr>
      <w:tr w:rsidR="00EA3F40" w:rsidRPr="0097021E" w:rsidTr="00F56FBC">
        <w:trPr>
          <w:jc w:val="center"/>
        </w:trPr>
        <w:tc>
          <w:tcPr>
            <w:tcW w:type="dxa" w:w="3279"/>
          </w:tcPr>
          <w:p w:rsidP="006B56E1" w:rsidR="00EA3F40" w:rsidRDefault="00EA3F40" w:rsidRPr="00613409">
            <w:pPr>
              <w:adjustRightInd w:val="0"/>
              <w:snapToGrid w:val="0"/>
              <w:spacing w:line="340" w:lineRule="exact"/>
              <w:rPr>
                <w:color w:val="000000"/>
                <w:sz w:val="24"/>
              </w:rPr>
            </w:pPr>
            <w:r w:rsidRPr="00613409">
              <w:rPr>
                <w:color w:val="000000"/>
                <w:kern w:val="0"/>
                <w:sz w:val="24"/>
              </w:rPr>
              <w:t>报告期</w:t>
            </w:r>
            <w:r w:rsidRPr="00613409">
              <w:rPr>
                <w:color w:val="000000"/>
                <w:sz w:val="24"/>
              </w:rPr>
              <w:t>基金总申购份额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892,687,609.00</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127,866,271.36</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389,291,608.06</w:t>
            </w:r>
          </w:p>
        </w:tc>
      </w:tr>
      <w:tr w:rsidR="00EA3F40" w:rsidRPr="0097021E" w:rsidTr="00F56FBC">
        <w:trPr>
          <w:jc w:val="center"/>
        </w:trPr>
        <w:tc>
          <w:tcPr>
            <w:tcW w:type="dxa" w:w="3279"/>
          </w:tcPr>
          <w:p w:rsidP="006B56E1" w:rsidR="00EA3F40" w:rsidRDefault="00EA3F40" w:rsidRPr="00613409">
            <w:pPr>
              <w:adjustRightInd w:val="0"/>
              <w:snapToGrid w:val="0"/>
              <w:spacing w:line="340" w:lineRule="exact"/>
              <w:rPr>
                <w:color w:val="000000"/>
                <w:sz w:val="24"/>
              </w:rPr>
            </w:pPr>
            <w:r w:rsidRPr="00613409">
              <w:rPr>
                <w:color w:val="000000"/>
                <w:kern w:val="0"/>
                <w:sz w:val="24"/>
              </w:rPr>
              <w:t>报告期</w:t>
            </w:r>
            <w:r w:rsidRPr="00613409">
              <w:rPr>
                <w:color w:val="000000"/>
                <w:sz w:val="24"/>
              </w:rPr>
              <w:t>基金总赎回份额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928,531,945.18</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161,679,627.20</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330,495,156.36</w:t>
            </w:r>
          </w:p>
        </w:tc>
      </w:tr>
      <w:tr w:rsidR="00EA3F40" w:rsidRPr="0097021E" w:rsidTr="00A40052">
        <w:trPr>
          <w:jc w:val="center"/>
        </w:trPr>
        <w:tc>
          <w:tcPr>
            <w:tcW w:type="dxa" w:w="3279"/>
          </w:tcPr>
          <w:p w:rsidP="00587524" w:rsidR="00EA3F40" w:rsidRDefault="00EA3F40" w:rsidRPr="00613409">
            <w:pPr>
              <w:adjustRightInd w:val="0"/>
              <w:snapToGrid w:val="0"/>
              <w:spacing w:line="340" w:lineRule="exact"/>
              <w:rPr>
                <w:color w:val="000000"/>
                <w:sz w:val="24"/>
              </w:rPr>
            </w:pPr>
            <w:r w:rsidRPr="00613409">
              <w:rPr>
                <w:color w:val="000000"/>
                <w:sz w:val="24"/>
              </w:rPr>
              <w:t>报告期期末基金份额总额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840,474,752.48</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73,128,902.06</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248,859,444.63</w:t>
            </w:r>
          </w:p>
        </w:tc>
      </w:tr>
    </w:tbl>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color w:val="000000"/>
          <w:kern w:val="0"/>
          <w:sz w:val="24"/>
          <w:szCs w:val="24"/>
        </w:rPr>
        <w:t/>
      </w:r>
      <w:r w:rsidRPr="0097021E">
        <w:rPr>
          <w:rFonts w:ascii="宋体" w:cs="Arial" w:hAnsi="宋体"/>
          <w:color w:val="000000"/>
          <w:kern w:val="0"/>
          <w:sz w:val="24"/>
          <w:szCs w:val="24"/>
        </w:rPr>
        <w:t/>
      </w:r>
      <w:r w:rsidRPr="0097021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97021E">
        <w:rPr>
          <w:rFonts w:ascii="宋体" w:cs="Arial"/>
          <w:color w:val="000000"/>
          <w:kern w:val="0"/>
          <w:sz w:val="24"/>
          <w:szCs w:val="24"/>
        </w:rPr>
        <w:t>7</w:t>
      </w:r>
      <w:r w:rsidRPr="0097021E">
        <w:rPr>
          <w:rFonts w:ascii="宋体" w:cs="Arial" w:hAnsi="宋体"/>
          <w:color w:val="000000"/>
          <w:kern w:val="0"/>
          <w:sz w:val="24"/>
          <w:szCs w:val="24"/>
        </w:rPr>
        <w:t xml:space="preserve">  </w:t>
      </w:r>
      <w:r w:rsidRPr="00877329">
        <w:rPr>
          <w:rFonts w:ascii="宋体" w:cs="Arial" w:hAnsi="宋体" w:hint="eastAsia"/>
          <w:color w:val="000000"/>
          <w:kern w:val="0"/>
          <w:sz w:val="24"/>
          <w:szCs w:val="24"/>
        </w:rPr>
        <w:t>基金管理人运用固有资金投资本基金交易明细</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本报告期内基金管理人未运用固有资金申购、赎回、买卖本基金份额。</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color w:val="000000"/>
          <w:kern w:val="0"/>
          <w:sz w:val="24"/>
          <w:szCs w:val="24"/>
        </w:rPr>
        <w:t/>
      </w:r>
      <w:r w:rsidRPr="0097021E">
        <w:rPr>
          <w:rFonts w:ascii="宋体" w:cs="Arial" w:hAnsi="宋体"/>
          <w:color w:val="000000"/>
          <w:kern w:val="0"/>
          <w:sz w:val="24"/>
          <w:szCs w:val="24"/>
        </w:rPr>
        <w:t xml:space="preserve">8  </w:t>
      </w:r>
      <w:r w:rsidRPr="0097021E">
        <w:rPr>
          <w:rFonts w:ascii="宋体" w:cs="Arial" w:hAnsi="宋体" w:hint="eastAsia"/>
          <w:color w:val="000000"/>
          <w:kern w:val="0"/>
          <w:sz w:val="24"/>
          <w:szCs w:val="24"/>
        </w:rPr>
        <w:t>备查文件目录</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.1 </w:t>
      </w:r>
      <w:r w:rsidRPr="0097021E">
        <w:rPr>
          <w:rFonts w:ascii="宋体" w:hAnsi="宋体" w:hint="eastAsia"/>
          <w:b/>
          <w:bCs/>
          <w:color w:val="000000"/>
          <w:kern w:val="0"/>
          <w:sz w:val="24"/>
        </w:rPr>
        <w:t>备查文件目录</w:t>
      </w:r>
    </w:p>
    <w:p>
      <w:pPr>
        <w:adjustRightInd w:val="0"/>
        <w:spacing w:line="360" w:lineRule="auto"/>
        <w:ind w:firstLine="480" w:firstLineChars="200"/>
        <w:rPr>
          <w:color w:val="000000"/>
          <w:sz w:val="24"/>
        </w:rPr>
      </w:pPr>
      <w:r>
        <w:rPr>
          <w:color w:val="000000"/>
          <w:sz w:val="24"/>
        </w:rPr>
        <w:t>1.中国证监会注册易方达龙宝货币市场基金募集的文件；</w:t>
      </w:r>
    </w:p>
    <w:p>
      <w:pPr>
        <w:adjustRightInd w:val="0"/>
        <w:spacing w:line="360" w:lineRule="auto"/>
        <w:ind w:firstLine="480" w:firstLineChars="200"/>
        <w:rPr>
          <w:color w:val="000000"/>
          <w:sz w:val="24"/>
        </w:rPr>
      </w:pPr>
      <w:r>
        <w:rPr>
          <w:color w:val="000000"/>
          <w:sz w:val="24"/>
        </w:rPr>
        <w:t>2.《易方达龙宝货币市场基金基金合同》；</w:t>
      </w:r>
    </w:p>
    <w:p>
      <w:pPr>
        <w:adjustRightInd w:val="0"/>
        <w:spacing w:line="360" w:lineRule="auto"/>
        <w:ind w:firstLine="480" w:firstLineChars="200"/>
        <w:rPr>
          <w:color w:val="000000"/>
          <w:sz w:val="24"/>
        </w:rPr>
      </w:pPr>
      <w:r>
        <w:rPr>
          <w:color w:val="000000"/>
          <w:sz w:val="24"/>
        </w:rPr>
        <w:t>3.《易方达龙宝货币市场基金托管协议》；</w:t>
      </w:r>
    </w:p>
    <w:p>
      <w:pPr>
        <w:adjustRightInd w:val="0"/>
        <w:spacing w:line="360" w:lineRule="auto"/>
        <w:ind w:firstLine="480" w:firstLineChars="200"/>
        <w:rPr>
          <w:color w:val="000000"/>
          <w:sz w:val="24"/>
        </w:rPr>
      </w:pPr>
      <w:r>
        <w:rPr>
          <w:color w:val="000000"/>
          <w:sz w:val="24"/>
        </w:rPr>
        <w:t>4.《易方达基金管理有限公司开放式基金业务规则》；</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5.基金管理人业务资格批件、营业执照。</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.2 </w:t>
      </w:r>
      <w:r w:rsidRPr="0097021E">
        <w:rPr>
          <w:rFonts w:ascii="宋体" w:hAnsi="宋体" w:hint="eastAsia"/>
          <w:b/>
          <w:bCs/>
          <w:color w:val="000000"/>
          <w:kern w:val="0"/>
          <w:sz w:val="24"/>
        </w:rPr>
        <w:t>存放地点</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广州市天河区珠江新城珠江东路30号广州银行大厦40-43楼。</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.3 </w:t>
      </w:r>
      <w:r w:rsidRPr="0097021E">
        <w:rPr>
          <w:rFonts w:ascii="宋体" w:hAnsi="宋体" w:hint="eastAsia"/>
          <w:b/>
          <w:bCs/>
          <w:color w:val="000000"/>
          <w:kern w:val="0"/>
          <w:sz w:val="24"/>
        </w:rPr>
        <w:t>查阅方式</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投资者可在营业时间免费查阅，也可按工本费购买复印件。</w:t>
      </w: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196812" w:rsidR="00EA3F40" w:rsidRDefault="00EA3F40" w:rsidRPr="0097021E">
      <w:pPr>
        <w:spacing w:line="360" w:lineRule="auto"/>
        <w:ind w:left="840"/>
        <w:jc w:val="right"/>
        <w:rPr>
          <w:rFonts w:ascii="宋体"/>
          <w:color w:val="000000"/>
          <w:sz w:val="24"/>
        </w:rPr>
      </w:pPr>
    </w:p>
    <w:p w:rsidP="00394BC1" w:rsidR="00EA3F40" w:rsidRDefault="00EA3F40" w:rsidRPr="0097021E">
      <w:pPr>
        <w:spacing w:line="360" w:lineRule="auto"/>
        <w:jc w:val="right"/>
        <w:rPr>
          <w:rFonts w:ascii="宋体" w:hAnsi="宋体"/>
          <w:b/>
          <w:bCs/>
          <w:sz w:val="24"/>
        </w:rPr>
      </w:pPr>
      <w:r w:rsidRPr="0097021E">
        <w:rPr>
          <w:rFonts w:ascii="宋体"/>
          <w:b/>
          <w:bCs/>
          <w:sz w:val="24"/>
        </w:rPr>
        <w:t/>
      </w:r>
      <w:r w:rsidRPr="0097021E">
        <w:rPr>
          <w:rFonts w:ascii="宋体" w:hAnsi="宋体"/>
          <w:b/>
          <w:bCs/>
          <w:sz w:val="24"/>
        </w:rPr>
        <w:t>易方达基金管理有限公司</w:t>
      </w:r>
    </w:p>
    <w:p w:rsidP="00394BC1" w:rsidR="00EA3F40" w:rsidRDefault="00EA3F40" w:rsidRPr="0097021E">
      <w:pPr>
        <w:spacing w:line="360" w:lineRule="auto"/>
        <w:jc w:val="right"/>
        <w:rPr>
          <w:rFonts w:ascii="宋体" w:hAnsi="宋体"/>
          <w:b/>
          <w:bCs/>
          <w:sz w:val="24"/>
        </w:rPr>
      </w:pPr>
      <w:r w:rsidRPr="0097021E">
        <w:rPr>
          <w:rFonts w:ascii="宋体" w:hAnsi="宋体"/>
          <w:b/>
          <w:bCs/>
          <w:sz w:val="24"/>
        </w:rPr>
        <w:t>二〇二〇年七月二十一日</w:t>
      </w:r>
    </w:p>
    <w:sectPr w:rsidR="00EA3F40" w:rsidRPr="0097021E" w:rsidSect="00075BBB">
      <w:pgSz w:h="15840" w:w="11926"/>
      <w:pgMar w:bottom="852" w:footer="992" w:gutter="0" w:header="851" w:left="1420" w:right="1420" w:top="1420"/>
      <w:cols w:space="720"/>
      <w:noEndnote/>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95B" w:rsidRDefault="0038195B">
      <w:r>
        <w:separator/>
      </w:r>
    </w:p>
  </w:endnote>
  <w:endnote w:type="continuationSeparator" w:id="0">
    <w:p w:rsidR="0038195B" w:rsidRDefault="0038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0DB0" w:rsidR="00FC1146" w:rsidRDefault="00FC1146" w:rsidRPr="001D0DB0">
    <w:pPr>
      <w:pStyle w:val="a5"/>
      <w:jc w:val="center"/>
    </w:pPr>
    <w:r>
      <w:rPr>
        <w:rFonts w:hint="eastAsia"/>
        <w:szCs w:val="21"/>
      </w:rPr>
      <w:t>第</w:t>
    </w:r>
    <w:r>
      <w:rPr>
        <w:szCs w:val="21"/>
      </w:rPr>
      <w:fldChar w:fldCharType="begin"/>
    </w:r>
    <w:r>
      <w:rPr>
        <w:szCs w:val="21"/>
      </w:rPr>
      <w:instrText xml:space="preserve"> PAGE </w:instrText>
    </w:r>
    <w:r>
      <w:rPr>
        <w:szCs w:val="21"/>
      </w:rPr>
      <w:fldChar w:fldCharType="separate"/>
    </w:r>
    <w:r w:rsidR="00B261EB">
      <w:rPr>
        <w:noProof/>
        <w:szCs w:val="21"/>
      </w:rPr>
      <w:t>21</w:t>
    </w:r>
    <w:r>
      <w:rPr>
        <w:szCs w:val="21"/>
      </w:rPr>
      <w:fldChar w:fldCharType="end"/>
    </w:r>
    <w:r>
      <w:rPr>
        <w:rFonts w:hint="eastAsia"/>
        <w:szCs w:val="21"/>
      </w:rPr>
      <w:t>页共</w:t>
    </w:r>
    <w:r>
      <w:rPr>
        <w:szCs w:val="21"/>
      </w:rPr>
      <w:fldChar w:fldCharType="begin"/>
    </w:r>
    <w:r>
      <w:rPr>
        <w:szCs w:val="21"/>
      </w:rPr>
      <w:instrText xml:space="preserve"> NUMPAGES </w:instrText>
    </w:r>
    <w:r>
      <w:rPr>
        <w:szCs w:val="21"/>
      </w:rPr>
      <w:fldChar w:fldCharType="separate"/>
    </w:r>
    <w:r w:rsidR="00B261EB">
      <w:rPr>
        <w:noProof/>
        <w:szCs w:val="21"/>
      </w:rPr>
      <w:t>28</w:t>
    </w:r>
    <w:r>
      <w:rPr>
        <w:szCs w:val="21"/>
      </w:rPr>
      <w:fldChar w:fldCharType="end"/>
    </w:r>
    <w:r>
      <w:rPr>
        <w:rFonts w:hint="eastAsia"/>
        <w:szCs w:val="21"/>
      </w:rPr>
      <w:t>页</w:t>
    </w: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38195B" w:rsidRDefault="0038195B">
      <w:r>
        <w:separator/>
      </w:r>
    </w:p>
  </w:footnote>
  <w:footnote w:id="0" w:type="continuationSeparator">
    <w:p w:rsidR="0038195B" w:rsidRDefault="0038195B">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8379E2" w:rsidR="00FC1146" w:rsidRDefault="00FC1146" w:rsidRPr="00936106">
    <w:pPr>
      <w:pStyle w:val="a4"/>
      <w:pBdr>
        <w:bottom w:color="auto" w:space="0" w:sz="6" w:val="single"/>
      </w:pBdr>
      <w:jc w:val="right"/>
      <w:rPr>
        <w:sz w:val="15"/>
      </w:rPr>
    </w:pPr>
    <w:r w:rsidRPr="00936106">
      <w:rPr>
        <w:szCs w:val="21"/>
      </w:rPr>
      <w:t>易方达龙宝货币市场基金2020年第2季度报告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E125ACF"/>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abstractNum w:abstractNumId="1">
    <w:nsid w:val="76E15721"/>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num w:numId="1">
    <w:abstractNumId w:val="0"/>
  </w:num>
  <w:num w:numId="2">
    <w:abstractNumId w:val="1"/>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embedSystemFonts/>
  <w:bordersDoNotSurroundHeader/>
  <w:bordersDoNotSurroundFooter/>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CN" w:val="$([{£¥·‘“〈《「『【〔〖〝﹙﹛﹝＄（．［｛￡￥"/>
  <w:noLineBreaksBefore w:lang="zh-CN" w:val="!%),.:;&gt;?]}¢¨°·ˇˉ―‖’”…‰′″›℃∶、。〃〉》」』】〕〗〞︶︺︾﹀﹄﹚﹜﹞！＂％＇），．：；？］｀｜｝～￠"/>
  <w:doNotValidateAgainstSchema/>
  <w:doNotDemarcateInvalidXml/>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283"/>
    <w:rsid w:val="000028CE"/>
    <w:rsid w:val="00004DE7"/>
    <w:rsid w:val="00005433"/>
    <w:rsid w:val="0001552D"/>
    <w:rsid w:val="0001566B"/>
    <w:rsid w:val="000175F5"/>
    <w:rsid w:val="0002085F"/>
    <w:rsid w:val="00025C5D"/>
    <w:rsid w:val="000321E9"/>
    <w:rsid w:val="00034C31"/>
    <w:rsid w:val="00035596"/>
    <w:rsid w:val="000417E0"/>
    <w:rsid w:val="00044724"/>
    <w:rsid w:val="00047661"/>
    <w:rsid w:val="00052CA4"/>
    <w:rsid w:val="00053472"/>
    <w:rsid w:val="00054470"/>
    <w:rsid w:val="0005518A"/>
    <w:rsid w:val="00057D26"/>
    <w:rsid w:val="00063BA4"/>
    <w:rsid w:val="0006697D"/>
    <w:rsid w:val="00067A21"/>
    <w:rsid w:val="00070092"/>
    <w:rsid w:val="0007109E"/>
    <w:rsid w:val="00075BBB"/>
    <w:rsid w:val="00075CA2"/>
    <w:rsid w:val="0007770D"/>
    <w:rsid w:val="00086731"/>
    <w:rsid w:val="000A39AB"/>
    <w:rsid w:val="000A466F"/>
    <w:rsid w:val="000B2044"/>
    <w:rsid w:val="000B2266"/>
    <w:rsid w:val="000C469F"/>
    <w:rsid w:val="000D0F44"/>
    <w:rsid w:val="000D6294"/>
    <w:rsid w:val="000E0F6E"/>
    <w:rsid w:val="000F3C21"/>
    <w:rsid w:val="000F4826"/>
    <w:rsid w:val="000F5947"/>
    <w:rsid w:val="00101278"/>
    <w:rsid w:val="00102307"/>
    <w:rsid w:val="001038EF"/>
    <w:rsid w:val="00103B93"/>
    <w:rsid w:val="001074D6"/>
    <w:rsid w:val="001136E5"/>
    <w:rsid w:val="00113777"/>
    <w:rsid w:val="00114C97"/>
    <w:rsid w:val="00127B62"/>
    <w:rsid w:val="001302DB"/>
    <w:rsid w:val="00157B55"/>
    <w:rsid w:val="00162222"/>
    <w:rsid w:val="001635C7"/>
    <w:rsid w:val="001669F2"/>
    <w:rsid w:val="001752C7"/>
    <w:rsid w:val="0018401C"/>
    <w:rsid w:val="00185622"/>
    <w:rsid w:val="00186667"/>
    <w:rsid w:val="001878B0"/>
    <w:rsid w:val="00191B28"/>
    <w:rsid w:val="00192A36"/>
    <w:rsid w:val="00193BCF"/>
    <w:rsid w:val="00195C6F"/>
    <w:rsid w:val="00196812"/>
    <w:rsid w:val="00197ED0"/>
    <w:rsid w:val="001A2524"/>
    <w:rsid w:val="001B42BE"/>
    <w:rsid w:val="001B72D6"/>
    <w:rsid w:val="001B7CC6"/>
    <w:rsid w:val="001C5D80"/>
    <w:rsid w:val="001D0D4C"/>
    <w:rsid w:val="001D0DB0"/>
    <w:rsid w:val="001D3FAC"/>
    <w:rsid w:val="001D65C8"/>
    <w:rsid w:val="001D6ECD"/>
    <w:rsid w:val="001D75D9"/>
    <w:rsid w:val="001F0286"/>
    <w:rsid w:val="0020640F"/>
    <w:rsid w:val="0021251E"/>
    <w:rsid w:val="00220437"/>
    <w:rsid w:val="002315A5"/>
    <w:rsid w:val="00231F37"/>
    <w:rsid w:val="00232095"/>
    <w:rsid w:val="00233014"/>
    <w:rsid w:val="0024424F"/>
    <w:rsid w:val="002507FE"/>
    <w:rsid w:val="0025157E"/>
    <w:rsid w:val="002525C7"/>
    <w:rsid w:val="00255320"/>
    <w:rsid w:val="002611C3"/>
    <w:rsid w:val="002622E8"/>
    <w:rsid w:val="00264E55"/>
    <w:rsid w:val="00267283"/>
    <w:rsid w:val="00274FAC"/>
    <w:rsid w:val="0027576B"/>
    <w:rsid w:val="002767C1"/>
    <w:rsid w:val="00281E3B"/>
    <w:rsid w:val="00282892"/>
    <w:rsid w:val="00291428"/>
    <w:rsid w:val="002A4B7F"/>
    <w:rsid w:val="002B45A4"/>
    <w:rsid w:val="002B6EAF"/>
    <w:rsid w:val="002C17D5"/>
    <w:rsid w:val="002C308A"/>
    <w:rsid w:val="002D3ADF"/>
    <w:rsid w:val="002D680F"/>
    <w:rsid w:val="002D7BD9"/>
    <w:rsid w:val="002E040C"/>
    <w:rsid w:val="002E0F4A"/>
    <w:rsid w:val="002E41BD"/>
    <w:rsid w:val="002F0E9D"/>
    <w:rsid w:val="002F6539"/>
    <w:rsid w:val="00307062"/>
    <w:rsid w:val="0031055A"/>
    <w:rsid w:val="00311ADA"/>
    <w:rsid w:val="00311AEB"/>
    <w:rsid w:val="00322B07"/>
    <w:rsid w:val="0032323A"/>
    <w:rsid w:val="00323377"/>
    <w:rsid w:val="00327FB0"/>
    <w:rsid w:val="00331FAB"/>
    <w:rsid w:val="0033525E"/>
    <w:rsid w:val="00340292"/>
    <w:rsid w:val="00340456"/>
    <w:rsid w:val="00340C3A"/>
    <w:rsid w:val="00343648"/>
    <w:rsid w:val="00343AF0"/>
    <w:rsid w:val="003451F3"/>
    <w:rsid w:val="00346359"/>
    <w:rsid w:val="00346B82"/>
    <w:rsid w:val="0035022C"/>
    <w:rsid w:val="0035215C"/>
    <w:rsid w:val="00362E2A"/>
    <w:rsid w:val="0036392B"/>
    <w:rsid w:val="00371E26"/>
    <w:rsid w:val="00373AAB"/>
    <w:rsid w:val="0038195B"/>
    <w:rsid w:val="00383631"/>
    <w:rsid w:val="00384942"/>
    <w:rsid w:val="00394BC1"/>
    <w:rsid w:val="003A0EC1"/>
    <w:rsid w:val="003A1E1E"/>
    <w:rsid w:val="003B2989"/>
    <w:rsid w:val="003B36B4"/>
    <w:rsid w:val="003B5756"/>
    <w:rsid w:val="003B6DC6"/>
    <w:rsid w:val="003B7F31"/>
    <w:rsid w:val="003C0E8C"/>
    <w:rsid w:val="003C1137"/>
    <w:rsid w:val="003C38DE"/>
    <w:rsid w:val="003C495A"/>
    <w:rsid w:val="003D1ECF"/>
    <w:rsid w:val="003D21F4"/>
    <w:rsid w:val="003E14FE"/>
    <w:rsid w:val="003E565B"/>
    <w:rsid w:val="003F43EB"/>
    <w:rsid w:val="00402654"/>
    <w:rsid w:val="00403ED2"/>
    <w:rsid w:val="00407CC3"/>
    <w:rsid w:val="00413FA3"/>
    <w:rsid w:val="004250C5"/>
    <w:rsid w:val="00425438"/>
    <w:rsid w:val="00426E31"/>
    <w:rsid w:val="00433C1E"/>
    <w:rsid w:val="004369B0"/>
    <w:rsid w:val="00440828"/>
    <w:rsid w:val="004409FE"/>
    <w:rsid w:val="0044257C"/>
    <w:rsid w:val="0044342F"/>
    <w:rsid w:val="00446474"/>
    <w:rsid w:val="004527E3"/>
    <w:rsid w:val="00452D31"/>
    <w:rsid w:val="00460000"/>
    <w:rsid w:val="00461A70"/>
    <w:rsid w:val="004702DF"/>
    <w:rsid w:val="00470F55"/>
    <w:rsid w:val="00473E10"/>
    <w:rsid w:val="00473EC9"/>
    <w:rsid w:val="00474896"/>
    <w:rsid w:val="004771B9"/>
    <w:rsid w:val="004950A3"/>
    <w:rsid w:val="00496B2E"/>
    <w:rsid w:val="004A0C6B"/>
    <w:rsid w:val="004A2432"/>
    <w:rsid w:val="004A3251"/>
    <w:rsid w:val="004A357E"/>
    <w:rsid w:val="004A46A0"/>
    <w:rsid w:val="004B1C09"/>
    <w:rsid w:val="004C5B7C"/>
    <w:rsid w:val="004D22E1"/>
    <w:rsid w:val="004D581E"/>
    <w:rsid w:val="004D72C7"/>
    <w:rsid w:val="004E041A"/>
    <w:rsid w:val="004E1DC5"/>
    <w:rsid w:val="004E3452"/>
    <w:rsid w:val="004E4E63"/>
    <w:rsid w:val="004F3BE1"/>
    <w:rsid w:val="004F459B"/>
    <w:rsid w:val="00500487"/>
    <w:rsid w:val="00506EF6"/>
    <w:rsid w:val="005141F5"/>
    <w:rsid w:val="0051505A"/>
    <w:rsid w:val="00515166"/>
    <w:rsid w:val="0051578D"/>
    <w:rsid w:val="005212AE"/>
    <w:rsid w:val="00532457"/>
    <w:rsid w:val="00533490"/>
    <w:rsid w:val="0053782E"/>
    <w:rsid w:val="0054464B"/>
    <w:rsid w:val="00546492"/>
    <w:rsid w:val="00546747"/>
    <w:rsid w:val="0054785C"/>
    <w:rsid w:val="00555883"/>
    <w:rsid w:val="00560F94"/>
    <w:rsid w:val="005633AD"/>
    <w:rsid w:val="00564C24"/>
    <w:rsid w:val="00570F8C"/>
    <w:rsid w:val="00575970"/>
    <w:rsid w:val="00582960"/>
    <w:rsid w:val="00587524"/>
    <w:rsid w:val="00592D0A"/>
    <w:rsid w:val="00594DCA"/>
    <w:rsid w:val="00595285"/>
    <w:rsid w:val="005A60B7"/>
    <w:rsid w:val="005B527B"/>
    <w:rsid w:val="005D1572"/>
    <w:rsid w:val="005D1BAF"/>
    <w:rsid w:val="005D21B9"/>
    <w:rsid w:val="005D4E63"/>
    <w:rsid w:val="005D596C"/>
    <w:rsid w:val="005D6807"/>
    <w:rsid w:val="005E05CC"/>
    <w:rsid w:val="005E2087"/>
    <w:rsid w:val="005E4559"/>
    <w:rsid w:val="005E6FA5"/>
    <w:rsid w:val="005F1343"/>
    <w:rsid w:val="005F1712"/>
    <w:rsid w:val="005F17EC"/>
    <w:rsid w:val="005F41D2"/>
    <w:rsid w:val="005F5A09"/>
    <w:rsid w:val="005F668B"/>
    <w:rsid w:val="005F6B28"/>
    <w:rsid w:val="00613327"/>
    <w:rsid w:val="00613409"/>
    <w:rsid w:val="006214E4"/>
    <w:rsid w:val="006254A5"/>
    <w:rsid w:val="006317E8"/>
    <w:rsid w:val="0063302E"/>
    <w:rsid w:val="00633177"/>
    <w:rsid w:val="006331F2"/>
    <w:rsid w:val="00636261"/>
    <w:rsid w:val="00636B17"/>
    <w:rsid w:val="0064191E"/>
    <w:rsid w:val="00664834"/>
    <w:rsid w:val="006662B2"/>
    <w:rsid w:val="00672BEF"/>
    <w:rsid w:val="00673BA5"/>
    <w:rsid w:val="00680A32"/>
    <w:rsid w:val="006911A1"/>
    <w:rsid w:val="006961CC"/>
    <w:rsid w:val="006A1E40"/>
    <w:rsid w:val="006A2D00"/>
    <w:rsid w:val="006B4C67"/>
    <w:rsid w:val="006B56E1"/>
    <w:rsid w:val="006D0BD6"/>
    <w:rsid w:val="006D27DD"/>
    <w:rsid w:val="006D4647"/>
    <w:rsid w:val="006D4C22"/>
    <w:rsid w:val="006E4EB5"/>
    <w:rsid w:val="006F1C55"/>
    <w:rsid w:val="006F3CEE"/>
    <w:rsid w:val="006F622C"/>
    <w:rsid w:val="00705970"/>
    <w:rsid w:val="00707CB2"/>
    <w:rsid w:val="00710487"/>
    <w:rsid w:val="00710B11"/>
    <w:rsid w:val="00714B3D"/>
    <w:rsid w:val="00714FD1"/>
    <w:rsid w:val="007277D1"/>
    <w:rsid w:val="00727EA0"/>
    <w:rsid w:val="00730216"/>
    <w:rsid w:val="0073105A"/>
    <w:rsid w:val="00734B8E"/>
    <w:rsid w:val="00737060"/>
    <w:rsid w:val="00741288"/>
    <w:rsid w:val="0074455F"/>
    <w:rsid w:val="007521F9"/>
    <w:rsid w:val="00756489"/>
    <w:rsid w:val="00756EA2"/>
    <w:rsid w:val="00757F37"/>
    <w:rsid w:val="007600BC"/>
    <w:rsid w:val="00762326"/>
    <w:rsid w:val="00762E87"/>
    <w:rsid w:val="00764CF7"/>
    <w:rsid w:val="007723FD"/>
    <w:rsid w:val="00772687"/>
    <w:rsid w:val="007746B3"/>
    <w:rsid w:val="00774E1E"/>
    <w:rsid w:val="00780252"/>
    <w:rsid w:val="007806BE"/>
    <w:rsid w:val="0078105B"/>
    <w:rsid w:val="00782061"/>
    <w:rsid w:val="00785C32"/>
    <w:rsid w:val="007A1ACF"/>
    <w:rsid w:val="007A339E"/>
    <w:rsid w:val="007A3C26"/>
    <w:rsid w:val="007B082A"/>
    <w:rsid w:val="007B1C3E"/>
    <w:rsid w:val="007C3671"/>
    <w:rsid w:val="007C42E5"/>
    <w:rsid w:val="007C5CCD"/>
    <w:rsid w:val="007C65CB"/>
    <w:rsid w:val="007E0C02"/>
    <w:rsid w:val="007F1DE3"/>
    <w:rsid w:val="007F7BD7"/>
    <w:rsid w:val="008056FA"/>
    <w:rsid w:val="008115B6"/>
    <w:rsid w:val="00812956"/>
    <w:rsid w:val="00813897"/>
    <w:rsid w:val="00814461"/>
    <w:rsid w:val="00823B47"/>
    <w:rsid w:val="00823E09"/>
    <w:rsid w:val="00824D84"/>
    <w:rsid w:val="00825EA5"/>
    <w:rsid w:val="00833555"/>
    <w:rsid w:val="008347B3"/>
    <w:rsid w:val="00834D9F"/>
    <w:rsid w:val="008356E6"/>
    <w:rsid w:val="00835BDD"/>
    <w:rsid w:val="008379E2"/>
    <w:rsid w:val="00841A22"/>
    <w:rsid w:val="00852119"/>
    <w:rsid w:val="0085498E"/>
    <w:rsid w:val="0086245E"/>
    <w:rsid w:val="00870A3C"/>
    <w:rsid w:val="00870FF9"/>
    <w:rsid w:val="00873386"/>
    <w:rsid w:val="00877329"/>
    <w:rsid w:val="00880EE6"/>
    <w:rsid w:val="008821D9"/>
    <w:rsid w:val="00882323"/>
    <w:rsid w:val="00893021"/>
    <w:rsid w:val="008B23BD"/>
    <w:rsid w:val="008C579A"/>
    <w:rsid w:val="008D0A39"/>
    <w:rsid w:val="008D55F2"/>
    <w:rsid w:val="008E4638"/>
    <w:rsid w:val="008E71D2"/>
    <w:rsid w:val="008F44F3"/>
    <w:rsid w:val="009004F7"/>
    <w:rsid w:val="00902E3F"/>
    <w:rsid w:val="00903E98"/>
    <w:rsid w:val="00906C9B"/>
    <w:rsid w:val="00910FB5"/>
    <w:rsid w:val="00911C0E"/>
    <w:rsid w:val="009153D7"/>
    <w:rsid w:val="00917991"/>
    <w:rsid w:val="009216A0"/>
    <w:rsid w:val="009223B5"/>
    <w:rsid w:val="00922A49"/>
    <w:rsid w:val="00934C3D"/>
    <w:rsid w:val="00936106"/>
    <w:rsid w:val="0094213C"/>
    <w:rsid w:val="0094236C"/>
    <w:rsid w:val="00943AFD"/>
    <w:rsid w:val="00950BF5"/>
    <w:rsid w:val="0097021E"/>
    <w:rsid w:val="00971C19"/>
    <w:rsid w:val="00971D35"/>
    <w:rsid w:val="00976A1A"/>
    <w:rsid w:val="0098023C"/>
    <w:rsid w:val="00987902"/>
    <w:rsid w:val="0099296A"/>
    <w:rsid w:val="009965A5"/>
    <w:rsid w:val="009A0BE2"/>
    <w:rsid w:val="009A56D7"/>
    <w:rsid w:val="009A6938"/>
    <w:rsid w:val="009A755D"/>
    <w:rsid w:val="009B15FD"/>
    <w:rsid w:val="009B2693"/>
    <w:rsid w:val="009B3C3F"/>
    <w:rsid w:val="009B73A7"/>
    <w:rsid w:val="009C0C44"/>
    <w:rsid w:val="009C1A42"/>
    <w:rsid w:val="009D60EB"/>
    <w:rsid w:val="009D74FC"/>
    <w:rsid w:val="009E07F4"/>
    <w:rsid w:val="009E2527"/>
    <w:rsid w:val="009E2BAA"/>
    <w:rsid w:val="009E3E0B"/>
    <w:rsid w:val="009F2322"/>
    <w:rsid w:val="009F480F"/>
    <w:rsid w:val="00A01505"/>
    <w:rsid w:val="00A1530B"/>
    <w:rsid w:val="00A16747"/>
    <w:rsid w:val="00A16D78"/>
    <w:rsid w:val="00A24DC0"/>
    <w:rsid w:val="00A333CB"/>
    <w:rsid w:val="00A4003E"/>
    <w:rsid w:val="00A40052"/>
    <w:rsid w:val="00A42A96"/>
    <w:rsid w:val="00A455A0"/>
    <w:rsid w:val="00A50D92"/>
    <w:rsid w:val="00A6166A"/>
    <w:rsid w:val="00A62DD4"/>
    <w:rsid w:val="00A63D5F"/>
    <w:rsid w:val="00A65A66"/>
    <w:rsid w:val="00A7219D"/>
    <w:rsid w:val="00A74DD3"/>
    <w:rsid w:val="00A805BC"/>
    <w:rsid w:val="00A80F9F"/>
    <w:rsid w:val="00A81075"/>
    <w:rsid w:val="00A87550"/>
    <w:rsid w:val="00A91D2A"/>
    <w:rsid w:val="00A95FA9"/>
    <w:rsid w:val="00AA5B03"/>
    <w:rsid w:val="00AA68D4"/>
    <w:rsid w:val="00AB24CA"/>
    <w:rsid w:val="00AB373C"/>
    <w:rsid w:val="00AB5159"/>
    <w:rsid w:val="00AB67DE"/>
    <w:rsid w:val="00AB7D0C"/>
    <w:rsid w:val="00AC2B47"/>
    <w:rsid w:val="00AC3D9E"/>
    <w:rsid w:val="00AC6C3D"/>
    <w:rsid w:val="00AD1ADB"/>
    <w:rsid w:val="00AD6777"/>
    <w:rsid w:val="00AD6BD5"/>
    <w:rsid w:val="00AE17F1"/>
    <w:rsid w:val="00AE27A3"/>
    <w:rsid w:val="00AE2FB9"/>
    <w:rsid w:val="00AE342F"/>
    <w:rsid w:val="00AE4F96"/>
    <w:rsid w:val="00AE6D9A"/>
    <w:rsid w:val="00AE7435"/>
    <w:rsid w:val="00AF2397"/>
    <w:rsid w:val="00AF27F9"/>
    <w:rsid w:val="00AF3D19"/>
    <w:rsid w:val="00B040BC"/>
    <w:rsid w:val="00B0441A"/>
    <w:rsid w:val="00B044FC"/>
    <w:rsid w:val="00B06458"/>
    <w:rsid w:val="00B213AC"/>
    <w:rsid w:val="00B25119"/>
    <w:rsid w:val="00B261EB"/>
    <w:rsid w:val="00B27004"/>
    <w:rsid w:val="00B33F45"/>
    <w:rsid w:val="00B33FA5"/>
    <w:rsid w:val="00B415B8"/>
    <w:rsid w:val="00B420AC"/>
    <w:rsid w:val="00B4354A"/>
    <w:rsid w:val="00B461D8"/>
    <w:rsid w:val="00B54CC5"/>
    <w:rsid w:val="00B60E27"/>
    <w:rsid w:val="00B64D62"/>
    <w:rsid w:val="00B65C2B"/>
    <w:rsid w:val="00B76BBB"/>
    <w:rsid w:val="00B83944"/>
    <w:rsid w:val="00B94B49"/>
    <w:rsid w:val="00BA7AF1"/>
    <w:rsid w:val="00BB03CC"/>
    <w:rsid w:val="00BB252C"/>
    <w:rsid w:val="00BB5126"/>
    <w:rsid w:val="00BB7518"/>
    <w:rsid w:val="00BC0205"/>
    <w:rsid w:val="00BC14F5"/>
    <w:rsid w:val="00BC2146"/>
    <w:rsid w:val="00BD0F36"/>
    <w:rsid w:val="00BD6918"/>
    <w:rsid w:val="00BE1FC8"/>
    <w:rsid w:val="00BE439F"/>
    <w:rsid w:val="00BE5584"/>
    <w:rsid w:val="00BF1111"/>
    <w:rsid w:val="00BF3886"/>
    <w:rsid w:val="00C006E9"/>
    <w:rsid w:val="00C009AF"/>
    <w:rsid w:val="00C0152D"/>
    <w:rsid w:val="00C2005E"/>
    <w:rsid w:val="00C205E4"/>
    <w:rsid w:val="00C2782D"/>
    <w:rsid w:val="00C3040F"/>
    <w:rsid w:val="00C31708"/>
    <w:rsid w:val="00C343F3"/>
    <w:rsid w:val="00C361A1"/>
    <w:rsid w:val="00C36C15"/>
    <w:rsid w:val="00C4213A"/>
    <w:rsid w:val="00C4371A"/>
    <w:rsid w:val="00C4627A"/>
    <w:rsid w:val="00C526E2"/>
    <w:rsid w:val="00C637D1"/>
    <w:rsid w:val="00C640B8"/>
    <w:rsid w:val="00C7033B"/>
    <w:rsid w:val="00C75870"/>
    <w:rsid w:val="00C83157"/>
    <w:rsid w:val="00C91200"/>
    <w:rsid w:val="00C927D5"/>
    <w:rsid w:val="00CA0730"/>
    <w:rsid w:val="00CA1C04"/>
    <w:rsid w:val="00CA3808"/>
    <w:rsid w:val="00CA592F"/>
    <w:rsid w:val="00CA65DD"/>
    <w:rsid w:val="00CB0E8A"/>
    <w:rsid w:val="00CB6152"/>
    <w:rsid w:val="00CC0035"/>
    <w:rsid w:val="00CC05B9"/>
    <w:rsid w:val="00CC3F83"/>
    <w:rsid w:val="00CC40F7"/>
    <w:rsid w:val="00CC57FC"/>
    <w:rsid w:val="00CC7DB0"/>
    <w:rsid w:val="00CD3D1C"/>
    <w:rsid w:val="00CD5F24"/>
    <w:rsid w:val="00CE0E18"/>
    <w:rsid w:val="00CE193A"/>
    <w:rsid w:val="00CE6A71"/>
    <w:rsid w:val="00CF6DF0"/>
    <w:rsid w:val="00CF7A26"/>
    <w:rsid w:val="00CF7E28"/>
    <w:rsid w:val="00D02B35"/>
    <w:rsid w:val="00D06255"/>
    <w:rsid w:val="00D06394"/>
    <w:rsid w:val="00D15D82"/>
    <w:rsid w:val="00D1705E"/>
    <w:rsid w:val="00D25602"/>
    <w:rsid w:val="00D271A9"/>
    <w:rsid w:val="00D30BD3"/>
    <w:rsid w:val="00D33791"/>
    <w:rsid w:val="00D33BA8"/>
    <w:rsid w:val="00D364EB"/>
    <w:rsid w:val="00D40363"/>
    <w:rsid w:val="00D41D32"/>
    <w:rsid w:val="00D451BC"/>
    <w:rsid w:val="00D51E96"/>
    <w:rsid w:val="00D568AA"/>
    <w:rsid w:val="00D568BB"/>
    <w:rsid w:val="00D63B9E"/>
    <w:rsid w:val="00D65D90"/>
    <w:rsid w:val="00D66016"/>
    <w:rsid w:val="00D769BA"/>
    <w:rsid w:val="00D8034F"/>
    <w:rsid w:val="00D81755"/>
    <w:rsid w:val="00D8617C"/>
    <w:rsid w:val="00D87D00"/>
    <w:rsid w:val="00D94E23"/>
    <w:rsid w:val="00DA1983"/>
    <w:rsid w:val="00DA2F1E"/>
    <w:rsid w:val="00DA5831"/>
    <w:rsid w:val="00DB17B8"/>
    <w:rsid w:val="00DB2873"/>
    <w:rsid w:val="00DC4482"/>
    <w:rsid w:val="00DD5028"/>
    <w:rsid w:val="00DD5350"/>
    <w:rsid w:val="00DE38DA"/>
    <w:rsid w:val="00DE4550"/>
    <w:rsid w:val="00DF1198"/>
    <w:rsid w:val="00E009CD"/>
    <w:rsid w:val="00E067CB"/>
    <w:rsid w:val="00E12082"/>
    <w:rsid w:val="00E17870"/>
    <w:rsid w:val="00E21589"/>
    <w:rsid w:val="00E23C1B"/>
    <w:rsid w:val="00E24D9E"/>
    <w:rsid w:val="00E257C8"/>
    <w:rsid w:val="00E26581"/>
    <w:rsid w:val="00E2722E"/>
    <w:rsid w:val="00E325AB"/>
    <w:rsid w:val="00E3447D"/>
    <w:rsid w:val="00E431CE"/>
    <w:rsid w:val="00E445F8"/>
    <w:rsid w:val="00E503E4"/>
    <w:rsid w:val="00E55E02"/>
    <w:rsid w:val="00E571C4"/>
    <w:rsid w:val="00E63B3D"/>
    <w:rsid w:val="00E64479"/>
    <w:rsid w:val="00E67D99"/>
    <w:rsid w:val="00E75556"/>
    <w:rsid w:val="00E75EFA"/>
    <w:rsid w:val="00E76F1F"/>
    <w:rsid w:val="00E80BE2"/>
    <w:rsid w:val="00E8309D"/>
    <w:rsid w:val="00E90A9C"/>
    <w:rsid w:val="00E95356"/>
    <w:rsid w:val="00E966E5"/>
    <w:rsid w:val="00EA3D96"/>
    <w:rsid w:val="00EA3F40"/>
    <w:rsid w:val="00EA6B69"/>
    <w:rsid w:val="00EA6B7B"/>
    <w:rsid w:val="00EB25E4"/>
    <w:rsid w:val="00EB3D8B"/>
    <w:rsid w:val="00EB7416"/>
    <w:rsid w:val="00EC06C6"/>
    <w:rsid w:val="00EC104E"/>
    <w:rsid w:val="00EC4453"/>
    <w:rsid w:val="00ED0D44"/>
    <w:rsid w:val="00ED1B77"/>
    <w:rsid w:val="00ED5511"/>
    <w:rsid w:val="00ED57D1"/>
    <w:rsid w:val="00EE2BF2"/>
    <w:rsid w:val="00EF172D"/>
    <w:rsid w:val="00EF3B7C"/>
    <w:rsid w:val="00EF56FA"/>
    <w:rsid w:val="00EF6216"/>
    <w:rsid w:val="00EF6E42"/>
    <w:rsid w:val="00F0613C"/>
    <w:rsid w:val="00F07CBB"/>
    <w:rsid w:val="00F11244"/>
    <w:rsid w:val="00F14A7B"/>
    <w:rsid w:val="00F1658B"/>
    <w:rsid w:val="00F2540D"/>
    <w:rsid w:val="00F26602"/>
    <w:rsid w:val="00F31380"/>
    <w:rsid w:val="00F333BF"/>
    <w:rsid w:val="00F34499"/>
    <w:rsid w:val="00F406E3"/>
    <w:rsid w:val="00F40C82"/>
    <w:rsid w:val="00F50707"/>
    <w:rsid w:val="00F5114E"/>
    <w:rsid w:val="00F53B1A"/>
    <w:rsid w:val="00F54568"/>
    <w:rsid w:val="00F56FBC"/>
    <w:rsid w:val="00F57249"/>
    <w:rsid w:val="00F62DE3"/>
    <w:rsid w:val="00F77131"/>
    <w:rsid w:val="00F85D7E"/>
    <w:rsid w:val="00FA041A"/>
    <w:rsid w:val="00FA4C13"/>
    <w:rsid w:val="00FA7550"/>
    <w:rsid w:val="00FB345F"/>
    <w:rsid w:val="00FB4DA5"/>
    <w:rsid w:val="00FC1146"/>
    <w:rsid w:val="00FC57A1"/>
    <w:rsid w:val="00FC6D26"/>
    <w:rsid w:val="00FD3820"/>
    <w:rsid w:val="00FE6E6D"/>
    <w:rsid w:val="00FF0DAE"/>
    <w:rsid w:val="00FF3092"/>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33525E"/>
    <w:pPr>
      <w:widowControl w:val="0"/>
      <w:jc w:val="both"/>
    </w:pPr>
    <w:rPr>
      <w:kern w:val="2"/>
      <w:sz w:val="21"/>
      <w:szCs w:val="24"/>
    </w:rPr>
  </w:style>
  <w:style w:styleId="1" w:type="paragraph">
    <w:name w:val="heading 1"/>
    <w:basedOn w:val="a"/>
    <w:next w:val="a"/>
    <w:link w:val="1Char"/>
    <w:uiPriority w:val="99"/>
    <w:qFormat/>
    <w:rsid w:val="00CA65DD"/>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9D74FC"/>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CA65DD"/>
    <w:rPr>
      <w:rFonts w:cs="Times New Roman"/>
      <w:b/>
      <w:bCs/>
      <w:kern w:val="44"/>
      <w:sz w:val="44"/>
      <w:szCs w:val="44"/>
    </w:rPr>
  </w:style>
  <w:style w:customStyle="1" w:styleId="2Char" w:type="character">
    <w:name w:val="标题 2 Char"/>
    <w:link w:val="2"/>
    <w:uiPriority w:val="9"/>
    <w:semiHidden/>
    <w:rsid w:val="006F6012"/>
    <w:rPr>
      <w:rFonts w:ascii="Cambria" w:cs="Times New Roman" w:eastAsia="宋体" w:hAnsi="Cambria"/>
      <w:b/>
      <w:bCs/>
      <w:sz w:val="32"/>
      <w:szCs w:val="32"/>
    </w:rPr>
  </w:style>
  <w:style w:styleId="a4" w:type="paragraph">
    <w:name w:val="header"/>
    <w:basedOn w:val="a"/>
    <w:link w:val="Char"/>
    <w:uiPriority w:val="99"/>
    <w:rsid w:val="00613327"/>
    <w:pPr>
      <w:pBdr>
        <w:bottom w:color="auto" w:space="1" w:sz="6" w:val="single"/>
      </w:pBdr>
      <w:tabs>
        <w:tab w:pos="4153" w:val="center"/>
        <w:tab w:pos="8306" w:val="right"/>
      </w:tabs>
      <w:snapToGrid w:val="0"/>
      <w:jc w:val="center"/>
    </w:pPr>
    <w:rPr>
      <w:sz w:val="18"/>
      <w:szCs w:val="18"/>
    </w:rPr>
  </w:style>
  <w:style w:customStyle="1" w:styleId="Char" w:type="character">
    <w:name w:val="页眉 Char"/>
    <w:link w:val="a4"/>
    <w:uiPriority w:val="99"/>
    <w:locked/>
    <w:rsid w:val="008379E2"/>
    <w:rPr>
      <w:rFonts w:cs="Times New Roman"/>
      <w:kern w:val="2"/>
      <w:sz w:val="18"/>
      <w:szCs w:val="18"/>
    </w:rPr>
  </w:style>
  <w:style w:styleId="a5" w:type="paragraph">
    <w:name w:val="footer"/>
    <w:basedOn w:val="a"/>
    <w:link w:val="Char0"/>
    <w:uiPriority w:val="99"/>
    <w:rsid w:val="00613327"/>
    <w:pPr>
      <w:tabs>
        <w:tab w:pos="4153" w:val="center"/>
        <w:tab w:pos="8306" w:val="right"/>
      </w:tabs>
      <w:snapToGrid w:val="0"/>
      <w:jc w:val="left"/>
    </w:pPr>
    <w:rPr>
      <w:kern w:val="0"/>
      <w:sz w:val="18"/>
      <w:szCs w:val="18"/>
    </w:rPr>
  </w:style>
  <w:style w:customStyle="1" w:styleId="Char0" w:type="character">
    <w:name w:val="页脚 Char"/>
    <w:link w:val="a5"/>
    <w:uiPriority w:val="99"/>
    <w:semiHidden/>
    <w:rsid w:val="006F6012"/>
    <w:rPr>
      <w:sz w:val="18"/>
      <w:szCs w:val="18"/>
    </w:rPr>
  </w:style>
  <w:style w:customStyle="1" w:styleId="Char1" w:type="paragraph">
    <w:name w:val="Char"/>
    <w:basedOn w:val="a"/>
    <w:uiPriority w:val="99"/>
    <w:rsid w:val="00186667"/>
  </w:style>
  <w:style w:styleId="20" w:type="paragraph">
    <w:name w:val="Body Text Indent 2"/>
    <w:basedOn w:val="a"/>
    <w:link w:val="2Char0"/>
    <w:uiPriority w:val="99"/>
    <w:rsid w:val="00186667"/>
    <w:pPr>
      <w:spacing w:line="560" w:lineRule="exact"/>
      <w:ind w:firstLine="480" w:firstLineChars="200"/>
    </w:pPr>
    <w:rPr>
      <w:kern w:val="0"/>
      <w:sz w:val="20"/>
    </w:rPr>
  </w:style>
  <w:style w:customStyle="1" w:styleId="2Char0" w:type="character">
    <w:name w:val="正文文本缩进 2 Char"/>
    <w:link w:val="20"/>
    <w:uiPriority w:val="99"/>
    <w:semiHidden/>
    <w:rsid w:val="006F6012"/>
    <w:rPr>
      <w:szCs w:val="24"/>
    </w:rPr>
  </w:style>
  <w:style w:styleId="a6" w:type="paragraph">
    <w:name w:val="Plain Text"/>
    <w:basedOn w:val="a"/>
    <w:link w:val="Char2"/>
    <w:uiPriority w:val="99"/>
    <w:rsid w:val="004771B9"/>
    <w:rPr>
      <w:rFonts w:ascii="宋体" w:hAnsi="Courier New"/>
      <w:szCs w:val="20"/>
    </w:rPr>
  </w:style>
  <w:style w:customStyle="1" w:styleId="Char2" w:type="character">
    <w:name w:val="纯文本 Char"/>
    <w:link w:val="a6"/>
    <w:uiPriority w:val="99"/>
    <w:locked/>
    <w:rsid w:val="00E63B3D"/>
    <w:rPr>
      <w:rFonts w:ascii="宋体" w:hAnsi="Courier New"/>
      <w:kern w:val="2"/>
      <w:sz w:val="21"/>
    </w:rPr>
  </w:style>
  <w:style w:styleId="3" w:type="paragraph">
    <w:name w:val="Body Text Indent 3"/>
    <w:basedOn w:val="a"/>
    <w:link w:val="3Char"/>
    <w:uiPriority w:val="99"/>
    <w:rsid w:val="004771B9"/>
    <w:pPr>
      <w:spacing w:after="120"/>
      <w:ind w:left="420" w:leftChars="200"/>
    </w:pPr>
    <w:rPr>
      <w:kern w:val="0"/>
      <w:sz w:val="16"/>
      <w:szCs w:val="16"/>
    </w:rPr>
  </w:style>
  <w:style w:customStyle="1" w:styleId="3Char" w:type="character">
    <w:name w:val="正文文本缩进 3 Char"/>
    <w:link w:val="3"/>
    <w:uiPriority w:val="99"/>
    <w:semiHidden/>
    <w:rsid w:val="006F6012"/>
    <w:rPr>
      <w:sz w:val="16"/>
      <w:szCs w:val="16"/>
    </w:rPr>
  </w:style>
  <w:style w:styleId="a0" w:type="paragraph">
    <w:name w:val="Normal Indent"/>
    <w:basedOn w:val="a"/>
    <w:uiPriority w:val="99"/>
    <w:rsid w:val="009D74FC"/>
    <w:pPr>
      <w:ind w:firstLine="420" w:firstLineChars="200"/>
    </w:pPr>
  </w:style>
  <w:style w:styleId="a7" w:type="paragraph">
    <w:name w:val="Document Map"/>
    <w:basedOn w:val="a"/>
    <w:link w:val="Char3"/>
    <w:uiPriority w:val="99"/>
    <w:semiHidden/>
    <w:rsid w:val="005212AE"/>
    <w:pPr>
      <w:shd w:color="auto" w:fill="000080" w:val="clear"/>
    </w:pPr>
    <w:rPr>
      <w:kern w:val="0"/>
      <w:sz w:val="0"/>
      <w:szCs w:val="0"/>
    </w:rPr>
  </w:style>
  <w:style w:customStyle="1" w:styleId="Char3" w:type="character">
    <w:name w:val="文档结构图 Char"/>
    <w:link w:val="a7"/>
    <w:uiPriority w:val="99"/>
    <w:semiHidden/>
    <w:rsid w:val="006F6012"/>
    <w:rPr>
      <w:sz w:val="0"/>
      <w:szCs w:val="0"/>
    </w:rPr>
  </w:style>
  <w:style w:styleId="a8" w:type="paragraph">
    <w:name w:val="Balloon Text"/>
    <w:basedOn w:val="a"/>
    <w:link w:val="Char4"/>
    <w:uiPriority w:val="99"/>
    <w:rsid w:val="00E63B3D"/>
    <w:rPr>
      <w:sz w:val="18"/>
      <w:szCs w:val="18"/>
    </w:rPr>
  </w:style>
  <w:style w:customStyle="1" w:styleId="Char4" w:type="character">
    <w:name w:val="批注框文本 Char"/>
    <w:link w:val="a8"/>
    <w:uiPriority w:val="99"/>
    <w:locked/>
    <w:rsid w:val="00E63B3D"/>
    <w:rPr>
      <w:rFonts w:cs="Times New Roman"/>
      <w:kern w:val="2"/>
      <w:sz w:val="18"/>
      <w:szCs w:val="18"/>
    </w:rPr>
  </w:style>
  <w:style w:styleId="a9" w:type="paragraph">
    <w:name w:val="List Paragraph"/>
    <w:basedOn w:val="a"/>
    <w:uiPriority w:val="99"/>
    <w:qFormat/>
    <w:rsid w:val="005F668B"/>
    <w:pPr>
      <w:ind w:firstLine="420" w:firstLineChars="200"/>
    </w:pPr>
  </w:style>
  <w:style w:styleId="aa" w:type="table">
    <w:name w:val="Table Grid"/>
    <w:basedOn w:val="a2"/>
    <w:qFormat/>
    <w:rsid w:val="005A60B7"/>
    <w:tblPr>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styleId="ab" w:type="paragraph">
    <w:name w:val="Normal (Web)"/>
    <w:basedOn w:val="a"/>
    <w:uiPriority w:val="99"/>
    <w:rsid w:val="008B23BD"/>
    <w:pPr>
      <w:widowControl/>
      <w:spacing w:after="100" w:afterAutospacing="1" w:before="100" w:beforeAutospacing="1"/>
    </w:pPr>
    <w:rPr>
      <w:rFonts w:ascii="宋体" w:hAnsi="宋体"/>
      <w:kern w:val="0"/>
      <w:sz w:val="24"/>
      <w:szCs w:val="20"/>
    </w:rPr>
  </w:style>
  <w:style w:styleId="ac" w:type="paragraph">
    <w:name w:val="Date"/>
    <w:basedOn w:val="a"/>
    <w:next w:val="a"/>
    <w:link w:val="Char5"/>
    <w:uiPriority w:val="99"/>
    <w:rsid w:val="00D66016"/>
    <w:rPr>
      <w:sz w:val="24"/>
      <w:szCs w:val="20"/>
    </w:rPr>
  </w:style>
  <w:style w:customStyle="1" w:styleId="Char5" w:type="character">
    <w:name w:val="日期 Char"/>
    <w:link w:val="ac"/>
    <w:uiPriority w:val="99"/>
    <w:locked/>
    <w:rsid w:val="00D66016"/>
    <w:rPr>
      <w:rFonts w:cs="Times New Roman"/>
      <w:kern w:val="2"/>
      <w:sz w:val="24"/>
    </w:rPr>
  </w:style>
  <w:style w:styleId="ad" w:type="paragraph">
    <w:name w:val="footnote text"/>
    <w:basedOn w:val="a"/>
    <w:link w:val="Char6"/>
    <w:uiPriority w:val="99"/>
    <w:rsid w:val="006B56E1"/>
    <w:pPr>
      <w:snapToGrid w:val="0"/>
      <w:jc w:val="left"/>
    </w:pPr>
    <w:rPr>
      <w:sz w:val="18"/>
      <w:szCs w:val="18"/>
    </w:rPr>
  </w:style>
  <w:style w:customStyle="1" w:styleId="Char6" w:type="character">
    <w:name w:val="脚注文本 Char"/>
    <w:link w:val="ad"/>
    <w:uiPriority w:val="99"/>
    <w:locked/>
    <w:rsid w:val="006B56E1"/>
    <w:rPr>
      <w:rFonts w:cs="Times New Roman"/>
      <w:kern w:val="2"/>
      <w:sz w:val="18"/>
      <w:szCs w:val="18"/>
    </w:rPr>
  </w:style>
  <w:style w:styleId="ae" w:type="character">
    <w:name w:val="footnote reference"/>
    <w:uiPriority w:val="99"/>
    <w:rsid w:val="006B56E1"/>
    <w:rPr>
      <w:rFonts w:cs="Times New Roman"/>
      <w:vertAlign w:val="superscript"/>
    </w:rPr>
  </w:style>
  <w:style w:styleId="af" w:type="character">
    <w:name w:val="Strong"/>
    <w:uiPriority w:val="22"/>
    <w:qFormat/>
    <w:locked/>
    <w:rsid w:val="001136E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71063">
      <w:bodyDiv w:val="1"/>
      <w:marLeft w:val="0"/>
      <w:marRight w:val="0"/>
      <w:marTop w:val="0"/>
      <w:marBottom w:val="0"/>
      <w:divBdr>
        <w:top w:val="none" w:sz="0" w:space="0" w:color="auto"/>
        <w:left w:val="none" w:sz="0" w:space="0" w:color="auto"/>
        <w:bottom w:val="none" w:sz="0" w:space="0" w:color="auto"/>
        <w:right w:val="none" w:sz="0" w:space="0" w:color="auto"/>
      </w:divBdr>
    </w:div>
    <w:div w:id="691616685">
      <w:bodyDiv w:val="1"/>
      <w:marLeft w:val="0"/>
      <w:marRight w:val="0"/>
      <w:marTop w:val="0"/>
      <w:marBottom w:val="0"/>
      <w:divBdr>
        <w:top w:val="none" w:sz="0" w:space="0" w:color="auto"/>
        <w:left w:val="none" w:sz="0" w:space="0" w:color="auto"/>
        <w:bottom w:val="none" w:sz="0" w:space="0" w:color="auto"/>
        <w:right w:val="none" w:sz="0" w:space="0" w:color="auto"/>
      </w:divBdr>
    </w:div>
    <w:div w:id="737367738">
      <w:bodyDiv w:val="1"/>
      <w:marLeft w:val="0"/>
      <w:marRight w:val="0"/>
      <w:marTop w:val="0"/>
      <w:marBottom w:val="0"/>
      <w:divBdr>
        <w:top w:val="none" w:sz="0" w:space="0" w:color="auto"/>
        <w:left w:val="none" w:sz="0" w:space="0" w:color="auto"/>
        <w:bottom w:val="none" w:sz="0" w:space="0" w:color="auto"/>
        <w:right w:val="none" w:sz="0" w:space="0" w:color="auto"/>
      </w:divBdr>
    </w:div>
    <w:div w:id="801459287">
      <w:bodyDiv w:val="1"/>
      <w:marLeft w:val="0"/>
      <w:marRight w:val="0"/>
      <w:marTop w:val="0"/>
      <w:marBottom w:val="0"/>
      <w:divBdr>
        <w:top w:val="none" w:sz="0" w:space="0" w:color="auto"/>
        <w:left w:val="none" w:sz="0" w:space="0" w:color="auto"/>
        <w:bottom w:val="none" w:sz="0" w:space="0" w:color="auto"/>
        <w:right w:val="none" w:sz="0" w:space="0" w:color="auto"/>
      </w:divBdr>
    </w:div>
    <w:div w:id="1718818727">
      <w:marLeft w:val="0"/>
      <w:marRight w:val="0"/>
      <w:marTop w:val="0"/>
      <w:marBottom w:val="0"/>
      <w:divBdr>
        <w:top w:val="none" w:sz="0" w:space="0" w:color="auto"/>
        <w:left w:val="none" w:sz="0" w:space="0" w:color="auto"/>
        <w:bottom w:val="none" w:sz="0" w:space="0" w:color="auto"/>
        <w:right w:val="none" w:sz="0" w:space="0" w:color="auto"/>
      </w:divBdr>
    </w:div>
    <w:div w:id="1718818728">
      <w:marLeft w:val="0"/>
      <w:marRight w:val="0"/>
      <w:marTop w:val="0"/>
      <w:marBottom w:val="0"/>
      <w:divBdr>
        <w:top w:val="none" w:sz="0" w:space="0" w:color="auto"/>
        <w:left w:val="none" w:sz="0" w:space="0" w:color="auto"/>
        <w:bottom w:val="none" w:sz="0" w:space="0" w:color="auto"/>
        <w:right w:val="none" w:sz="0" w:space="0" w:color="auto"/>
      </w:divBdr>
    </w:div>
    <w:div w:id="17188187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media/image3.jpeg" Type="http://schemas.openxmlformats.org/officeDocument/2006/relationships/image"/>
<Relationship Id="rId13" Target="fontTable.xml" Type="http://schemas.openxmlformats.org/officeDocument/2006/relationships/fontTable"/>
<Relationship Id="rId14"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28</Pages>
  <Words>3999</Words>
  <Characters>22796</Characters>
  <Application>Microsoft Office Word</Application>
  <DocSecurity>0</DocSecurity>
  <Lines>189</Lines>
  <Paragraphs>53</Paragraphs>
  <ScaleCrop>false</ScaleCrop>
  <Company>jysld</Company>
  <LinksUpToDate>false</LinksUpToDate>
  <CharactersWithSpaces>26742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2013-12-25T02:47:00Z</dcterms:created>
  <dc:creator>bonnieliu</dc:creator>
  <cp:lastModifiedBy>sirong han</cp:lastModifiedBy>
  <cp:lastPrinted>2009-01-22T10:11:00Z</cp:lastPrinted>
  <dcterms:modified xsi:type="dcterms:W3CDTF">2020-07-09T02:58:00Z</dcterms:modified>
  <cp:revision>95</cp:revision>
</cp:coreProperties>
</file>