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196812" w:rsidR="00941F6C" w:rsidRDefault="00941F6C" w:rsidRPr="0097021E">
      <w:pPr>
        <w:autoSpaceDE w:val="0"/>
        <w:autoSpaceDN w:val="0"/>
        <w:adjustRightInd w:val="0"/>
        <w:spacing w:line="360" w:lineRule="auto"/>
        <w:jc w:val="left"/>
        <w:rPr>
          <w:rFonts w:ascii="宋体" w:cs="Arial"/>
          <w:color w:val="000000"/>
          <w:kern w:val="0"/>
          <w:sz w:val="24"/>
        </w:rPr>
      </w:pPr>
    </w:p>
    <w:p w:rsidP="00196812" w:rsidR="00941F6C" w:rsidRDefault="00941F6C" w:rsidRPr="0097021E">
      <w:pPr>
        <w:autoSpaceDE w:val="0"/>
        <w:autoSpaceDN w:val="0"/>
        <w:adjustRightInd w:val="0"/>
        <w:spacing w:line="360" w:lineRule="auto"/>
        <w:jc w:val="left"/>
        <w:rPr>
          <w:rFonts w:ascii="宋体" w:cs="Arial"/>
          <w:color w:val="000000"/>
          <w:kern w:val="0"/>
          <w:sz w:val="24"/>
        </w:rPr>
      </w:pPr>
    </w:p>
    <w:p w:rsidP="00196812" w:rsidR="00941F6C" w:rsidRDefault="00941F6C" w:rsidRPr="0097021E">
      <w:pPr>
        <w:autoSpaceDE w:val="0"/>
        <w:autoSpaceDN w:val="0"/>
        <w:adjustRightInd w:val="0"/>
        <w:spacing w:line="360" w:lineRule="auto"/>
        <w:jc w:val="left"/>
        <w:rPr>
          <w:rFonts w:ascii="宋体" w:cs="Arial"/>
          <w:color w:val="000000"/>
          <w:kern w:val="0"/>
          <w:sz w:val="24"/>
        </w:rPr>
      </w:pPr>
    </w:p>
    <w:p w:rsidP="00196812" w:rsidR="00941F6C" w:rsidRDefault="00941F6C" w:rsidRPr="0097021E">
      <w:pPr>
        <w:autoSpaceDE w:val="0"/>
        <w:autoSpaceDN w:val="0"/>
        <w:adjustRightInd w:val="0"/>
        <w:spacing w:line="360" w:lineRule="auto"/>
        <w:jc w:val="left"/>
        <w:rPr>
          <w:rFonts w:ascii="宋体" w:cs="Arial"/>
          <w:color w:val="000000"/>
          <w:kern w:val="0"/>
          <w:sz w:val="24"/>
        </w:rPr>
      </w:pPr>
    </w:p>
    <w:p w:rsidP="0002085F" w:rsidR="00941F6C" w:rsidRDefault="00941F6C" w:rsidRPr="0097021E">
      <w:pPr>
        <w:spacing w:line="360" w:lineRule="auto"/>
        <w:jc w:val="center"/>
        <w:rPr>
          <w:rFonts w:ascii="宋体" w:hAnsi="宋体"/>
          <w:b/>
          <w:sz w:val="36"/>
          <w:szCs w:val="36"/>
        </w:rPr>
      </w:pPr>
      <w:r w:rsidRPr="0097021E">
        <w:rPr>
          <w:rFonts w:ascii="宋体"/>
          <w:b/>
          <w:sz w:val="36"/>
          <w:szCs w:val="36"/>
        </w:rPr>
        <w:t/>
      </w:r>
      <w:proofErr w:type="spellStart"/>
      <w:proofErr w:type="gramStart"/>
      <w:r w:rsidRPr="0097021E">
        <w:rPr>
          <w:rFonts w:ascii="宋体" w:hAnsi="宋体"/>
          <w:b/>
          <w:sz w:val="36"/>
          <w:szCs w:val="36"/>
        </w:rPr>
        <w:t/>
      </w:r>
      <w:proofErr w:type="spellEnd"/>
      <w:proofErr w:type="gramEnd"/>
      <w:r w:rsidRPr="0097021E">
        <w:rPr>
          <w:rFonts w:ascii="宋体" w:hAnsi="宋体"/>
          <w:b/>
          <w:sz w:val="36"/>
          <w:szCs w:val="36"/>
        </w:rPr>
        <w:t>易方达天天增利货币市场基金</w:t>
      </w:r>
    </w:p>
    <w:p w:rsidP="0002085F" w:rsidR="00941F6C" w:rsidRDefault="00941F6C" w:rsidRPr="0097021E">
      <w:pPr>
        <w:spacing w:line="360" w:lineRule="auto"/>
        <w:jc w:val="center"/>
        <w:rPr>
          <w:rFonts w:ascii="宋体" w:hAnsi="宋体"/>
          <w:b/>
          <w:sz w:val="36"/>
          <w:szCs w:val="36"/>
        </w:rPr>
      </w:pPr>
      <w:r w:rsidRPr="0097021E">
        <w:rPr>
          <w:rFonts w:ascii="宋体" w:hAnsi="宋体"/>
          <w:b/>
          <w:sz w:val="36"/>
          <w:szCs w:val="36"/>
        </w:rPr>
        <w:t/>
      </w:r>
      <w:proofErr w:type="spellStart"/>
      <w:r w:rsidRPr="0097021E">
        <w:rPr>
          <w:rFonts w:ascii="宋体" w:hAnsi="宋体"/>
          <w:b/>
          <w:sz w:val="36"/>
          <w:szCs w:val="36"/>
        </w:rPr>
        <w:t/>
      </w:r>
      <w:proofErr w:type="spellEnd"/>
      <w:r w:rsidRPr="0097021E">
        <w:rPr>
          <w:rFonts w:ascii="宋体" w:hAnsi="宋体"/>
          <w:b/>
          <w:sz w:val="36"/>
          <w:szCs w:val="36"/>
        </w:rPr>
        <w:t>2020年第2季度报告</w:t>
      </w:r>
    </w:p>
    <w:p w:rsidP="0002085F" w:rsidR="00941F6C" w:rsidRDefault="00941F6C" w:rsidRPr="004F32E4">
      <w:pPr>
        <w:spacing w:line="360" w:lineRule="auto"/>
        <w:jc w:val="center"/>
        <w:rPr>
          <w:rFonts w:ascii="宋体" w:hAnsi="宋体"/>
          <w:b/>
          <w:sz w:val="24"/>
          <w:szCs w:val="36"/>
        </w:rPr>
      </w:pPr>
      <w:r w:rsidRPr="004F32E4">
        <w:rPr>
          <w:rFonts w:ascii="宋体"/>
          <w:b/>
          <w:sz w:val="24"/>
          <w:szCs w:val="36"/>
        </w:rPr>
        <w:t/>
      </w:r>
      <w:proofErr w:type="spellStart"/>
      <w:proofErr w:type="gramStart"/>
      <w:r w:rsidRPr="004F32E4">
        <w:rPr>
          <w:rFonts w:ascii="宋体" w:hAnsi="宋体"/>
          <w:b/>
          <w:sz w:val="24"/>
          <w:szCs w:val="36"/>
        </w:rPr>
        <w:t/>
      </w:r>
      <w:proofErr w:type="spellEnd"/>
      <w:proofErr w:type="gramEnd"/>
      <w:r w:rsidRPr="004F32E4">
        <w:rPr>
          <w:rFonts w:ascii="宋体" w:hAnsi="宋体"/>
          <w:b/>
          <w:sz w:val="24"/>
          <w:szCs w:val="36"/>
        </w:rPr>
        <w:t>2020年6月30日</w:t>
      </w: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rPr>
          <w:rFonts w:ascii="宋体"/>
          <w:b/>
          <w:color w:val="000000"/>
          <w:sz w:val="24"/>
        </w:rPr>
      </w:pPr>
    </w:p>
    <w:p w:rsidP="00DC22A1" w:rsidR="00941F6C" w:rsidRDefault="00941F6C"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基金管理人：</w:t>
      </w:r>
      <w:r w:rsidRPr="0097021E">
        <w:rPr>
          <w:rFonts w:ascii="宋体"/>
          <w:b/>
          <w:color w:val="000000"/>
          <w:sz w:val="24"/>
        </w:rPr>
        <w:t/>
      </w:r>
      <w:proofErr w:type="spellStart"/>
      <w:proofErr w:type="gramStart"/>
      <w:r w:rsidRPr="0097021E">
        <w:rPr>
          <w:rFonts w:ascii="宋体" w:hAnsi="宋体"/>
          <w:b/>
          <w:color w:val="000000"/>
          <w:sz w:val="24"/>
        </w:rPr>
        <w:t/>
      </w:r>
      <w:proofErr w:type="spellEnd"/>
      <w:proofErr w:type="gramEnd"/>
      <w:r w:rsidRPr="0097021E">
        <w:rPr>
          <w:rFonts w:ascii="宋体" w:hAnsi="宋体"/>
          <w:b/>
          <w:color w:val="000000"/>
          <w:sz w:val="24"/>
        </w:rPr>
        <w:t>易方达基金管理有限公司</w:t>
      </w:r>
    </w:p>
    <w:p w:rsidP="00DC22A1" w:rsidR="00941F6C" w:rsidRDefault="00941F6C"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基金托管人：</w:t>
      </w:r>
      <w:r w:rsidRPr="0097021E">
        <w:rPr>
          <w:rFonts w:ascii="宋体"/>
          <w:b/>
          <w:color w:val="000000"/>
          <w:sz w:val="24"/>
        </w:rPr>
        <w:t/>
      </w:r>
      <w:proofErr w:type="spellStart"/>
      <w:proofErr w:type="gramStart"/>
      <w:r w:rsidRPr="0097021E">
        <w:rPr>
          <w:rFonts w:ascii="宋体" w:hAnsi="宋体"/>
          <w:b/>
          <w:color w:val="000000"/>
          <w:sz w:val="24"/>
        </w:rPr>
        <w:t/>
      </w:r>
      <w:proofErr w:type="spellEnd"/>
      <w:proofErr w:type="gramEnd"/>
      <w:r w:rsidRPr="0097021E">
        <w:rPr>
          <w:rFonts w:ascii="宋体" w:hAnsi="宋体"/>
          <w:b/>
          <w:color w:val="000000"/>
          <w:sz w:val="24"/>
        </w:rPr>
        <w:t>中国建设银行股份有限公司</w:t>
      </w:r>
    </w:p>
    <w:p w:rsidP="00DC22A1" w:rsidR="00941F6C" w:rsidRDefault="00941F6C" w:rsidRPr="0097021E">
      <w:pPr>
        <w:spacing w:line="360" w:lineRule="auto"/>
        <w:ind w:firstLine="2168" w:firstLineChars="900"/>
        <w:rPr>
          <w:rFonts w:ascii="宋体" w:hAnsi="宋体"/>
          <w:b/>
          <w:color w:val="000000"/>
          <w:sz w:val="24"/>
        </w:rPr>
        <w:sectPr w:rsidR="00941F6C" w:rsidRPr="0097021E" w:rsidSect="005633AD">
          <w:headerReference r:id="rId8" w:type="default"/>
          <w:footerReference r:id="rId9" w:type="default"/>
          <w:pgSz w:h="15840" w:w="11926"/>
          <w:pgMar w:bottom="851" w:footer="992" w:gutter="0" w:header="851" w:left="1418" w:right="1418" w:top="1418"/>
          <w:cols w:space="720"/>
          <w:noEndnote/>
        </w:sectPr>
      </w:pPr>
      <w:r w:rsidRPr="0097021E">
        <w:rPr>
          <w:rFonts w:ascii="宋体" w:hAnsi="宋体" w:hint="eastAsia"/>
          <w:b/>
          <w:color w:val="000000"/>
          <w:sz w:val="24"/>
        </w:rPr>
        <w:t>报告送出日期：</w:t>
      </w:r>
      <w:r w:rsidRPr="0097021E">
        <w:rPr>
          <w:rFonts w:ascii="宋体"/>
          <w:b/>
          <w:color w:val="000000"/>
          <w:sz w:val="24"/>
        </w:rPr>
        <w:t/>
      </w:r>
      <w:proofErr w:type="spellStart"/>
      <w:proofErr w:type="gramStart"/>
      <w:r w:rsidRPr="0097021E">
        <w:rPr>
          <w:rFonts w:ascii="宋体" w:hAnsi="宋体"/>
          <w:b/>
          <w:color w:val="000000"/>
          <w:sz w:val="24"/>
        </w:rPr>
        <w:t/>
      </w:r>
      <w:proofErr w:type="spellEnd"/>
      <w:proofErr w:type="gramEnd"/>
      <w:r w:rsidRPr="0097021E">
        <w:rPr>
          <w:rFonts w:ascii="宋体" w:hAnsi="宋体"/>
          <w:b/>
          <w:color w:val="000000"/>
          <w:sz w:val="24"/>
        </w:rPr>
        <w:t>二〇二〇年七月二十一日</w:t>
      </w:r>
    </w:p>
    <w:p w:rsidP="00CE0B87" w:rsidR="00941F6C" w:rsidRDefault="00941F6C" w:rsidRPr="0097021E">
      <w:pPr>
        <w:pStyle w:val="1"/>
        <w:spacing w:after="312" w:afterLines="100" w:before="312" w:beforeLines="100" w:line="360" w:lineRule="auto"/>
        <w:jc w:val="center"/>
        <w:rPr>
          <w:rFonts w:ascii="宋体" w:cs="Arial"/>
          <w:b w:val="0"/>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1  </w:t>
      </w:r>
      <w:r w:rsidRPr="0097021E">
        <w:rPr>
          <w:rFonts w:ascii="宋体" w:cs="Arial" w:hAnsi="宋体" w:hint="eastAsia"/>
          <w:color w:val="000000"/>
          <w:kern w:val="0"/>
          <w:sz w:val="24"/>
          <w:szCs w:val="24"/>
        </w:rPr>
        <w:t>重要提示</w:t>
      </w:r>
    </w:p>
    <w:p>
      <w:pPr>
        <w:adjustRightInd w:val="0"/>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adjustRightInd w:val="0"/>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adjustRightInd w:val="0"/>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adjustRightInd w:val="0"/>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adjustRightInd w:val="0"/>
        <w:spacing w:line="360" w:lineRule="auto"/>
        <w:ind w:firstLine="480" w:firstLineChars="200"/>
        <w:rPr>
          <w:color w:val="000000"/>
          <w:sz w:val="24"/>
        </w:rPr>
      </w:pPr>
      <w:r>
        <w:rPr>
          <w:color w:val="000000"/>
          <w:sz w:val="24"/>
        </w:rPr>
        <w:t>本报告中财务资料未经审计。</w:t>
      </w:r>
    </w:p>
    <w:p w:rsidP="00DC22A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proofErr w:type="gramStart"/>
      <w:r w:rsidRPr="00A15461">
        <w:rPr>
          <w:color w:val="000000"/>
          <w:sz w:val="24"/>
        </w:rPr>
        <w:t/>
      </w:r>
      <w:proofErr w:type="spellEnd"/>
      <w:proofErr w:type="gramEnd"/>
      <w:r w:rsidRPr="00A15461">
        <w:rPr>
          <w:color w:val="000000"/>
          <w:sz w:val="24"/>
        </w:rPr>
        <w:t>本报告期自2020年4月1日起至6月30日止。</w:t>
      </w:r>
    </w:p>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2  </w:t>
      </w:r>
      <w:r w:rsidRPr="0097021E">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941F6C" w:rsidRPr="0097021E" w:rsidTr="00F11244">
        <w:tc>
          <w:tcPr>
            <w:tcW w:type="dxa" w:w="2835"/>
          </w:tcPr>
          <w:p w:rsidP="00196812" w:rsidR="00941F6C" w:rsidRDefault="00941F6C" w:rsidRPr="00A15461">
            <w:pPr>
              <w:adjustRightInd w:val="0"/>
              <w:spacing w:before="29" w:line="360" w:lineRule="auto"/>
              <w:ind w:left="17"/>
              <w:jc w:val="left"/>
              <w:rPr>
                <w:kern w:val="0"/>
                <w:sz w:val="24"/>
              </w:rPr>
            </w:pPr>
            <w:r w:rsidRPr="00A15461">
              <w:rPr>
                <w:kern w:val="0"/>
                <w:sz w:val="24"/>
              </w:rPr>
              <w:t>基金简称</w:t>
            </w:r>
          </w:p>
        </w:tc>
        <w:tc>
          <w:tcPr>
            <w:tcW w:type="dxa" w:w="5479"/>
            <w:gridSpan w:val="2"/>
          </w:tcPr>
          <w:p w:rsidP="00196812" w:rsidR="00941F6C" w:rsidRDefault="00941F6C" w:rsidRPr="00A15461">
            <w:pPr>
              <w:adjustRightInd w:val="0"/>
              <w:spacing w:before="29" w:line="360" w:lineRule="auto"/>
              <w:ind w:left="17"/>
              <w:jc w:val="left"/>
              <w:rPr>
                <w:color w:val="000000"/>
                <w:kern w:val="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易方达天天增利货币</w:t>
            </w:r>
          </w:p>
        </w:tc>
      </w:tr>
      <w:tr w:rsidR="00941F6C" w:rsidRPr="0097021E" w:rsidTr="00D06255">
        <w:tc>
          <w:tcPr>
            <w:tcW w:type="dxa" w:w="2835"/>
          </w:tcPr>
          <w:p w:rsidP="00196812" w:rsidR="00941F6C" w:rsidRDefault="00941F6C" w:rsidRPr="00A15461">
            <w:pPr>
              <w:adjustRightInd w:val="0"/>
              <w:spacing w:before="29" w:line="360" w:lineRule="auto"/>
              <w:ind w:left="17"/>
              <w:jc w:val="left"/>
              <w:rPr>
                <w:kern w:val="0"/>
                <w:sz w:val="24"/>
              </w:rPr>
            </w:pPr>
            <w:r w:rsidRPr="00A15461">
              <w:rPr>
                <w:kern w:val="0"/>
                <w:sz w:val="24"/>
              </w:rPr>
              <w:t>基金主代码</w:t>
            </w:r>
          </w:p>
        </w:tc>
        <w:tc>
          <w:tcPr>
            <w:tcW w:type="dxa" w:w="5479"/>
            <w:gridSpan w:val="2"/>
          </w:tcPr>
          <w:p w:rsidP="00196812" w:rsidR="00941F6C" w:rsidRDefault="00941F6C" w:rsidRPr="00A15461">
            <w:pPr>
              <w:adjustRightInd w:val="0"/>
              <w:spacing w:before="29" w:line="360" w:lineRule="auto"/>
              <w:ind w:left="17"/>
              <w:jc w:val="left"/>
              <w:rPr>
                <w:color w:val="000000"/>
                <w:kern w:val="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000704</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基金运作方式</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契约型开放式</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基金合同生效日</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2014年6月25日</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报告期末基金份额总额</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8,385,980,458.04</w:t>
            </w:r>
            <w:r w:rsidRPr="00A15461">
              <w:rPr>
                <w:color w:val="000000"/>
                <w:kern w:val="0"/>
                <w:sz w:val="24"/>
              </w:rPr>
              <w:t>份</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投资目标</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在有效控制投资风险和保持高流动性的基础上，力争获得高于业绩比较基准的投资回报。</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投资策略</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本基金将对基金资产组合进行积极管理，在深入研究国内外的宏观经济走势、货币政策变化趋势、市场资金供求状况的基础上，综合考虑各类投资品种的收益性、流动性和风险特征，力争获得高于业绩比较基准的投资回报。</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业绩比较基准</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中国人民银行公布的七天通知存款利率（税后）</w:t>
            </w:r>
          </w:p>
        </w:tc>
      </w:tr>
      <w:tr w:rsidR="00941F6C" w:rsidRPr="0097021E" w:rsidTr="00F11244">
        <w:tc>
          <w:tcPr>
            <w:tcW w:type="dxa" w:w="2835"/>
          </w:tcPr>
          <w:p w:rsidP="00196812" w:rsidR="00941F6C" w:rsidRDefault="00941F6C" w:rsidRPr="00A15461">
            <w:pPr>
              <w:adjustRightInd w:val="0"/>
              <w:spacing w:before="29" w:line="360" w:lineRule="auto"/>
              <w:ind w:left="17"/>
              <w:jc w:val="left"/>
              <w:rPr>
                <w:kern w:val="0"/>
                <w:sz w:val="24"/>
              </w:rPr>
            </w:pPr>
            <w:r w:rsidRPr="00A15461">
              <w:rPr>
                <w:kern w:val="0"/>
                <w:sz w:val="24"/>
              </w:rPr>
              <w:t>风险收益特征</w:t>
            </w:r>
          </w:p>
        </w:tc>
        <w:tc>
          <w:tcPr>
            <w:tcW w:type="dxa" w:w="5479"/>
            <w:gridSpan w:val="2"/>
          </w:tcPr>
          <w:p w:rsidP="00196812" w:rsidR="00941F6C" w:rsidRDefault="00941F6C" w:rsidRPr="00A15461">
            <w:pPr>
              <w:adjustRightInd w:val="0"/>
              <w:spacing w:before="29" w:line="360" w:lineRule="auto"/>
              <w:ind w:left="17"/>
              <w:jc w:val="left"/>
              <w:rPr>
                <w:color w:val="000000"/>
                <w:kern w:val="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
            </w:r>
            <w:proofErr w:type="spellStart"/>
            <w:r w:rsidRPr="00A15461">
              <w:rPr>
                <w:color w:val="000000"/>
                <w:kern w:val="0"/>
                <w:sz w:val="24"/>
              </w:rPr>
              <w:t/>
            </w:r>
            <w:proofErr w:type="spellEnd"/>
            <w:r w:rsidRPr="00A15461">
              <w:rPr>
                <w:color w:val="000000"/>
                <w:kern w:val="0"/>
                <w:sz w:val="24"/>
              </w:rPr>
              <w:t>本基金为货币市场基金，是证券投资基金中的低风险品种。本基金的预期风险和预期收益低于股票型基金、混合型基金和债券型基金。</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基金管理人</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易方达基金管理有限公司</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基金托管人</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中国建设银行股份有限公司</w:t>
            </w:r>
          </w:p>
        </w:tc>
      </w:tr>
      <w:tr w:rsidR="00941F6C" w:rsidRPr="0097021E" w:rsidTr="00F11244">
        <w:tc>
          <w:tcPr>
            <w:tcW w:type="dxa" w:w="2835"/>
          </w:tcPr>
          <w:p w:rsidP="00607D19" w:rsidR="00941F6C" w:rsidRDefault="00941F6C" w:rsidRPr="00A15461">
            <w:pPr>
              <w:adjustRightInd w:val="0"/>
              <w:spacing w:before="29" w:line="360" w:lineRule="auto"/>
              <w:ind w:left="17"/>
              <w:jc w:val="left"/>
              <w:rPr>
                <w:kern w:val="0"/>
                <w:sz w:val="24"/>
              </w:rPr>
            </w:pPr>
            <w:r w:rsidRPr="00A15461">
              <w:rPr>
                <w:color w:val="000000"/>
                <w:sz w:val="24"/>
              </w:rPr>
              <w:t>下属</w:t>
            </w:r>
            <w:r w:rsidR="00607D19" w:rsidRPr="00A15461">
              <w:rPr>
                <w:color w:val="000000"/>
                <w:sz w:val="24"/>
              </w:rPr>
              <w:t>分</w:t>
            </w:r>
            <w:r w:rsidRPr="00A15461">
              <w:rPr>
                <w:color w:val="000000"/>
                <w:sz w:val="24"/>
              </w:rPr>
              <w:t>级基金的基金简称</w:t>
            </w:r>
          </w:p>
        </w:tc>
        <w:tc>
          <w:tcPr>
            <w:tcW w:type="dxa" w:w="2739"/>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sz w:val="24"/>
              </w:rPr>
              <w:t/>
            </w:r>
            <w:proofErr w:type="spellEnd"/>
            <w:r w:rsidRPr="00A15461">
              <w:rPr>
                <w:sz w:val="24"/>
              </w:rPr>
              <w:t>易方达天天增利货币A</w:t>
            </w:r>
          </w:p>
        </w:tc>
        <w:tc>
          <w:tcPr>
            <w:tcW w:type="dxa" w:w="2740"/>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sz w:val="24"/>
              </w:rPr>
              <w:t/>
            </w:r>
            <w:proofErr w:type="spellEnd"/>
            <w:r w:rsidRPr="00A15461">
              <w:rPr>
                <w:sz w:val="24"/>
              </w:rPr>
              <w:t>易方达天天增利货币B</w:t>
            </w:r>
          </w:p>
        </w:tc>
      </w:tr>
      <w:tr w:rsidR="00941F6C" w:rsidRPr="0097021E" w:rsidTr="00F11244">
        <w:tc>
          <w:tcPr>
            <w:tcW w:type="dxa" w:w="2835"/>
          </w:tcPr>
          <w:p w:rsidP="00607D19" w:rsidR="00941F6C" w:rsidRDefault="00941F6C" w:rsidRPr="00A15461">
            <w:pPr>
              <w:adjustRightInd w:val="0"/>
              <w:spacing w:before="29" w:line="360" w:lineRule="auto"/>
              <w:ind w:left="17"/>
              <w:jc w:val="left"/>
              <w:rPr>
                <w:color w:val="000000"/>
                <w:sz w:val="24"/>
              </w:rPr>
            </w:pPr>
            <w:r w:rsidRPr="00A15461">
              <w:rPr>
                <w:color w:val="000000"/>
                <w:sz w:val="24"/>
              </w:rPr>
              <w:lastRenderedPageBreak/>
              <w:t>下属</w:t>
            </w:r>
            <w:r w:rsidR="00607D19" w:rsidRPr="00A15461">
              <w:rPr>
                <w:color w:val="000000"/>
                <w:sz w:val="24"/>
              </w:rPr>
              <w:t>分</w:t>
            </w:r>
            <w:r w:rsidRPr="00A15461">
              <w:rPr>
                <w:color w:val="000000"/>
                <w:sz w:val="24"/>
              </w:rPr>
              <w:t>级基金的交易代码</w:t>
            </w:r>
          </w:p>
        </w:tc>
        <w:tc>
          <w:tcPr>
            <w:tcW w:type="dxa" w:w="2739"/>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sz w:val="24"/>
              </w:rPr>
              <w:t/>
            </w:r>
            <w:proofErr w:type="spellEnd"/>
            <w:r w:rsidRPr="00A15461">
              <w:rPr>
                <w:sz w:val="24"/>
              </w:rPr>
              <w:t>000704</w:t>
            </w:r>
          </w:p>
        </w:tc>
        <w:tc>
          <w:tcPr>
            <w:tcW w:type="dxa" w:w="2740"/>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sz w:val="24"/>
              </w:rPr>
              <w:t/>
            </w:r>
            <w:proofErr w:type="spellEnd"/>
            <w:r w:rsidRPr="00A15461">
              <w:rPr>
                <w:sz w:val="24"/>
              </w:rPr>
              <w:t>000705</w:t>
            </w:r>
          </w:p>
        </w:tc>
      </w:tr>
      <w:tr w:rsidR="00941F6C" w:rsidRPr="0097021E" w:rsidTr="00F11244">
        <w:tc>
          <w:tcPr>
            <w:tcW w:type="dxa" w:w="2835"/>
          </w:tcPr>
          <w:p w:rsidP="00607D19" w:rsidR="00941F6C" w:rsidRDefault="00941F6C" w:rsidRPr="00A15461">
            <w:pPr>
              <w:adjustRightInd w:val="0"/>
              <w:spacing w:before="29" w:line="360" w:lineRule="auto"/>
              <w:ind w:left="17"/>
              <w:jc w:val="left"/>
              <w:rPr>
                <w:color w:val="000000"/>
                <w:sz w:val="24"/>
              </w:rPr>
            </w:pPr>
            <w:r w:rsidRPr="00A15461">
              <w:rPr>
                <w:color w:val="000000"/>
                <w:sz w:val="24"/>
              </w:rPr>
              <w:t>报告期末下属</w:t>
            </w:r>
            <w:r w:rsidR="00607D19" w:rsidRPr="00A15461">
              <w:rPr>
                <w:color w:val="000000"/>
                <w:sz w:val="24"/>
              </w:rPr>
              <w:t>分</w:t>
            </w:r>
            <w:r w:rsidRPr="00A15461">
              <w:rPr>
                <w:color w:val="000000"/>
                <w:sz w:val="24"/>
              </w:rPr>
              <w:t>级基金的份额总额</w:t>
            </w:r>
          </w:p>
        </w:tc>
        <w:tc>
          <w:tcPr>
            <w:tcW w:type="dxa" w:w="2739"/>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color w:val="000000"/>
                <w:kern w:val="0"/>
                <w:sz w:val="24"/>
              </w:rPr>
              <w:t/>
            </w:r>
            <w:proofErr w:type="spellEnd"/>
            <w:r w:rsidRPr="00A15461">
              <w:rPr>
                <w:sz w:val="24"/>
              </w:rPr>
              <w:t>8,304,220,961.17</w:t>
            </w:r>
            <w:r w:rsidRPr="00A15461">
              <w:rPr>
                <w:sz w:val="24"/>
              </w:rPr>
              <w:t>份</w:t>
            </w:r>
          </w:p>
        </w:tc>
        <w:tc>
          <w:tcPr>
            <w:tcW w:type="dxa" w:w="2740"/>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color w:val="000000"/>
                <w:kern w:val="0"/>
                <w:sz w:val="24"/>
              </w:rPr>
              <w:t/>
            </w:r>
            <w:proofErr w:type="spellEnd"/>
            <w:r w:rsidRPr="00A15461">
              <w:rPr>
                <w:sz w:val="24"/>
              </w:rPr>
              <w:t>81,759,496.87</w:t>
            </w:r>
            <w:r w:rsidRPr="00A15461">
              <w:rPr>
                <w:sz w:val="24"/>
              </w:rPr>
              <w:t>份</w:t>
            </w:r>
          </w:p>
        </w:tc>
      </w:tr>
    </w:tbl>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3  </w:t>
      </w:r>
      <w:r w:rsidRPr="0097021E">
        <w:rPr>
          <w:rFonts w:ascii="宋体" w:cs="Arial" w:hAnsi="宋体" w:hint="eastAsia"/>
          <w:color w:val="000000"/>
          <w:kern w:val="0"/>
          <w:sz w:val="24"/>
          <w:szCs w:val="24"/>
        </w:rPr>
        <w:t>主要财务指标和基金净值表现</w:t>
      </w:r>
    </w:p>
    <w:p w:rsidP="009A755D"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3.1 </w:t>
      </w:r>
      <w:r w:rsidRPr="0097021E">
        <w:rPr>
          <w:rFonts w:ascii="宋体" w:cs="Arial" w:hAnsi="宋体" w:hint="eastAsia"/>
          <w:b/>
          <w:color w:val="000000"/>
          <w:kern w:val="0"/>
          <w:sz w:val="24"/>
        </w:rPr>
        <w:t>主要财务指标</w:t>
      </w:r>
    </w:p>
    <w:p w:rsidP="00196812" w:rsidR="00941F6C" w:rsidRDefault="00941F6C"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941F6C" w:rsidRPr="00A15461" w:rsidTr="00F11244">
        <w:tc>
          <w:tcPr>
            <w:tcW w:type="dxa" w:w="3402"/>
            <w:vMerge w:val="restart"/>
            <w:vAlign w:val="center"/>
          </w:tcPr>
          <w:p w:rsidP="00196812" w:rsidR="00941F6C" w:rsidRDefault="00941F6C" w:rsidRPr="00A15461">
            <w:pPr>
              <w:adjustRightInd w:val="0"/>
              <w:spacing w:before="29" w:line="360" w:lineRule="auto"/>
              <w:ind w:left="17"/>
              <w:jc w:val="center"/>
              <w:rPr>
                <w:kern w:val="0"/>
                <w:sz w:val="24"/>
              </w:rPr>
            </w:pPr>
            <w:r w:rsidRPr="00A15461">
              <w:rPr>
                <w:kern w:val="0"/>
                <w:sz w:val="24"/>
              </w:rPr>
              <w:t>主要财务指标</w:t>
            </w:r>
          </w:p>
        </w:tc>
        <w:tc>
          <w:tcPr>
            <w:tcW w:type="dxa" w:w="4962"/>
            <w:gridSpan w:val="2"/>
            <w:vAlign w:val="center"/>
          </w:tcPr>
          <w:p w:rsidP="00196812" w:rsidR="00941F6C" w:rsidRDefault="00941F6C" w:rsidRPr="00A15461">
            <w:pPr>
              <w:adjustRightInd w:val="0"/>
              <w:spacing w:before="29" w:line="360" w:lineRule="auto"/>
              <w:ind w:left="17"/>
              <w:jc w:val="center"/>
              <w:rPr>
                <w:color w:val="000000"/>
                <w:sz w:val="24"/>
              </w:rPr>
            </w:pPr>
            <w:r w:rsidRPr="00A15461">
              <w:rPr>
                <w:color w:val="000000"/>
                <w:sz w:val="24"/>
              </w:rPr>
              <w:t>报告期</w:t>
            </w:r>
            <w:r w:rsidRPr="00A15461">
              <w:rPr>
                <w:color w:val="000000"/>
                <w:sz w:val="24"/>
              </w:rPr>
              <w:t>(</w:t>
            </w:r>
            <w:proofErr w:type="spellStart"/>
            <w:r w:rsidRPr="00A15461">
              <w:rPr>
                <w:color w:val="000000"/>
                <w:sz w:val="24"/>
              </w:rPr>
              <w:t/>
            </w:r>
            <w:proofErr w:type="spellEnd"/>
            <w:r w:rsidRPr="00A15461">
              <w:rPr>
                <w:color w:val="000000"/>
                <w:sz w:val="24"/>
              </w:rPr>
              <w:t>2020年4月1日-</w:t>
            </w:r>
            <w:proofErr w:type="spellStart"/>
            <w:r w:rsidRPr="00A15461">
              <w:rPr>
                <w:color w:val="000000"/>
                <w:sz w:val="24"/>
              </w:rPr>
              <w:t/>
            </w:r>
            <w:proofErr w:type="spellEnd"/>
            <w:r w:rsidRPr="00A15461">
              <w:rPr>
                <w:color w:val="000000"/>
                <w:sz w:val="24"/>
              </w:rPr>
              <w:t>2020年6月30日)</w:t>
            </w:r>
          </w:p>
        </w:tc>
      </w:tr>
      <w:tr w:rsidR="00941F6C" w:rsidRPr="00A15461" w:rsidTr="00F11244">
        <w:tc>
          <w:tcPr>
            <w:tcW w:type="dxa" w:w="3402"/>
            <w:vMerge/>
            <w:vAlign w:val="center"/>
          </w:tcPr>
          <w:p w:rsidP="00196812" w:rsidR="00941F6C" w:rsidRDefault="00941F6C" w:rsidRPr="00A15461">
            <w:pPr>
              <w:adjustRightInd w:val="0"/>
              <w:spacing w:before="29" w:line="360" w:lineRule="auto"/>
              <w:ind w:left="17"/>
              <w:jc w:val="center"/>
              <w:rPr>
                <w:kern w:val="0"/>
                <w:sz w:val="24"/>
              </w:rPr>
            </w:pPr>
          </w:p>
        </w:tc>
        <w:tc>
          <w:tcPr>
            <w:tcW w:type="dxa" w:w="2481"/>
            <w:vAlign w:val="center"/>
          </w:tcPr>
          <w:p w:rsidP="00196812" w:rsidR="00941F6C" w:rsidRDefault="00941F6C" w:rsidRPr="00A15461">
            <w:pPr>
              <w:adjustRightInd w:val="0"/>
              <w:spacing w:before="29" w:line="360" w:lineRule="auto"/>
              <w:ind w:left="17"/>
              <w:jc w:val="center"/>
              <w:rPr>
                <w:color w:val="000000"/>
                <w:sz w:val="24"/>
              </w:rPr>
            </w:pPr>
            <w:r w:rsidRPr="00A15461">
              <w:rPr>
                <w:color w:val="000000"/>
                <w:kern w:val="0"/>
                <w:sz w:val="24"/>
              </w:rPr>
              <w:t/>
            </w:r>
            <w:proofErr w:type="spellStart"/>
            <w:r w:rsidRPr="00A15461">
              <w:rPr>
                <w:sz w:val="24"/>
              </w:rPr>
              <w:t/>
            </w:r>
            <w:proofErr w:type="spellEnd"/>
            <w:r w:rsidRPr="00A15461">
              <w:rPr>
                <w:sz w:val="24"/>
              </w:rPr>
              <w:t>易方达天天增利货币A</w:t>
            </w:r>
          </w:p>
        </w:tc>
        <w:tc>
          <w:tcPr>
            <w:tcW w:type="dxa" w:w="2481"/>
            <w:vAlign w:val="center"/>
          </w:tcPr>
          <w:p w:rsidP="00196812" w:rsidR="00941F6C" w:rsidRDefault="00941F6C" w:rsidRPr="00A15461">
            <w:pPr>
              <w:adjustRightInd w:val="0"/>
              <w:spacing w:before="29" w:line="360" w:lineRule="auto"/>
              <w:ind w:left="17"/>
              <w:jc w:val="center"/>
              <w:rPr>
                <w:color w:val="000000"/>
                <w:sz w:val="24"/>
              </w:rPr>
            </w:pPr>
            <w:r w:rsidRPr="00A15461">
              <w:rPr>
                <w:color w:val="000000"/>
                <w:kern w:val="0"/>
                <w:sz w:val="24"/>
              </w:rPr>
              <w:t/>
            </w:r>
            <w:proofErr w:type="spellStart"/>
            <w:r w:rsidRPr="00A15461">
              <w:rPr>
                <w:sz w:val="24"/>
              </w:rPr>
              <w:t/>
            </w:r>
            <w:proofErr w:type="spellEnd"/>
            <w:r w:rsidRPr="00A15461">
              <w:rPr>
                <w:sz w:val="24"/>
              </w:rPr>
              <w:t>易方达天天增利货币B</w:t>
            </w:r>
          </w:p>
        </w:tc>
      </w:tr>
      <w:tr w:rsidR="00941F6C" w:rsidRPr="00A15461" w:rsidTr="00F11244">
        <w:trPr>
          <w:trHeight w:val="840"/>
        </w:trPr>
        <w:tc>
          <w:tcPr>
            <w:tcW w:type="dxa" w:w="3402"/>
          </w:tcPr>
          <w:p w:rsidP="00196812" w:rsidR="00941F6C" w:rsidRDefault="00941F6C" w:rsidRPr="00A15461">
            <w:pPr>
              <w:adjustRightInd w:val="0"/>
              <w:spacing w:before="29" w:line="360" w:lineRule="auto"/>
              <w:ind w:left="17"/>
              <w:rPr>
                <w:kern w:val="0"/>
                <w:sz w:val="24"/>
              </w:rPr>
            </w:pPr>
            <w:r w:rsidRPr="00A15461">
              <w:rPr>
                <w:kern w:val="0"/>
                <w:sz w:val="24"/>
              </w:rPr>
              <w:t>1.</w:t>
            </w:r>
            <w:r w:rsidRPr="00A15461">
              <w:rPr>
                <w:kern w:val="0"/>
                <w:sz w:val="24"/>
              </w:rPr>
              <w:t>本期已实现收益</w:t>
            </w:r>
          </w:p>
        </w:tc>
        <w:tc>
          <w:tcPr>
            <w:tcW w:type="dxa" w:w="2481"/>
            <w:vAlign w:val="bottom"/>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29,333,617.06</w:t>
            </w:r>
          </w:p>
        </w:tc>
        <w:tc>
          <w:tcPr>
            <w:tcW w:type="dxa" w:w="2481"/>
            <w:vAlign w:val="bottom"/>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467,971.33</w:t>
            </w:r>
          </w:p>
        </w:tc>
      </w:tr>
      <w:tr w:rsidR="00941F6C" w:rsidRPr="00A15461" w:rsidTr="00F11244">
        <w:tc>
          <w:tcPr>
            <w:tcW w:type="dxa" w:w="3402"/>
          </w:tcPr>
          <w:p w:rsidP="00196812" w:rsidR="00941F6C" w:rsidRDefault="00941F6C" w:rsidRPr="00A15461">
            <w:pPr>
              <w:adjustRightInd w:val="0"/>
              <w:spacing w:before="29" w:line="360" w:lineRule="auto"/>
              <w:ind w:left="17"/>
              <w:rPr>
                <w:kern w:val="0"/>
                <w:sz w:val="24"/>
              </w:rPr>
            </w:pPr>
            <w:r w:rsidRPr="00A15461">
              <w:rPr>
                <w:kern w:val="0"/>
                <w:sz w:val="24"/>
              </w:rPr>
              <w:t>2.</w:t>
            </w:r>
            <w:r w:rsidRPr="00A15461">
              <w:rPr>
                <w:kern w:val="0"/>
                <w:sz w:val="24"/>
              </w:rPr>
              <w:t>本期利润</w:t>
            </w:r>
          </w:p>
        </w:tc>
        <w:tc>
          <w:tcPr>
            <w:tcW w:type="dxa" w:w="2481"/>
            <w:vAlign w:val="bottom"/>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29,333,617.06</w:t>
            </w:r>
          </w:p>
        </w:tc>
        <w:tc>
          <w:tcPr>
            <w:tcW w:type="dxa" w:w="2481"/>
            <w:vAlign w:val="bottom"/>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467,971.33</w:t>
            </w:r>
          </w:p>
        </w:tc>
      </w:tr>
      <w:tr w:rsidR="00941F6C" w:rsidRPr="00A15461" w:rsidTr="00F11244">
        <w:tc>
          <w:tcPr>
            <w:tcW w:type="dxa" w:w="3402"/>
          </w:tcPr>
          <w:p w:rsidP="00196812" w:rsidR="00941F6C" w:rsidRDefault="00941F6C" w:rsidRPr="00A15461">
            <w:pPr>
              <w:adjustRightInd w:val="0"/>
              <w:spacing w:before="29" w:line="360" w:lineRule="auto"/>
              <w:ind w:left="17"/>
              <w:rPr>
                <w:kern w:val="0"/>
                <w:sz w:val="24"/>
              </w:rPr>
            </w:pPr>
            <w:r w:rsidRPr="00A15461">
              <w:rPr>
                <w:kern w:val="0"/>
                <w:sz w:val="24"/>
              </w:rPr>
              <w:t>3.</w:t>
            </w:r>
            <w:r w:rsidRPr="00A15461">
              <w:rPr>
                <w:kern w:val="0"/>
                <w:sz w:val="24"/>
              </w:rPr>
              <w:t>期末基金资产净值</w:t>
            </w:r>
          </w:p>
        </w:tc>
        <w:tc>
          <w:tcPr>
            <w:tcW w:type="dxa" w:w="2481"/>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8,304,220,961.17</w:t>
            </w:r>
          </w:p>
        </w:tc>
        <w:tc>
          <w:tcPr>
            <w:tcW w:type="dxa" w:w="2481"/>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81,759,496.87</w:t>
            </w:r>
          </w:p>
        </w:tc>
      </w:tr>
    </w:tbl>
    <w:p>
      <w:pPr>
        <w:adjustRightInd w:val="0"/>
        <w:spacing w:line="360" w:lineRule="auto"/>
        <w:ind w:firstLine="480" w:firstLineChars="200"/>
        <w:rPr>
          <w:color w:val="000000"/>
          <w:sz w:val="24"/>
        </w:rPr>
      </w:pPr>
      <w:r>
        <w:rPr>
          <w:color w:val="000000"/>
          <w:sz w:val="24"/>
        </w:rPr>
        <w:t>注：1.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proofErr w:type="gramStart"/>
      <w:r w:rsidRPr="00A15461">
        <w:rPr>
          <w:color w:val="000000"/>
          <w:sz w:val="24"/>
        </w:rPr>
        <w:t/>
      </w:r>
      <w:proofErr w:type="spellEnd"/>
      <w:proofErr w:type="gramEnd"/>
      <w:r w:rsidRPr="00A15461">
        <w:rPr>
          <w:color w:val="000000"/>
          <w:sz w:val="24"/>
        </w:rPr>
        <w:t>2.本基金利润分配是按日结转份额。</w:t>
      </w:r>
    </w:p>
    <w:p w:rsidP="009A755D"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3.2 </w:t>
      </w:r>
      <w:r w:rsidRPr="0097021E">
        <w:rPr>
          <w:rFonts w:ascii="宋体" w:cs="Arial" w:hAnsi="宋体" w:hint="eastAsia"/>
          <w:b/>
          <w:color w:val="000000"/>
          <w:kern w:val="0"/>
          <w:sz w:val="24"/>
        </w:rPr>
        <w:t>基金净值表现</w:t>
      </w:r>
    </w:p>
    <w:p w:rsidP="009A755D" w:rsidR="00941F6C" w:rsidRDefault="00941F6C" w:rsidRPr="0097021E">
      <w:pPr>
        <w:spacing w:line="360" w:lineRule="auto"/>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cs="Arial" w:hAnsi="宋体"/>
            <w:b/>
            <w:color w:val="000000"/>
            <w:kern w:val="0"/>
            <w:sz w:val="24"/>
          </w:rPr>
          <w:t>3.2.1</w:t>
        </w:r>
      </w:smartTag>
      <w:r w:rsidRPr="0097021E">
        <w:rPr>
          <w:rFonts w:ascii="宋体" w:cs="Arial" w:hAnsi="宋体" w:hint="eastAsia"/>
          <w:b/>
          <w:color w:val="000000"/>
          <w:kern w:val="0"/>
          <w:sz w:val="24"/>
        </w:rPr>
        <w:t>本报告</w:t>
      </w:r>
      <w:proofErr w:type="gramStart"/>
      <w:r w:rsidRPr="0097021E">
        <w:rPr>
          <w:rFonts w:ascii="宋体" w:cs="Arial" w:hAnsi="宋体" w:hint="eastAsia"/>
          <w:b/>
          <w:color w:val="000000"/>
          <w:kern w:val="0"/>
          <w:sz w:val="24"/>
        </w:rPr>
        <w:t>期基金</w:t>
      </w:r>
      <w:proofErr w:type="gramEnd"/>
      <w:r w:rsidRPr="0097021E">
        <w:rPr>
          <w:rFonts w:ascii="宋体" w:cs="Arial" w:hAnsi="宋体" w:hint="eastAsia"/>
          <w:b/>
          <w:color w:val="000000"/>
          <w:kern w:val="0"/>
          <w:sz w:val="24"/>
        </w:rPr>
        <w:t>份额净值收益率及其与同期业绩比较基准收益率的比较</w:t>
      </w:r>
    </w:p>
    <w:p w:rsidP="004C44F3" w:rsidR="00941F6C" w:rsidRDefault="00941F6C" w:rsidRPr="0097021E">
      <w:pPr>
        <w:pStyle w:val="20"/>
        <w:spacing w:line="360" w:lineRule="auto"/>
        <w:ind w:firstLine="402"/>
        <w:rPr>
          <w:b/>
        </w:rPr>
      </w:pPr>
      <w:r w:rsidRPr="0097021E">
        <w:rPr>
          <w:b/>
          <w:color w:val="000000"/>
        </w:rPr>
        <w:t/>
      </w:r>
      <w:r w:rsidRPr="0097021E">
        <w:rPr>
          <w:rFonts w:cs="宋体"/>
          <w:b/>
          <w:color w:val="000000"/>
        </w:rPr>
        <w:t/>
      </w:r>
      <w:proofErr w:type="spellStart"/>
      <w:r w:rsidRPr="0097021E">
        <w:rPr>
          <w:b/>
          <w:color w:val="000000"/>
        </w:rPr>
        <w:t/>
      </w:r>
      <w:r w:rsidRPr="0097021E">
        <w:rPr>
          <w:b/>
        </w:rPr>
        <w:t/>
      </w:r>
      <w:proofErr w:type="spellEnd"/>
      <w:r w:rsidRPr="0097021E">
        <w:rPr>
          <w:b/>
        </w:rPr>
        <w:t/>
      </w:r>
      <w:r>
        <w:rPr>
          <w:b/>
        </w:rPr>
        <w:t>易方达天天增利货币A</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941F6C" w:rsidRPr="0097021E" w:rsidTr="00CA7D55">
        <w:tc>
          <w:tcPr>
            <w:tcW w:type="dxa" w:w="1328"/>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阶段</w:t>
            </w:r>
            <w:r w:rsidRPr="00A15461">
              <w:rPr>
                <w:rFonts w:ascii="Times New Roman" w:hAnsi="Times New Roman"/>
                <w:color w:val="000000"/>
                <w:szCs w:val="24"/>
              </w:rPr>
              <w:t/>
            </w:r>
            <w:proofErr w:type="spellStart"/>
            <w:r w:rsidRPr="00A15461">
              <w:rPr>
                <w:rFonts w:ascii="Times New Roman" w:hAnsi="Times New Roman"/>
                <w:color w:val="000000"/>
                <w:szCs w:val="24"/>
              </w:rPr>
              <w:t/>
            </w:r>
            <w:proofErr w:type="spellEnd"/>
            <w:r w:rsidRPr="00A15461">
              <w:rPr>
                <w:rFonts w:ascii="Times New Roman" w:hAnsi="Times New Roman"/>
                <w:color w:val="000000"/>
                <w:szCs w:val="24"/>
              </w:rPr>
              <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净值收益率</w:t>
            </w:r>
            <w:r w:rsidRPr="00A15461">
              <w:rPr>
                <w:rFonts w:cs="宋体" w:hint="eastAsia"/>
                <w:color w:val="000000"/>
                <w:szCs w:val="24"/>
              </w:rPr>
              <w:t>①</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净值收益率标准差</w:t>
            </w:r>
            <w:r w:rsidRPr="00A15461">
              <w:rPr>
                <w:rFonts w:cs="宋体" w:hint="eastAsia"/>
                <w:color w:val="000000"/>
                <w:szCs w:val="24"/>
              </w:rPr>
              <w:t>②</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业绩比较基准收益率</w:t>
            </w:r>
            <w:r w:rsidRPr="00A15461">
              <w:rPr>
                <w:rFonts w:cs="宋体" w:hint="eastAsia"/>
                <w:color w:val="000000"/>
                <w:szCs w:val="24"/>
              </w:rPr>
              <w:t>③</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业绩比较基准收益率标准差</w:t>
            </w:r>
            <w:r w:rsidRPr="00A15461">
              <w:rPr>
                <w:rFonts w:cs="宋体" w:hint="eastAsia"/>
                <w:color w:val="000000"/>
                <w:szCs w:val="24"/>
              </w:rPr>
              <w:t>④</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cs="宋体" w:hint="eastAsia"/>
                <w:color w:val="000000"/>
                <w:szCs w:val="24"/>
              </w:rPr>
              <w:t>①</w:t>
            </w:r>
            <w:r w:rsidRPr="00A15461">
              <w:rPr>
                <w:rFonts w:ascii="Times New Roman" w:hAnsi="Times New Roman"/>
                <w:color w:val="000000"/>
                <w:szCs w:val="24"/>
              </w:rPr>
              <w:t>-</w:t>
            </w:r>
            <w:r w:rsidRPr="00A15461">
              <w:rPr>
                <w:rFonts w:cs="宋体" w:hint="eastAsia"/>
                <w:color w:val="000000"/>
                <w:szCs w:val="24"/>
              </w:rPr>
              <w:t>③</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cs="宋体" w:hint="eastAsia"/>
                <w:color w:val="000000"/>
                <w:szCs w:val="24"/>
              </w:rPr>
              <w:t>②</w:t>
            </w:r>
            <w:r w:rsidRPr="00A15461">
              <w:rPr>
                <w:rFonts w:ascii="Times New Roman" w:hAnsi="Times New Roman"/>
                <w:color w:val="000000"/>
                <w:szCs w:val="24"/>
              </w:rPr>
              <w:t>-</w:t>
            </w:r>
            <w:r w:rsidRPr="00A15461">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0.4064%</w:t>
            </w:r>
          </w:p>
        </w:tc>
        <w:tc>
          <w:tcPr>
            <w:vAlign w:val="center"/>
          </w:tcPr>
          <w:p>
            <w:pPr>
              <w:jc w:val="center"/>
            </w:pPr>
            <w:r>
              <w:rPr>
                <w:color w:val="000000"/>
                <w:kern w:val="2"/>
                <w:sz w:val="24"/>
              </w:rPr>
              <w:t>0.0006%</w:t>
            </w:r>
          </w:p>
        </w:tc>
        <w:tc>
          <w:tcPr>
            <w:vAlign w:val="center"/>
          </w:tcPr>
          <w:p>
            <w:pPr>
              <w:jc w:val="center"/>
            </w:pPr>
            <w:r>
              <w:rPr>
                <w:color w:val="000000"/>
                <w:kern w:val="2"/>
                <w:sz w:val="24"/>
              </w:rPr>
              <w:t>0.3418%</w:t>
            </w:r>
          </w:p>
        </w:tc>
        <w:tc>
          <w:tcPr>
            <w:vAlign w:val="center"/>
          </w:tcPr>
          <w:p>
            <w:pPr>
              <w:jc w:val="center"/>
            </w:pPr>
            <w:r>
              <w:rPr>
                <w:color w:val="000000"/>
                <w:kern w:val="2"/>
                <w:sz w:val="24"/>
              </w:rPr>
              <w:t>0.0000%</w:t>
            </w:r>
          </w:p>
        </w:tc>
        <w:tc>
          <w:tcPr>
            <w:vAlign w:val="center"/>
          </w:tcPr>
          <w:p>
            <w:pPr>
              <w:jc w:val="center"/>
            </w:pPr>
            <w:r>
              <w:rPr>
                <w:color w:val="000000"/>
                <w:kern w:val="2"/>
                <w:sz w:val="24"/>
              </w:rPr>
              <w:t>0.0646%</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0.9733%</w:t>
            </w:r>
          </w:p>
        </w:tc>
        <w:tc>
          <w:tcPr>
            <w:vAlign w:val="center"/>
          </w:tcPr>
          <w:p>
            <w:pPr>
              <w:jc w:val="center"/>
            </w:pPr>
            <w:r>
              <w:rPr>
                <w:color w:val="000000"/>
                <w:kern w:val="2"/>
                <w:sz w:val="24"/>
              </w:rPr>
              <w:t>0.0012%</w:t>
            </w:r>
          </w:p>
        </w:tc>
        <w:tc>
          <w:tcPr>
            <w:vAlign w:val="center"/>
          </w:tcPr>
          <w:p>
            <w:pPr>
              <w:jc w:val="center"/>
            </w:pPr>
            <w:r>
              <w:rPr>
                <w:color w:val="000000"/>
                <w:kern w:val="2"/>
                <w:sz w:val="24"/>
              </w:rPr>
              <w:t>0.6848%</w:t>
            </w:r>
          </w:p>
        </w:tc>
        <w:tc>
          <w:tcPr>
            <w:vAlign w:val="center"/>
          </w:tcPr>
          <w:p>
            <w:pPr>
              <w:jc w:val="center"/>
            </w:pPr>
            <w:r>
              <w:rPr>
                <w:color w:val="000000"/>
                <w:kern w:val="2"/>
                <w:sz w:val="24"/>
              </w:rPr>
              <w:t>0.0000%</w:t>
            </w:r>
          </w:p>
        </w:tc>
        <w:tc>
          <w:tcPr>
            <w:vAlign w:val="center"/>
          </w:tcPr>
          <w:p>
            <w:pPr>
              <w:jc w:val="center"/>
            </w:pPr>
            <w:r>
              <w:rPr>
                <w:color w:val="000000"/>
                <w:kern w:val="2"/>
                <w:sz w:val="24"/>
              </w:rPr>
              <w:t>0.2885%</w:t>
            </w:r>
          </w:p>
        </w:tc>
        <w:tc>
          <w:tcPr>
            <w:vAlign w:val="center"/>
          </w:tcPr>
          <w:p>
            <w:pPr>
              <w:jc w:val="center"/>
            </w:pPr>
            <w:r>
              <w:rPr>
                <w:color w:val="000000"/>
                <w:kern w:val="2"/>
                <w:sz w:val="24"/>
              </w:rPr>
              <w:t>0.0012%</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2.1343%</w:t>
            </w:r>
          </w:p>
        </w:tc>
        <w:tc>
          <w:tcPr>
            <w:vAlign w:val="center"/>
          </w:tcPr>
          <w:p>
            <w:pPr>
              <w:jc w:val="center"/>
            </w:pPr>
            <w:r>
              <w:rPr>
                <w:color w:val="000000"/>
                <w:kern w:val="2"/>
                <w:sz w:val="24"/>
              </w:rPr>
              <w:t>0.0010%</w:t>
            </w:r>
          </w:p>
        </w:tc>
        <w:tc>
          <w:tcPr>
            <w:vAlign w:val="center"/>
          </w:tcPr>
          <w:p>
            <w:pPr>
              <w:jc w:val="center"/>
            </w:pPr>
            <w:r>
              <w:rPr>
                <w:color w:val="000000"/>
                <w:kern w:val="2"/>
                <w:sz w:val="24"/>
              </w:rPr>
              <w:t>1.3819%</w:t>
            </w:r>
          </w:p>
        </w:tc>
        <w:tc>
          <w:tcPr>
            <w:vAlign w:val="center"/>
          </w:tcPr>
          <w:p>
            <w:pPr>
              <w:jc w:val="center"/>
            </w:pPr>
            <w:r>
              <w:rPr>
                <w:color w:val="000000"/>
                <w:kern w:val="2"/>
                <w:sz w:val="24"/>
              </w:rPr>
              <w:t>0.0000%</w:t>
            </w:r>
          </w:p>
        </w:tc>
        <w:tc>
          <w:tcPr>
            <w:vAlign w:val="center"/>
          </w:tcPr>
          <w:p>
            <w:pPr>
              <w:jc w:val="center"/>
            </w:pPr>
            <w:r>
              <w:rPr>
                <w:color w:val="000000"/>
                <w:kern w:val="2"/>
                <w:sz w:val="24"/>
              </w:rPr>
              <w:t>0.7524%</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9.5186%</w:t>
            </w:r>
          </w:p>
        </w:tc>
        <w:tc>
          <w:tcPr>
            <w:vAlign w:val="center"/>
          </w:tcPr>
          <w:p>
            <w:pPr>
              <w:jc w:val="center"/>
            </w:pPr>
            <w:r>
              <w:rPr>
                <w:color w:val="000000"/>
                <w:kern w:val="2"/>
                <w:sz w:val="24"/>
              </w:rPr>
              <w:t>0.0027%</w:t>
            </w:r>
          </w:p>
        </w:tc>
        <w:tc>
          <w:tcPr>
            <w:vAlign w:val="center"/>
          </w:tcPr>
          <w:p>
            <w:pPr>
              <w:jc w:val="center"/>
            </w:pPr>
            <w:r>
              <w:rPr>
                <w:color w:val="000000"/>
                <w:kern w:val="2"/>
                <w:sz w:val="24"/>
              </w:rPr>
              <w:t>4.1955%</w:t>
            </w:r>
          </w:p>
        </w:tc>
        <w:tc>
          <w:tcPr>
            <w:vAlign w:val="center"/>
          </w:tcPr>
          <w:p>
            <w:pPr>
              <w:jc w:val="center"/>
            </w:pPr>
            <w:r>
              <w:rPr>
                <w:color w:val="000000"/>
                <w:kern w:val="2"/>
                <w:sz w:val="24"/>
              </w:rPr>
              <w:t>0.0000%</w:t>
            </w:r>
          </w:p>
        </w:tc>
        <w:tc>
          <w:tcPr>
            <w:vAlign w:val="center"/>
          </w:tcPr>
          <w:p>
            <w:pPr>
              <w:jc w:val="center"/>
            </w:pPr>
            <w:r>
              <w:rPr>
                <w:color w:val="000000"/>
                <w:kern w:val="2"/>
                <w:sz w:val="24"/>
              </w:rPr>
              <w:t>5.3231%</w:t>
            </w:r>
          </w:p>
        </w:tc>
        <w:tc>
          <w:tcPr>
            <w:vAlign w:val="center"/>
          </w:tcPr>
          <w:p>
            <w:pPr>
              <w:jc w:val="center"/>
            </w:pPr>
            <w:r>
              <w:rPr>
                <w:color w:val="000000"/>
                <w:kern w:val="2"/>
                <w:sz w:val="24"/>
              </w:rPr>
              <w:t>0.0027%</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16.5488%</w:t>
            </w:r>
          </w:p>
        </w:tc>
        <w:tc>
          <w:tcPr>
            <w:vAlign w:val="center"/>
          </w:tcPr>
          <w:p>
            <w:pPr>
              <w:jc w:val="center"/>
            </w:pPr>
            <w:r>
              <w:rPr>
                <w:color w:val="000000"/>
                <w:kern w:val="2"/>
                <w:sz w:val="24"/>
              </w:rPr>
              <w:t>0.0030%</w:t>
            </w:r>
          </w:p>
        </w:tc>
        <w:tc>
          <w:tcPr>
            <w:vAlign w:val="center"/>
          </w:tcPr>
          <w:p>
            <w:pPr>
              <w:jc w:val="center"/>
            </w:pPr>
            <w:r>
              <w:rPr>
                <w:color w:val="000000"/>
                <w:kern w:val="2"/>
                <w:sz w:val="24"/>
              </w:rPr>
              <w:t>7.0913%</w:t>
            </w:r>
          </w:p>
        </w:tc>
        <w:tc>
          <w:tcPr>
            <w:vAlign w:val="center"/>
          </w:tcPr>
          <w:p>
            <w:pPr>
              <w:jc w:val="center"/>
            </w:pPr>
            <w:r>
              <w:rPr>
                <w:color w:val="000000"/>
                <w:kern w:val="2"/>
                <w:sz w:val="24"/>
              </w:rPr>
              <w:t>0.0000%</w:t>
            </w:r>
          </w:p>
        </w:tc>
        <w:tc>
          <w:tcPr>
            <w:vAlign w:val="center"/>
          </w:tcPr>
          <w:p>
            <w:pPr>
              <w:jc w:val="center"/>
            </w:pPr>
            <w:r>
              <w:rPr>
                <w:color w:val="000000"/>
                <w:kern w:val="2"/>
                <w:sz w:val="24"/>
              </w:rPr>
              <w:t>9.4575%</w:t>
            </w:r>
          </w:p>
        </w:tc>
        <w:tc>
          <w:tcPr>
            <w:vAlign w:val="center"/>
          </w:tcPr>
          <w:p>
            <w:pPr>
              <w:jc w:val="center"/>
            </w:pPr>
            <w:r>
              <w:rPr>
                <w:color w:val="000000"/>
                <w:kern w:val="2"/>
                <w:sz w:val="24"/>
              </w:rPr>
              <w:t>0.0030%</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21.6247%</w:t>
            </w:r>
          </w:p>
        </w:tc>
        <w:tc>
          <w:tcPr>
            <w:vAlign w:val="center"/>
          </w:tcPr>
          <w:p>
            <w:pPr>
              <w:jc w:val="center"/>
            </w:pPr>
            <w:r>
              <w:rPr>
                <w:color w:val="000000"/>
                <w:kern w:val="2"/>
                <w:sz w:val="24"/>
              </w:rPr>
              <w:t>0.0034%</w:t>
            </w:r>
          </w:p>
        </w:tc>
        <w:tc>
          <w:tcPr>
            <w:vAlign w:val="center"/>
          </w:tcPr>
          <w:p>
            <w:pPr>
              <w:jc w:val="center"/>
            </w:pPr>
            <w:r>
              <w:rPr>
                <w:color w:val="000000"/>
                <w:kern w:val="2"/>
                <w:sz w:val="24"/>
              </w:rPr>
              <w:t>8.5916%</w:t>
            </w:r>
          </w:p>
        </w:tc>
        <w:tc>
          <w:tcPr>
            <w:vAlign w:val="center"/>
          </w:tcPr>
          <w:p>
            <w:pPr>
              <w:jc w:val="center"/>
            </w:pPr>
            <w:r>
              <w:rPr>
                <w:color w:val="000000"/>
                <w:kern w:val="2"/>
                <w:sz w:val="24"/>
              </w:rPr>
              <w:t>0.0000%</w:t>
            </w:r>
          </w:p>
        </w:tc>
        <w:tc>
          <w:tcPr>
            <w:vAlign w:val="center"/>
          </w:tcPr>
          <w:p>
            <w:pPr>
              <w:jc w:val="center"/>
            </w:pPr>
            <w:r>
              <w:rPr>
                <w:color w:val="000000"/>
                <w:kern w:val="2"/>
                <w:sz w:val="24"/>
              </w:rPr>
              <w:t>13.0331%</w:t>
            </w:r>
          </w:p>
        </w:tc>
        <w:tc>
          <w:tcPr>
            <w:vAlign w:val="center"/>
          </w:tcPr>
          <w:p>
            <w:pPr>
              <w:jc w:val="center"/>
            </w:pPr>
            <w:r>
              <w:rPr>
                <w:color w:val="000000"/>
                <w:kern w:val="2"/>
                <w:sz w:val="24"/>
              </w:rPr>
              <w:t>0.0034%</w:t>
            </w:r>
          </w:p>
        </w:tc>
      </w:tr>
    </w:tbl>
    <w:p w:rsidP="004C44F3" w:rsidR="00941F6C" w:rsidRDefault="00941F6C" w:rsidRPr="0097021E">
      <w:pPr>
        <w:pStyle w:val="20"/>
        <w:spacing w:line="360" w:lineRule="auto"/>
        <w:ind w:firstLine="402"/>
        <w:rPr>
          <w:b/>
        </w:rPr>
      </w:pPr>
      <w:r w:rsidRPr="0097021E">
        <w:rPr>
          <w:b/>
          <w:color w:val="000000"/>
        </w:rPr>
        <w:t/>
      </w:r>
      <w:r w:rsidRPr="0097021E">
        <w:rPr>
          <w:rFonts w:cs="宋体"/>
          <w:b/>
          <w:color w:val="000000"/>
        </w:rPr>
        <w:t/>
      </w:r>
      <w:proofErr w:type="spellStart"/>
      <w:r w:rsidRPr="0097021E">
        <w:rPr>
          <w:b/>
          <w:color w:val="000000"/>
        </w:rPr>
        <w:t/>
      </w:r>
      <w:proofErr w:type="spellEnd"/>
      <w:r w:rsidRPr="0097021E">
        <w:rPr>
          <w:b/>
          <w:color w:val="000000"/>
        </w:rPr>
        <w:t>易方达天天增利货币B</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941F6C" w:rsidRPr="0097021E" w:rsidTr="00CA7D55">
        <w:tc>
          <w:tcPr>
            <w:tcW w:type="dxa" w:w="1328"/>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阶段</w:t>
            </w:r>
            <w:r w:rsidRPr="00A15461">
              <w:rPr>
                <w:rFonts w:ascii="Times New Roman" w:hAnsi="Times New Roman"/>
                <w:color w:val="000000"/>
                <w:szCs w:val="24"/>
              </w:rPr>
              <w:lastRenderedPageBreak/>
              <w:t/>
            </w:r>
            <w:proofErr w:type="spellStart"/>
            <w:r w:rsidRPr="00A15461">
              <w:rPr>
                <w:rFonts w:ascii="Times New Roman" w:hAnsi="Times New Roman"/>
                <w:color w:val="000000"/>
                <w:szCs w:val="24"/>
              </w:rPr>
              <w:t/>
            </w:r>
            <w:proofErr w:type="spellEnd"/>
            <w:r w:rsidRPr="00A15461">
              <w:rPr>
                <w:rFonts w:ascii="Times New Roman" w:hAnsi="Times New Roman"/>
                <w:color w:val="000000"/>
                <w:szCs w:val="24"/>
              </w:rPr>
              <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lastRenderedPageBreak/>
              <w:t>净值收益</w:t>
            </w:r>
            <w:r w:rsidRPr="00A15461">
              <w:rPr>
                <w:rFonts w:ascii="Times New Roman" w:hAnsi="Times New Roman"/>
                <w:color w:val="000000"/>
                <w:szCs w:val="24"/>
              </w:rPr>
              <w:lastRenderedPageBreak/>
              <w:t>率</w:t>
            </w:r>
            <w:r w:rsidRPr="00A15461">
              <w:rPr>
                <w:rFonts w:cs="宋体" w:hint="eastAsia"/>
                <w:color w:val="000000"/>
                <w:szCs w:val="24"/>
              </w:rPr>
              <w:t>①</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lastRenderedPageBreak/>
              <w:t>净值收益</w:t>
            </w:r>
            <w:r w:rsidRPr="00A15461">
              <w:rPr>
                <w:rFonts w:ascii="Times New Roman" w:hAnsi="Times New Roman"/>
                <w:color w:val="000000"/>
                <w:szCs w:val="24"/>
              </w:rPr>
              <w:lastRenderedPageBreak/>
              <w:t>率标准差</w:t>
            </w:r>
            <w:r w:rsidRPr="00A15461">
              <w:rPr>
                <w:rFonts w:cs="宋体" w:hint="eastAsia"/>
                <w:color w:val="000000"/>
                <w:szCs w:val="24"/>
              </w:rPr>
              <w:t>②</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lastRenderedPageBreak/>
              <w:t>业绩比较</w:t>
            </w:r>
            <w:r w:rsidRPr="00A15461">
              <w:rPr>
                <w:rFonts w:ascii="Times New Roman" w:hAnsi="Times New Roman"/>
                <w:color w:val="000000"/>
                <w:szCs w:val="24"/>
              </w:rPr>
              <w:lastRenderedPageBreak/>
              <w:t>基准收益率</w:t>
            </w:r>
            <w:r w:rsidRPr="00A15461">
              <w:rPr>
                <w:rFonts w:cs="宋体" w:hint="eastAsia"/>
                <w:color w:val="000000"/>
                <w:szCs w:val="24"/>
              </w:rPr>
              <w:t>③</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lastRenderedPageBreak/>
              <w:t>业绩比较</w:t>
            </w:r>
            <w:r w:rsidRPr="00A15461">
              <w:rPr>
                <w:rFonts w:ascii="Times New Roman" w:hAnsi="Times New Roman"/>
                <w:color w:val="000000"/>
                <w:szCs w:val="24"/>
              </w:rPr>
              <w:lastRenderedPageBreak/>
              <w:t>基准收益率标准差</w:t>
            </w:r>
            <w:r w:rsidRPr="00A15461">
              <w:rPr>
                <w:rFonts w:cs="宋体" w:hint="eastAsia"/>
                <w:color w:val="000000"/>
                <w:szCs w:val="24"/>
              </w:rPr>
              <w:t>④</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cs="宋体" w:hint="eastAsia"/>
                <w:color w:val="000000"/>
                <w:szCs w:val="24"/>
              </w:rPr>
              <w:lastRenderedPageBreak/>
              <w:t>①</w:t>
            </w:r>
            <w:r w:rsidRPr="00A15461">
              <w:rPr>
                <w:rFonts w:ascii="Times New Roman" w:hAnsi="Times New Roman"/>
                <w:color w:val="000000"/>
                <w:szCs w:val="24"/>
              </w:rPr>
              <w:t>-</w:t>
            </w:r>
            <w:r w:rsidRPr="00A15461">
              <w:rPr>
                <w:rFonts w:cs="宋体" w:hint="eastAsia"/>
                <w:color w:val="000000"/>
                <w:szCs w:val="24"/>
              </w:rPr>
              <w:t>③</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cs="宋体" w:hint="eastAsia"/>
                <w:color w:val="000000"/>
                <w:szCs w:val="24"/>
              </w:rPr>
              <w:t>②</w:t>
            </w:r>
            <w:r w:rsidRPr="00A15461">
              <w:rPr>
                <w:rFonts w:ascii="Times New Roman" w:hAnsi="Times New Roman"/>
                <w:color w:val="000000"/>
                <w:szCs w:val="24"/>
              </w:rPr>
              <w:t>-</w:t>
            </w:r>
            <w:r w:rsidRPr="00A15461">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0.4662%</w:t>
            </w:r>
          </w:p>
        </w:tc>
        <w:tc>
          <w:tcPr>
            <w:vAlign w:val="center"/>
          </w:tcPr>
          <w:p>
            <w:pPr>
              <w:jc w:val="center"/>
            </w:pPr>
            <w:r>
              <w:rPr>
                <w:color w:val="000000"/>
                <w:kern w:val="2"/>
                <w:sz w:val="24"/>
              </w:rPr>
              <w:t>0.0006%</w:t>
            </w:r>
          </w:p>
        </w:tc>
        <w:tc>
          <w:tcPr>
            <w:vAlign w:val="center"/>
          </w:tcPr>
          <w:p>
            <w:pPr>
              <w:jc w:val="center"/>
            </w:pPr>
            <w:r>
              <w:rPr>
                <w:color w:val="000000"/>
                <w:kern w:val="2"/>
                <w:sz w:val="24"/>
              </w:rPr>
              <w:t>0.3418%</w:t>
            </w:r>
          </w:p>
        </w:tc>
        <w:tc>
          <w:tcPr>
            <w:vAlign w:val="center"/>
          </w:tcPr>
          <w:p>
            <w:pPr>
              <w:jc w:val="center"/>
            </w:pPr>
            <w:r>
              <w:rPr>
                <w:color w:val="000000"/>
                <w:kern w:val="2"/>
                <w:sz w:val="24"/>
              </w:rPr>
              <w:t>0.0000%</w:t>
            </w:r>
          </w:p>
        </w:tc>
        <w:tc>
          <w:tcPr>
            <w:vAlign w:val="center"/>
          </w:tcPr>
          <w:p>
            <w:pPr>
              <w:jc w:val="center"/>
            </w:pPr>
            <w:r>
              <w:rPr>
                <w:color w:val="000000"/>
                <w:kern w:val="2"/>
                <w:sz w:val="24"/>
              </w:rPr>
              <w:t>0.1244%</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1.0934%</w:t>
            </w:r>
          </w:p>
        </w:tc>
        <w:tc>
          <w:tcPr>
            <w:vAlign w:val="center"/>
          </w:tcPr>
          <w:p>
            <w:pPr>
              <w:jc w:val="center"/>
            </w:pPr>
            <w:r>
              <w:rPr>
                <w:color w:val="000000"/>
                <w:kern w:val="2"/>
                <w:sz w:val="24"/>
              </w:rPr>
              <w:t>0.0012%</w:t>
            </w:r>
          </w:p>
        </w:tc>
        <w:tc>
          <w:tcPr>
            <w:vAlign w:val="center"/>
          </w:tcPr>
          <w:p>
            <w:pPr>
              <w:jc w:val="center"/>
            </w:pPr>
            <w:r>
              <w:rPr>
                <w:color w:val="000000"/>
                <w:kern w:val="2"/>
                <w:sz w:val="24"/>
              </w:rPr>
              <w:t>0.6848%</w:t>
            </w:r>
          </w:p>
        </w:tc>
        <w:tc>
          <w:tcPr>
            <w:vAlign w:val="center"/>
          </w:tcPr>
          <w:p>
            <w:pPr>
              <w:jc w:val="center"/>
            </w:pPr>
            <w:r>
              <w:rPr>
                <w:color w:val="000000"/>
                <w:kern w:val="2"/>
                <w:sz w:val="24"/>
              </w:rPr>
              <w:t>0.0000%</w:t>
            </w:r>
          </w:p>
        </w:tc>
        <w:tc>
          <w:tcPr>
            <w:vAlign w:val="center"/>
          </w:tcPr>
          <w:p>
            <w:pPr>
              <w:jc w:val="center"/>
            </w:pPr>
            <w:r>
              <w:rPr>
                <w:color w:val="000000"/>
                <w:kern w:val="2"/>
                <w:sz w:val="24"/>
              </w:rPr>
              <w:t>0.4086%</w:t>
            </w:r>
          </w:p>
        </w:tc>
        <w:tc>
          <w:tcPr>
            <w:vAlign w:val="center"/>
          </w:tcPr>
          <w:p>
            <w:pPr>
              <w:jc w:val="center"/>
            </w:pPr>
            <w:r>
              <w:rPr>
                <w:color w:val="000000"/>
                <w:kern w:val="2"/>
                <w:sz w:val="24"/>
              </w:rPr>
              <w:t>0.0012%</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2.3790%</w:t>
            </w:r>
          </w:p>
        </w:tc>
        <w:tc>
          <w:tcPr>
            <w:vAlign w:val="center"/>
          </w:tcPr>
          <w:p>
            <w:pPr>
              <w:jc w:val="center"/>
            </w:pPr>
            <w:r>
              <w:rPr>
                <w:color w:val="000000"/>
                <w:kern w:val="2"/>
                <w:sz w:val="24"/>
              </w:rPr>
              <w:t>0.0010%</w:t>
            </w:r>
          </w:p>
        </w:tc>
        <w:tc>
          <w:tcPr>
            <w:vAlign w:val="center"/>
          </w:tcPr>
          <w:p>
            <w:pPr>
              <w:jc w:val="center"/>
            </w:pPr>
            <w:r>
              <w:rPr>
                <w:color w:val="000000"/>
                <w:kern w:val="2"/>
                <w:sz w:val="24"/>
              </w:rPr>
              <w:t>1.3819%</w:t>
            </w:r>
          </w:p>
        </w:tc>
        <w:tc>
          <w:tcPr>
            <w:vAlign w:val="center"/>
          </w:tcPr>
          <w:p>
            <w:pPr>
              <w:jc w:val="center"/>
            </w:pPr>
            <w:r>
              <w:rPr>
                <w:color w:val="000000"/>
                <w:kern w:val="2"/>
                <w:sz w:val="24"/>
              </w:rPr>
              <w:t>0.0000%</w:t>
            </w:r>
          </w:p>
        </w:tc>
        <w:tc>
          <w:tcPr>
            <w:vAlign w:val="center"/>
          </w:tcPr>
          <w:p>
            <w:pPr>
              <w:jc w:val="center"/>
            </w:pPr>
            <w:r>
              <w:rPr>
                <w:color w:val="000000"/>
                <w:kern w:val="2"/>
                <w:sz w:val="24"/>
              </w:rPr>
              <w:t>0.9971%</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10.3090%</w:t>
            </w:r>
          </w:p>
        </w:tc>
        <w:tc>
          <w:tcPr>
            <w:vAlign w:val="center"/>
          </w:tcPr>
          <w:p>
            <w:pPr>
              <w:jc w:val="center"/>
            </w:pPr>
            <w:r>
              <w:rPr>
                <w:color w:val="000000"/>
                <w:kern w:val="2"/>
                <w:sz w:val="24"/>
              </w:rPr>
              <w:t>0.0027%</w:t>
            </w:r>
          </w:p>
        </w:tc>
        <w:tc>
          <w:tcPr>
            <w:vAlign w:val="center"/>
          </w:tcPr>
          <w:p>
            <w:pPr>
              <w:jc w:val="center"/>
            </w:pPr>
            <w:r>
              <w:rPr>
                <w:color w:val="000000"/>
                <w:kern w:val="2"/>
                <w:sz w:val="24"/>
              </w:rPr>
              <w:t>4.1955%</w:t>
            </w:r>
          </w:p>
        </w:tc>
        <w:tc>
          <w:tcPr>
            <w:vAlign w:val="center"/>
          </w:tcPr>
          <w:p>
            <w:pPr>
              <w:jc w:val="center"/>
            </w:pPr>
            <w:r>
              <w:rPr>
                <w:color w:val="000000"/>
                <w:kern w:val="2"/>
                <w:sz w:val="24"/>
              </w:rPr>
              <w:t>0.0000%</w:t>
            </w:r>
          </w:p>
        </w:tc>
        <w:tc>
          <w:tcPr>
            <w:vAlign w:val="center"/>
          </w:tcPr>
          <w:p>
            <w:pPr>
              <w:jc w:val="center"/>
            </w:pPr>
            <w:r>
              <w:rPr>
                <w:color w:val="000000"/>
                <w:kern w:val="2"/>
                <w:sz w:val="24"/>
              </w:rPr>
              <w:t>6.1135%</w:t>
            </w:r>
          </w:p>
        </w:tc>
        <w:tc>
          <w:tcPr>
            <w:vAlign w:val="center"/>
          </w:tcPr>
          <w:p>
            <w:pPr>
              <w:jc w:val="center"/>
            </w:pPr>
            <w:r>
              <w:rPr>
                <w:color w:val="000000"/>
                <w:kern w:val="2"/>
                <w:sz w:val="24"/>
              </w:rPr>
              <w:t>0.0027%</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17.9539%</w:t>
            </w:r>
          </w:p>
        </w:tc>
        <w:tc>
          <w:tcPr>
            <w:vAlign w:val="center"/>
          </w:tcPr>
          <w:p>
            <w:pPr>
              <w:jc w:val="center"/>
            </w:pPr>
            <w:r>
              <w:rPr>
                <w:color w:val="000000"/>
                <w:kern w:val="2"/>
                <w:sz w:val="24"/>
              </w:rPr>
              <w:t>0.0030%</w:t>
            </w:r>
          </w:p>
        </w:tc>
        <w:tc>
          <w:tcPr>
            <w:vAlign w:val="center"/>
          </w:tcPr>
          <w:p>
            <w:pPr>
              <w:jc w:val="center"/>
            </w:pPr>
            <w:r>
              <w:rPr>
                <w:color w:val="000000"/>
                <w:kern w:val="2"/>
                <w:sz w:val="24"/>
              </w:rPr>
              <w:t>7.0913%</w:t>
            </w:r>
          </w:p>
        </w:tc>
        <w:tc>
          <w:tcPr>
            <w:vAlign w:val="center"/>
          </w:tcPr>
          <w:p>
            <w:pPr>
              <w:jc w:val="center"/>
            </w:pPr>
            <w:r>
              <w:rPr>
                <w:color w:val="000000"/>
                <w:kern w:val="2"/>
                <w:sz w:val="24"/>
              </w:rPr>
              <w:t>0.0000%</w:t>
            </w:r>
          </w:p>
        </w:tc>
        <w:tc>
          <w:tcPr>
            <w:vAlign w:val="center"/>
          </w:tcPr>
          <w:p>
            <w:pPr>
              <w:jc w:val="center"/>
            </w:pPr>
            <w:r>
              <w:rPr>
                <w:color w:val="000000"/>
                <w:kern w:val="2"/>
                <w:sz w:val="24"/>
              </w:rPr>
              <w:t>10.8626%</w:t>
            </w:r>
          </w:p>
        </w:tc>
        <w:tc>
          <w:tcPr>
            <w:vAlign w:val="center"/>
          </w:tcPr>
          <w:p>
            <w:pPr>
              <w:jc w:val="center"/>
            </w:pPr>
            <w:r>
              <w:rPr>
                <w:color w:val="000000"/>
                <w:kern w:val="2"/>
                <w:sz w:val="24"/>
              </w:rPr>
              <w:t>0.0030%</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23.3881%</w:t>
            </w:r>
          </w:p>
        </w:tc>
        <w:tc>
          <w:tcPr>
            <w:vAlign w:val="center"/>
          </w:tcPr>
          <w:p>
            <w:pPr>
              <w:jc w:val="center"/>
            </w:pPr>
            <w:r>
              <w:rPr>
                <w:color w:val="000000"/>
                <w:kern w:val="2"/>
                <w:sz w:val="24"/>
              </w:rPr>
              <w:t>0.0034%</w:t>
            </w:r>
          </w:p>
        </w:tc>
        <w:tc>
          <w:tcPr>
            <w:vAlign w:val="center"/>
          </w:tcPr>
          <w:p>
            <w:pPr>
              <w:jc w:val="center"/>
            </w:pPr>
            <w:r>
              <w:rPr>
                <w:color w:val="000000"/>
                <w:kern w:val="2"/>
                <w:sz w:val="24"/>
              </w:rPr>
              <w:t>8.5916%</w:t>
            </w:r>
          </w:p>
        </w:tc>
        <w:tc>
          <w:tcPr>
            <w:vAlign w:val="center"/>
          </w:tcPr>
          <w:p>
            <w:pPr>
              <w:jc w:val="center"/>
            </w:pPr>
            <w:r>
              <w:rPr>
                <w:color w:val="000000"/>
                <w:kern w:val="2"/>
                <w:sz w:val="24"/>
              </w:rPr>
              <w:t>0.0000%</w:t>
            </w:r>
          </w:p>
        </w:tc>
        <w:tc>
          <w:tcPr>
            <w:vAlign w:val="center"/>
          </w:tcPr>
          <w:p>
            <w:pPr>
              <w:jc w:val="center"/>
            </w:pPr>
            <w:r>
              <w:rPr>
                <w:color w:val="000000"/>
                <w:kern w:val="2"/>
                <w:sz w:val="24"/>
              </w:rPr>
              <w:t>14.7965%</w:t>
            </w:r>
          </w:p>
        </w:tc>
        <w:tc>
          <w:tcPr>
            <w:vAlign w:val="center"/>
          </w:tcPr>
          <w:p>
            <w:pPr>
              <w:jc w:val="center"/>
            </w:pPr>
            <w:r>
              <w:rPr>
                <w:color w:val="000000"/>
                <w:kern w:val="2"/>
                <w:sz w:val="24"/>
              </w:rPr>
              <w:t>0.0034%</w:t>
            </w:r>
          </w:p>
        </w:tc>
      </w:tr>
    </w:tbl>
    <w:p w:rsidP="009A755D" w:rsidR="00941F6C" w:rsidRDefault="00941F6C" w:rsidRPr="0097021E">
      <w:pPr>
        <w:spacing w:line="360" w:lineRule="auto"/>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cs="Arial" w:hAnsi="宋体"/>
            <w:b/>
            <w:color w:val="000000"/>
            <w:kern w:val="0"/>
            <w:sz w:val="24"/>
          </w:rPr>
          <w:t>3.2.2</w:t>
        </w:r>
        <w:r w:rsidR="000C572D" w:rsidRPr="00370BEA">
          <w:rPr>
            <w:rStyle w:val="af"/>
            <w:rFonts w:hint="eastAsia"/>
            <w:color w:val="000000"/>
            <w:sz w:val="24"/>
            <w:shd w:color="auto" w:fill="FFFFFF" w:val="clear"/>
          </w:rPr>
          <w:t/>
        </w:r>
        <w:proofErr w:type="spellStart"/>
        <w:r w:rsidR="000C572D" w:rsidRPr="00370BEA">
          <w:rPr>
            <w:rStyle w:val="af"/>
            <w:rFonts w:hint="eastAsia"/>
            <w:color w:val="000000"/>
            <w:sz w:val="24"/>
            <w:shd w:color="auto" w:fill="FFFFFF" w:val="clear"/>
          </w:rPr>
          <w:t/>
        </w:r>
        <w:proofErr w:type="spellEnd"/>
        <w:r w:rsidR="000C572D" w:rsidRPr="00370BEA">
          <w:rPr>
            <w:rStyle w:val="af"/>
            <w:rFonts w:hint="eastAsia"/>
            <w:color w:val="000000"/>
            <w:sz w:val="24"/>
            <w:shd w:color="auto" w:fill="FFFFFF" w:val="clear"/>
          </w:rPr>
          <w:t>自基金合同生效以来</w:t>
        </w:r>
      </w:smartTag>
      <w:r w:rsidRPr="0097021E">
        <w:rPr>
          <w:rFonts w:ascii="宋体" w:cs="Arial" w:hAnsi="宋体" w:hint="eastAsia"/>
          <w:b/>
          <w:color w:val="000000"/>
          <w:kern w:val="0"/>
          <w:sz w:val="24"/>
        </w:rPr>
        <w:t>基金累计净值收益率变动及其与同期业绩比较基准收益率变动的比较</w:t>
      </w:r>
    </w:p>
    <w:p w:rsidP="009A755D" w:rsidR="00941F6C" w:rsidRDefault="00941F6C" w:rsidRPr="00A15461">
      <w:pPr>
        <w:spacing w:line="360" w:lineRule="auto"/>
        <w:jc w:val="center"/>
        <w:rPr>
          <w:sz w:val="24"/>
        </w:rPr>
      </w:pPr>
      <w:r w:rsidRPr="00A15461">
        <w:rPr>
          <w:sz w:val="24"/>
        </w:rPr>
        <w:t/>
      </w:r>
      <w:proofErr w:type="spellStart"/>
      <w:r w:rsidRPr="00A15461">
        <w:rPr>
          <w:sz w:val="24"/>
        </w:rPr>
        <w:t/>
      </w:r>
      <w:proofErr w:type="spellEnd"/>
      <w:r w:rsidRPr="00A15461">
        <w:rPr>
          <w:sz w:val="24"/>
        </w:rPr>
        <w:t>易方达天天增利货币市场基金</w:t>
      </w:r>
    </w:p>
    <w:p w:rsidP="007C6CF9" w:rsidR="007C6CF9" w:rsidRDefault="00941F6C">
      <w:pPr>
        <w:pStyle w:val="a6"/>
        <w:snapToGrid w:val="0"/>
        <w:spacing w:line="360" w:lineRule="auto"/>
        <w:jc w:val="center"/>
        <w:rPr>
          <w:rFonts w:ascii="Times New Roman" w:eastAsiaTheme="minorEastAsia" w:hAnsi="Times New Roman"/>
          <w:color w:themeColor="text1" w:val="000000"/>
          <w:sz w:val="24"/>
          <w:szCs w:val="24"/>
        </w:rPr>
      </w:pPr>
      <w:r w:rsidRPr="00A15461">
        <w:rPr>
          <w:rFonts w:ascii="Times New Roman" w:hAnsi="Times New Roman"/>
          <w:sz w:val="24"/>
          <w:szCs w:val="24"/>
        </w:rPr>
        <w:t>累计净值收益率与业绩比较基准收益率的历史走势对比图</w:t>
      </w:r>
    </w:p>
    <w:p w:rsidP="007C6CF9" w:rsidR="007C6CF9" w:rsidRDefault="007C6CF9">
      <w:pPr>
        <w:pStyle w:val="a6"/>
        <w:snapToGrid w:val="0"/>
        <w:spacing w:line="360" w:lineRule="auto"/>
        <w:jc w:val="center"/>
        <w:rPr>
          <w:rFonts w:ascii="Times New Roman" w:hAnsi="Times New Roman"/>
          <w:sz w:val="24"/>
          <w:szCs w:val="24"/>
        </w:rPr>
      </w:pPr>
      <w:r>
        <w:rPr>
          <w:rFonts w:ascii="Times New Roman" w:hAnsi="Times New Roman"/>
          <w:sz w:val="24"/>
          <w:szCs w:val="24"/>
        </w:rPr>
        <w:t/>
      </w:r>
      <w:proofErr w:type="spellStart"/>
      <w:r>
        <w:rPr>
          <w:rFonts w:ascii="Times New Roman" w:hAnsi="Times New Roman"/>
          <w:sz w:val="24"/>
          <w:szCs w:val="24"/>
        </w:rPr>
        <w:t/>
      </w:r>
      <w:proofErr w:type="spellEnd"/>
      <w:r>
        <w:rPr>
          <w:rFonts w:ascii="Times New Roman" w:hAnsi="Times New Roman"/>
          <w:sz w:val="24"/>
          <w:szCs w:val="24"/>
        </w:rPr>
        <w:t>（2014年6月25日至2020年6月30日）</w:t>
      </w:r>
    </w:p>
    <w:p w:rsidP="007C6CF9" w:rsidR="007C6CF9" w:rsidRDefault="00941F6C">
      <w:pPr>
        <w:snapToGrid w:val="0"/>
        <w:spacing w:line="360" w:lineRule="auto"/>
        <w:rPr>
          <w:rFonts w:eastAsiaTheme="minorEastAsia" w:hAnsiTheme="minorEastAsia"/>
          <w:color w:themeColor="text1"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易方达天天增利货币A</w:t>
      </w:r>
    </w:p>
    <w:p w:rsidP="00196812" w:rsidR="00941F6C" w:rsidRDefault="00BC3C5E" w:rsidRPr="0097021E">
      <w:pPr>
        <w:tabs>
          <w:tab w:pos="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52.25pt;height:267pt;visibility:visible" type="#_x0000_t75">
            <v:imagedata o:title="" r:id="rId10"/>
          </v:shape>
        </w:pict>
      </w:r>
    </w:p>
    <w:p w:rsidP="007C6CF9" w:rsidR="007C6CF9" w:rsidRDefault="00941F6C">
      <w:pPr>
        <w:snapToGrid w:val="0"/>
        <w:spacing w:before="312" w:beforeLines="100" w:line="360" w:lineRule="auto"/>
        <w:rPr>
          <w:rFonts w:eastAsiaTheme="minorEastAsia" w:hAnsiTheme="minorEastAsia"/>
          <w:color w:themeColor="text1"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易方达天天增利货币B</w:t>
      </w:r>
    </w:p>
    <w:p w:rsidP="00196812" w:rsidR="00941F6C" w:rsidRDefault="00BC3C5E" w:rsidRPr="0097021E">
      <w:pPr>
        <w:snapToGrid w:val="0"/>
        <w:spacing w:line="360" w:lineRule="auto"/>
        <w:jc w:val="center"/>
        <w:rPr>
          <w:rFonts w:ascii="宋体"/>
          <w:color w:val="000000"/>
          <w:sz w:val="24"/>
        </w:rPr>
      </w:pPr>
      <w:r>
        <w:rPr>
          <w:rFonts w:ascii="宋体"/>
          <w:noProof/>
          <w:color w:val="000000"/>
          <w:sz w:val="24"/>
        </w:rPr>
        <w:pict>
          <v:shape id="图片 2" o:spid="_x0000_i1026" style="width:452.25pt;height:267pt;visibility:visible" type="#_x0000_t75">
            <v:imagedata o:title="" r:id="rId11"/>
          </v:shape>
        </w:pic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lastRenderedPageBreak/>
        <w:t/>
      </w:r>
      <w:proofErr w:type="spellStart"/>
      <w:r w:rsidRPr="00A15461">
        <w:rPr>
          <w:color w:val="000000"/>
          <w:sz w:val="24"/>
        </w:rPr>
        <w:t/>
      </w:r>
      <w:proofErr w:type="spellEnd"/>
      <w:r w:rsidRPr="00A15461">
        <w:rPr>
          <w:color w:val="000000"/>
          <w:sz w:val="24"/>
        </w:rPr>
        <w:t/>
      </w:r>
      <w:proofErr w:type="spellStart"/>
      <w:r w:rsidRPr="00A15461">
        <w:rPr>
          <w:color w:val="000000"/>
          <w:sz w:val="24"/>
        </w:rPr>
        <w:t/>
      </w:r>
      <w:proofErr w:type="spellEnd"/>
      <w:r w:rsidRPr="00A15461">
        <w:rPr>
          <w:color w:val="000000"/>
          <w:sz w:val="24"/>
        </w:rPr>
        <w:t>注：自基金合同生效至报告期末，A类基金份额净值收益率为21.6247%，B类基金份额净值收益率为23.3881%，同期业绩比较基准收益率为8.5916%。</w:t>
      </w:r>
    </w:p>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4  </w:t>
      </w:r>
      <w:r w:rsidRPr="0097021E">
        <w:rPr>
          <w:rFonts w:ascii="宋体" w:cs="Arial" w:hAnsi="宋体" w:hint="eastAsia"/>
          <w:color w:val="000000"/>
          <w:kern w:val="0"/>
          <w:sz w:val="24"/>
          <w:szCs w:val="24"/>
        </w:rPr>
        <w:t>管理人报告</w:t>
      </w:r>
    </w:p>
    <w:p w:rsidP="00CE0B87" w:rsidR="00CE0B87" w:rsidRDefault="00941F6C" w:rsidRPr="0078105B">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4.1 </w:t>
      </w:r>
      <w:r w:rsidR="00DC22A1">
        <w:rPr>
          <w:rFonts w:ascii="宋体" w:cs="Arial" w:hAnsi="宋体" w:hint="eastAsia"/>
          <w:b/>
          <w:color w:val="000000"/>
          <w:kern w:val="0"/>
          <w:sz w:val="24"/>
        </w:rPr>
        <w:t>基金经理（</w:t>
      </w:r>
      <w:r w:rsidR="00DC22A1" w:rsidRPr="0097021E">
        <w:rPr>
          <w:rFonts w:ascii="宋体" w:cs="Arial" w:hAnsi="宋体" w:hint="eastAsia"/>
          <w:b/>
          <w:color w:val="000000"/>
          <w:kern w:val="0"/>
          <w:sz w:val="24"/>
        </w:rPr>
        <w:t>或基金经理小组</w:t>
      </w:r>
      <w:r w:rsidR="00DC22A1">
        <w:rPr>
          <w:rFonts w:ascii="宋体" w:cs="Arial" w:hAnsi="宋体" w:hint="eastAsia"/>
          <w:b/>
          <w:color w:val="000000"/>
          <w:kern w:val="0"/>
          <w:sz w:val="24"/>
        </w:rPr>
        <w:t>）</w:t>
      </w:r>
      <w:r w:rsidRPr="0097021E">
        <w:rPr>
          <w:rFonts w:ascii="宋体" w:cs="Arial" w:hAnsi="宋体" w:hint="eastAsia"/>
          <w:b/>
          <w:color w:val="000000"/>
          <w:kern w:val="0"/>
          <w:sz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CE0B87" w:rsidRPr="0078105B" w:rsidTr="00B7074C">
        <w:trPr>
          <w:cantSplit/>
        </w:trPr>
        <w:tc>
          <w:tcPr>
            <w:tcW w:type="dxa" w:w="567"/>
            <w:vMerge w:val="restart"/>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CE0B87" w:rsidRPr="0078105B" w:rsidTr="00B7074C">
        <w:trPr>
          <w:cantSplit/>
        </w:trPr>
        <w:tc>
          <w:tcPr>
            <w:tcW w:type="dxa" w:w="567"/>
            <w:vMerge/>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p>
        </w:tc>
        <w:tc>
          <w:tcPr>
            <w:tcW w:type="dxa" w:w="2835"/>
            <w:vMerge/>
          </w:tcPr>
          <w:p w:rsidP="00B7074C" w:rsidR="00CE0B87" w:rsidRDefault="00CE0B87"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石大怿</w:t>
            </w:r>
          </w:p>
        </w:tc>
        <w:tc>
          <w:tcPr>
            <w:vAlign w:val="center"/>
          </w:tcPr>
          <w:p>
            <w:pPr>
              <w:jc w:val="left"/>
            </w:pPr>
            <w:r>
              <w:rPr>
                <w:color w:val="000000"/>
                <w:sz w:val="24"/>
              </w:rPr>
              <w:t>本基金的基金经理、易方达月月利理财债券型证券投资基金的基金经理、易方达天天理财货币市场基金的基金经理、易方达保证金收益货币市场基金的基金经理、易方达货币市场基金的基金经理、易方达易理财货币市场基金的基金经理、易方达财富快线货币市场基金的基金经理、易方达龙宝货币市场基金的基金经理、易方达现金增利货币市场基金的基金经理、易方达天天发货币市场基金的基金经理、易方达掌柜季季盈理财债券型证券投资基金的基金经理、易方达安瑞短债债券型证券投资基金的基金经理、易方达恒安定期开放债券型发起式证券投资基金的基金经理助理</w:t>
            </w:r>
          </w:p>
        </w:tc>
        <w:tc>
          <w:tcPr>
            <w:vAlign w:val="center"/>
          </w:tcPr>
          <w:p>
            <w:pPr>
              <w:jc w:val="center"/>
            </w:pPr>
            <w:r>
              <w:rPr>
                <w:color w:val="000000"/>
                <w:sz w:val="24"/>
              </w:rPr>
              <w:t>2014-06-25</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r>
        <w:tc>
          <w:tcPr>
            <w:vAlign w:val="center"/>
          </w:tcPr>
          <w:p>
            <w:pPr>
              <w:jc w:val="center"/>
            </w:pPr>
            <w:r>
              <w:rPr>
                <w:color w:val="000000"/>
                <w:sz w:val="24"/>
              </w:rPr>
              <w:t>梁莹</w:t>
            </w:r>
          </w:p>
        </w:tc>
        <w:tc>
          <w:tcPr>
            <w:vAlign w:val="center"/>
          </w:tcPr>
          <w:p>
            <w:pPr>
              <w:jc w:val="left"/>
            </w:pPr>
            <w:r>
              <w:rPr>
                <w:color w:val="000000"/>
                <w:sz w:val="24"/>
              </w:rPr>
              <w:t>本基金的基金经理、易方达月月利理财债券型证券投资基金的基金经理、易方达增金宝货币市场基金的基金经理、易方达龙宝货币市场基金的基金经理、易方达财富快线货币市场基金的基金经理、易方达现金增利货币市场基金的基金经理、易方达掌柜季季盈理财债券型证券投资基金的基金经理、易方达保证金收益货币市场基金的基金经理、易方达安悦超短债债券型证券投资基金的基金经理、易方达货币市场基金的基金经理助理、易方达天天理财货币市场基金的基金经理助理、易方达易理财货币市场基金的基金经理助理、易方达天天发货币市场基金的基金经理助理、投资经理</w:t>
            </w:r>
          </w:p>
        </w:tc>
        <w:tc>
          <w:tcPr>
            <w:vAlign w:val="center"/>
          </w:tcPr>
          <w:p>
            <w:pPr>
              <w:jc w:val="center"/>
            </w:pPr>
            <w:r>
              <w:rPr>
                <w:color w:val="000000"/>
                <w:sz w:val="24"/>
              </w:rPr>
              <w:t>2015-03-17</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招商证券股份有限公司债券销售交易部交易员，易方达基金管理有限公司固定收益交易员、易方达保证金收益货币市场基金基金经理助理、易方达双月利理财债券型证券投资基金基金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CE0B87" w:rsidR="00BF6648" w:rsidRDefault="00CE0B87" w:rsidRPr="00232B03">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BF6648" w:rsidR="00941F6C" w:rsidRDefault="00941F6C" w:rsidRPr="0097021E">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4.2</w:t>
      </w:r>
      <w:r w:rsidRPr="00756761">
        <w:rPr>
          <w:rFonts w:cs="Arial" w:hint="eastAsia"/>
          <w:b/>
          <w:color w:val="000000"/>
          <w:kern w:val="0"/>
          <w:sz w:val="24"/>
        </w:rPr>
        <w:t>管理人对报告期内本基金运作遵规守信情况的说明</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A755D" w:rsidR="00941F6C" w:rsidRDefault="00941F6C" w:rsidRPr="0097021E">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4.3 </w:t>
      </w:r>
      <w:r w:rsidRPr="0097021E">
        <w:rPr>
          <w:rFonts w:ascii="宋体" w:cs="Arial" w:hAnsi="宋体" w:hint="eastAsia"/>
          <w:b/>
          <w:color w:val="000000"/>
          <w:kern w:val="0"/>
          <w:sz w:val="24"/>
        </w:rPr>
        <w:t>公平交易专项说明</w:t>
      </w:r>
    </w:p>
    <w:p w:rsidP="009A755D" w:rsidR="00941F6C" w:rsidRDefault="00941F6C" w:rsidRPr="0097021E">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hAnsi="宋体"/>
            <w:sz w:val="24"/>
          </w:rPr>
          <w:t>4.3.1</w:t>
        </w:r>
      </w:smartTag>
      <w:r w:rsidRPr="0097021E">
        <w:rPr>
          <w:rFonts w:ascii="宋体" w:hAnsi="宋体" w:hint="eastAsia"/>
          <w:sz w:val="24"/>
        </w:rPr>
        <w:t>公平交易制度的执行情况</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A755D" w:rsidR="00941F6C" w:rsidRDefault="00941F6C" w:rsidRPr="0097021E">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hAnsi="宋体"/>
            <w:sz w:val="24"/>
          </w:rPr>
          <w:t>4.3.2</w:t>
        </w:r>
      </w:smartTag>
      <w:r w:rsidRPr="0097021E">
        <w:rPr>
          <w:rFonts w:ascii="宋体" w:hAnsi="宋体" w:hint="eastAsia"/>
          <w:sz w:val="24"/>
        </w:rPr>
        <w:t>异常交易行为的专项说明</w:t>
      </w:r>
    </w:p>
    <w:p>
      <w:pPr>
        <w:adjustRightInd w:val="0"/>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本报告期内，未发现本基金有可能导致不公平交易和利益输送的异常交易。</w:t>
      </w:r>
    </w:p>
    <w:p w:rsidP="009A755D"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4.4 </w:t>
      </w:r>
      <w:r w:rsidRPr="0097021E">
        <w:rPr>
          <w:rFonts w:ascii="宋体" w:cs="Arial" w:hAnsi="宋体" w:hint="eastAsia"/>
          <w:b/>
          <w:color w:val="000000"/>
          <w:kern w:val="0"/>
          <w:sz w:val="24"/>
        </w:rPr>
        <w:t>报告期内基金的投资策略和业绩表现说明</w:t>
      </w:r>
    </w:p>
    <w:p w:rsidP="009A755D" w:rsidR="00941F6C" w:rsidRDefault="00941F6C" w:rsidRPr="0097021E">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hAnsi="宋体"/>
            <w:sz w:val="24"/>
          </w:rPr>
          <w:t>4.4.1</w:t>
        </w:r>
      </w:smartTag>
      <w:r w:rsidRPr="0097021E">
        <w:rPr>
          <w:rFonts w:ascii="宋体" w:hAnsi="宋体" w:hint="eastAsia"/>
          <w:sz w:val="24"/>
        </w:rPr>
        <w:t>报告期内基金投资策略和运作分析</w:t>
      </w:r>
    </w:p>
    <w:p>
      <w:pPr>
        <w:adjustRightInd w:val="0"/>
        <w:spacing w:line="360" w:lineRule="auto"/>
        <w:ind w:firstLine="480" w:firstLineChars="200"/>
        <w:rPr>
          <w:color w:val="000000"/>
          <w:sz w:val="24"/>
        </w:rPr>
      </w:pPr>
      <w:r>
        <w:rPr>
          <w:color w:val="000000"/>
          <w:sz w:val="24"/>
        </w:rPr>
        <w:t>2020年二季度，宏观经济总体来看呈现边际企稳复苏的态势。4月工业增加值同比增长3.9%，5月工业增加值同比增长4.4%，显示虽然经济回升的速度在放缓，但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adjustRightInd w:val="0"/>
        <w:spacing w:line="360" w:lineRule="auto"/>
        <w:ind w:firstLine="480" w:firstLineChars="200"/>
        <w:rPr>
          <w:color w:val="000000"/>
          <w:sz w:val="24"/>
        </w:rPr>
      </w:pPr>
      <w:r>
        <w:rPr>
          <w:color w:val="000000"/>
          <w:sz w:val="24"/>
        </w:rPr>
        <w:t>债券市场在二季度收益率先下后上，波动较大。季初，受海内外疫情继续发酵的持续影响，市场风险偏好仍处于相对低位。清明节期间，央行实行了定向降准，同时将超额准备金利率从0.72%下调到0.35%，资金面整体更加宽松，债券市场各期限收益率快速下行。5月上旬，货币政策进一步宽松的程度不及市场预期，随着央行开始打击资金空转套利，货币市场各资产收益率出现小幅上行，货币市场在5月底呈现短期紧张。在此期间，叠加经济修复延续，债券市场长端收益率开始上行。随后，社融放量强化了经济修复预期，债券收益率进一步大幅上行，货币市场上行幅度更大，收益率曲线呈现出熊平趋势。进入6月，货币环境仍未好转，在此期间，地方债巨量发行，债券市场市场情绪进一步悲观，一级市场发行利率不断上行，推动二级市场各期限债券收益率持续大幅上行。直到半年末，央行开启公开市场逆回购操作呵护半年末流动性后，市场情绪有所恢复，债券市场和货币市场收益率趋于稳定。信用债走势与利率债类似，全季来看收益率整体大幅上行。</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操作方面，报告期内基金以同业存单、同业存款、短期逆回购为主要配置资产，同时根据自身的客户结构特性进行了资产配置，维持了适当的剩余期限和杠杆率。总体来看，组合在二季度保持了较好的流动性和稳定的收益率。</w:t>
      </w:r>
    </w:p>
    <w:p w:rsidP="009A755D" w:rsidR="00941F6C" w:rsidRDefault="00941F6C" w:rsidRPr="0097021E">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hAnsi="宋体"/>
            <w:sz w:val="24"/>
          </w:rPr>
          <w:t>4.4.2</w:t>
        </w:r>
      </w:smartTag>
      <w:r w:rsidRPr="0097021E">
        <w:rPr>
          <w:rFonts w:ascii="宋体" w:hAnsi="宋体" w:hint="eastAsia"/>
          <w:sz w:val="24"/>
        </w:rPr>
        <w:t>报告期内基金的业绩表现</w:t>
      </w:r>
    </w:p>
    <w:p w:rsidP="00A15461" w:rsidR="00941F6C" w:rsidRDefault="00941F6C" w:rsidRPr="00A15461">
      <w:pPr>
        <w:adjustRightInd w:val="0"/>
        <w:spacing w:line="360" w:lineRule="auto"/>
        <w:ind w:firstLine="480" w:firstLineChars="200"/>
        <w:rPr>
          <w:color w:val="000000"/>
          <w:sz w:val="24"/>
        </w:rPr>
      </w:pPr>
      <w:bookmarkStart w:id="0" w:name="_Toc255486598"/>
      <w:bookmarkStart w:id="1" w:name="_Toc245193825"/>
      <w:r w:rsidRPr="00A15461">
        <w:rPr>
          <w:color w:val="000000"/>
          <w:sz w:val="24"/>
        </w:rPr>
        <w:t/>
      </w:r>
      <w:proofErr w:type="spellStart"/>
      <w:r w:rsidRPr="00A15461">
        <w:rPr>
          <w:color w:val="000000"/>
          <w:sz w:val="24"/>
        </w:rPr>
        <w:t/>
      </w:r>
      <w:proofErr w:type="spellEnd"/>
      <w:r w:rsidRPr="00A15461">
        <w:rPr>
          <w:color w:val="000000"/>
          <w:sz w:val="24"/>
        </w:rPr>
        <w:t>本基金本报告期内A类基金份额净值收益率为0.4064%，同期业绩比较基准收益率为0.3418%；B类基金份额净值收益率为0.4662%，同期业绩比较基准收益率为0.3418%。</w:t>
      </w:r>
    </w:p>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5  </w:t>
      </w:r>
      <w:r w:rsidRPr="0097021E">
        <w:rPr>
          <w:rFonts w:ascii="宋体" w:cs="Arial" w:hAnsi="宋体" w:hint="eastAsia"/>
          <w:color w:val="000000"/>
          <w:kern w:val="0"/>
          <w:sz w:val="24"/>
          <w:szCs w:val="24"/>
        </w:rPr>
        <w:t>投资组合报告</w:t>
      </w:r>
    </w:p>
    <w:p w:rsidP="003A0EC1"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5.1 </w:t>
      </w:r>
      <w:r w:rsidRPr="0097021E">
        <w:rPr>
          <w:rFonts w:ascii="宋体" w:cs="Arial" w:hAnsi="宋体" w:hint="eastAsia"/>
          <w:b/>
          <w:color w:val="000000"/>
          <w:kern w:val="0"/>
          <w:sz w:val="24"/>
        </w:rPr>
        <w:t>报告期末基金资产组合情况</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3119"/>
        <w:gridCol w:w="1843"/>
      </w:tblGrid>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序号</w:t>
            </w:r>
          </w:p>
        </w:tc>
        <w:tc>
          <w:tcPr>
            <w:tcW w:type="dxa" w:w="3357"/>
            <w:vAlign w:val="center"/>
          </w:tcPr>
          <w:p w:rsidP="00196812" w:rsidR="00941F6C" w:rsidRDefault="00941F6C" w:rsidRPr="00A15461">
            <w:pPr>
              <w:spacing w:before="29" w:line="360" w:lineRule="auto"/>
              <w:ind w:left="17"/>
              <w:jc w:val="center"/>
              <w:rPr>
                <w:color w:val="000000"/>
                <w:sz w:val="24"/>
              </w:rPr>
            </w:pPr>
            <w:r w:rsidRPr="00A15461">
              <w:rPr>
                <w:color w:val="000000"/>
                <w:sz w:val="24"/>
              </w:rPr>
              <w:t>项目</w:t>
            </w:r>
          </w:p>
        </w:tc>
        <w:tc>
          <w:tcPr>
            <w:tcW w:type="dxa" w:w="3119"/>
            <w:vAlign w:val="center"/>
          </w:tcPr>
          <w:p w:rsidP="00196812" w:rsidR="00941F6C" w:rsidRDefault="00941F6C" w:rsidRPr="00A15461">
            <w:pPr>
              <w:spacing w:before="29" w:line="360" w:lineRule="auto"/>
              <w:ind w:left="17"/>
              <w:jc w:val="center"/>
              <w:rPr>
                <w:color w:val="000000"/>
                <w:sz w:val="24"/>
              </w:rPr>
            </w:pPr>
            <w:r w:rsidRPr="00A15461">
              <w:rPr>
                <w:color w:val="000000"/>
                <w:sz w:val="24"/>
              </w:rPr>
              <w:t>金额</w:t>
            </w:r>
            <w:r w:rsidR="00DC22A1" w:rsidRPr="00A15461">
              <w:rPr>
                <w:color w:val="000000"/>
                <w:sz w:val="24"/>
              </w:rPr>
              <w:t>（元）</w:t>
            </w:r>
          </w:p>
        </w:tc>
        <w:tc>
          <w:tcPr>
            <w:tcW w:type="dxa" w:w="1843"/>
            <w:vAlign w:val="center"/>
          </w:tcPr>
          <w:p w:rsidP="00196812" w:rsidR="00941F6C" w:rsidRDefault="00941F6C" w:rsidRPr="00A15461">
            <w:pPr>
              <w:spacing w:before="29" w:line="360" w:lineRule="auto"/>
              <w:ind w:left="17"/>
              <w:jc w:val="center"/>
              <w:rPr>
                <w:color w:val="000000"/>
                <w:sz w:val="24"/>
              </w:rPr>
            </w:pPr>
            <w:r w:rsidRPr="00A15461">
              <w:rPr>
                <w:color w:val="000000"/>
                <w:sz w:val="24"/>
              </w:rPr>
              <w:t>占基金总资产的比例</w:t>
            </w:r>
            <w:r w:rsidRPr="00A15461">
              <w:rPr>
                <w:color w:val="000000"/>
                <w:sz w:val="24"/>
              </w:rPr>
              <w:t>(%)</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1</w:t>
            </w: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固定收益投资</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2,766,584,401.68</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31.00</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其中：债券</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2,583,584,401.68</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28.95</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p>
        </w:tc>
        <w:tc>
          <w:tcPr>
            <w:tcW w:type="dxa" w:w="3357"/>
            <w:vAlign w:val="center"/>
          </w:tcPr>
          <w:p w:rsidP="00196812" w:rsidR="00941F6C" w:rsidRDefault="00941F6C" w:rsidRPr="00A15461">
            <w:pPr>
              <w:autoSpaceDE w:val="0"/>
              <w:autoSpaceDN w:val="0"/>
              <w:adjustRightInd w:val="0"/>
              <w:spacing w:before="29" w:line="360" w:lineRule="auto"/>
              <w:ind w:left="17"/>
              <w:jc w:val="left"/>
              <w:rPr>
                <w:color w:val="000000"/>
                <w:sz w:val="24"/>
              </w:rPr>
            </w:pPr>
            <w:r w:rsidRPr="00A15461">
              <w:rPr>
                <w:color w:val="000000"/>
                <w:sz w:val="24"/>
              </w:rPr>
              <w:t>资产支持证券</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183,000,000.00</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2.05</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2</w:t>
            </w: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买入返售金融资产</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4,237,826,247.79</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r w:rsidRPr="00A15461">
              <w:rPr>
                <w:color w:val="000000"/>
                <w:sz w:val="24"/>
              </w:rPr>
              <w:lastRenderedPageBreak/>
              <w:t>47.49</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其中：买断式回购的买入返售金融资产</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3</w:t>
            </w: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银行存款和结算备付金合计</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1,895,962,003.95</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21.25</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4</w:t>
            </w:r>
          </w:p>
        </w:tc>
        <w:tc>
          <w:tcPr>
            <w:tcW w:type="dxa" w:w="3357"/>
            <w:vAlign w:val="center"/>
          </w:tcPr>
          <w:p w:rsidP="00196812" w:rsidR="00941F6C" w:rsidRDefault="00941F6C" w:rsidRPr="00A15461">
            <w:pPr>
              <w:spacing w:line="360" w:lineRule="auto"/>
              <w:jc w:val="left"/>
              <w:rPr>
                <w:sz w:val="24"/>
              </w:rPr>
            </w:pPr>
            <w:r w:rsidRPr="00A15461">
              <w:rPr>
                <w:color w:val="000000"/>
                <w:sz w:val="24"/>
              </w:rPr>
              <w:t>其他资产</w:t>
            </w:r>
          </w:p>
        </w:tc>
        <w:tc>
          <w:tcPr>
            <w:tcW w:type="dxa" w:w="3119"/>
            <w:vAlign w:val="center"/>
          </w:tcPr>
          <w:p w:rsidP="00196812" w:rsidR="00941F6C" w:rsidRDefault="00941F6C" w:rsidRPr="00A15461">
            <w:pPr>
              <w:spacing w:line="360" w:lineRule="auto"/>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23,516,028.33</w:t>
            </w:r>
          </w:p>
        </w:tc>
        <w:tc>
          <w:tcPr>
            <w:tcW w:type="dxa" w:w="1843"/>
            <w:vAlign w:val="center"/>
          </w:tcPr>
          <w:p w:rsidP="00196812" w:rsidR="00941F6C" w:rsidRDefault="00941F6C" w:rsidRPr="00A15461">
            <w:pPr>
              <w:spacing w:line="360" w:lineRule="auto"/>
              <w:jc w:val="right"/>
              <w:rPr>
                <w:color w:val="000000"/>
                <w:sz w:val="24"/>
              </w:rPr>
            </w:pPr>
            <w:r w:rsidRPr="00A15461">
              <w:rPr>
                <w:color w:val="000000"/>
                <w:sz w:val="24"/>
              </w:rPr>
              <w:t/>
            </w:r>
            <w:proofErr w:type="spellStart"/>
            <w:r w:rsidRPr="00A15461">
              <w:rPr>
                <w:color w:val="000000"/>
                <w:sz w:val="24"/>
              </w:rPr>
              <w:t/>
            </w:r>
            <w:r w:rsidRPr="00A15461">
              <w:rPr>
                <w:color w:val="000000"/>
                <w:sz w:val="24"/>
              </w:rPr>
              <w:lastRenderedPageBreak/>
              <w:t/>
            </w:r>
            <w:proofErr w:type="spellEnd"/>
            <w:r w:rsidRPr="00A15461">
              <w:rPr>
                <w:color w:val="000000"/>
                <w:sz w:val="24"/>
              </w:rPr>
              <w:t>0.26</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lastRenderedPageBreak/>
              <w:t>5</w:t>
            </w:r>
          </w:p>
        </w:tc>
        <w:tc>
          <w:tcPr>
            <w:tcW w:type="dxa" w:w="3357"/>
            <w:vAlign w:val="center"/>
          </w:tcPr>
          <w:p w:rsidP="00196812" w:rsidR="00941F6C" w:rsidRDefault="00941F6C" w:rsidRPr="00A15461">
            <w:pPr>
              <w:spacing w:line="360" w:lineRule="auto"/>
              <w:jc w:val="left"/>
              <w:rPr>
                <w:sz w:val="24"/>
              </w:rPr>
            </w:pPr>
            <w:r w:rsidRPr="00A15461">
              <w:rPr>
                <w:color w:val="000000"/>
                <w:sz w:val="24"/>
              </w:rPr>
              <w:t>合计</w:t>
            </w:r>
          </w:p>
        </w:tc>
        <w:tc>
          <w:tcPr>
            <w:tcW w:type="dxa" w:w="3119"/>
            <w:vAlign w:val="center"/>
          </w:tcPr>
          <w:p w:rsidP="00196812" w:rsidR="00941F6C" w:rsidRDefault="00941F6C" w:rsidRPr="00A15461">
            <w:pPr>
              <w:spacing w:line="360" w:lineRule="auto"/>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8,923,888,681.75</w:t>
            </w:r>
          </w:p>
        </w:tc>
        <w:tc>
          <w:tcPr>
            <w:tcW w:type="dxa" w:w="1843"/>
            <w:vAlign w:val="center"/>
          </w:tcPr>
          <w:p w:rsidP="00196812" w:rsidR="00941F6C" w:rsidRDefault="00941F6C" w:rsidRPr="00A15461">
            <w:pPr>
              <w:spacing w:line="360" w:lineRule="auto"/>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100.00</w:t>
            </w:r>
          </w:p>
        </w:tc>
      </w:tr>
    </w:tbl>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5.2 </w:t>
      </w:r>
      <w:r w:rsidRPr="0097021E">
        <w:rPr>
          <w:rFonts w:ascii="宋体" w:cs="Arial" w:hAnsi="宋体" w:hint="eastAsia"/>
          <w:b/>
          <w:color w:val="000000"/>
          <w:kern w:val="0"/>
          <w:sz w:val="24"/>
        </w:rPr>
        <w:t>报告期债券回购融资情况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61"/>
        <w:gridCol w:w="3108"/>
        <w:gridCol w:w="2977"/>
        <w:gridCol w:w="2126"/>
      </w:tblGrid>
      <w:tr w:rsidR="00941F6C" w:rsidRPr="0097021E" w:rsidTr="00C400D7">
        <w:tc>
          <w:tcPr>
            <w:tcW w:type="dxa" w:w="861"/>
            <w:vAlign w:val="center"/>
          </w:tcPr>
          <w:p w:rsidP="00196812" w:rsidR="00941F6C" w:rsidRDefault="00941F6C" w:rsidRPr="00A15461">
            <w:pPr>
              <w:spacing w:line="360" w:lineRule="auto"/>
              <w:rPr>
                <w:color w:val="000000"/>
                <w:kern w:val="0"/>
                <w:sz w:val="24"/>
              </w:rPr>
            </w:pPr>
            <w:r w:rsidRPr="00A15461">
              <w:rPr>
                <w:color w:val="000000"/>
                <w:kern w:val="0"/>
                <w:sz w:val="24"/>
              </w:rPr>
              <w:t>序号</w:t>
            </w:r>
          </w:p>
        </w:tc>
        <w:tc>
          <w:tcPr>
            <w:tcW w:type="dxa" w:w="3108"/>
            <w:vAlign w:val="center"/>
          </w:tcPr>
          <w:p w:rsidP="00196812" w:rsidR="00941F6C" w:rsidRDefault="00941F6C" w:rsidRPr="00A15461">
            <w:pPr>
              <w:spacing w:line="360" w:lineRule="auto"/>
              <w:rPr>
                <w:color w:val="000000"/>
                <w:kern w:val="0"/>
                <w:sz w:val="24"/>
              </w:rPr>
            </w:pPr>
            <w:r w:rsidRPr="00A15461">
              <w:rPr>
                <w:color w:val="000000"/>
                <w:kern w:val="0"/>
                <w:sz w:val="24"/>
              </w:rPr>
              <w:t>项目</w:t>
            </w:r>
          </w:p>
        </w:tc>
        <w:tc>
          <w:tcPr>
            <w:tcW w:type="dxa" w:w="5103"/>
            <w:gridSpan w:val="2"/>
            <w:vAlign w:val="center"/>
          </w:tcPr>
          <w:p w:rsidP="00196812" w:rsidR="00941F6C" w:rsidRDefault="00941F6C" w:rsidRPr="00A15461">
            <w:pPr>
              <w:spacing w:line="360" w:lineRule="auto"/>
              <w:rPr>
                <w:color w:val="000000"/>
                <w:kern w:val="0"/>
                <w:sz w:val="24"/>
              </w:rPr>
            </w:pPr>
            <w:r w:rsidRPr="00A15461">
              <w:rPr>
                <w:color w:val="000000"/>
                <w:kern w:val="0"/>
                <w:sz w:val="24"/>
              </w:rPr>
              <w:t>占基金资产净值的比例（％）</w:t>
            </w:r>
          </w:p>
        </w:tc>
      </w:tr>
      <w:tr w:rsidR="00941F6C" w:rsidRPr="0097021E" w:rsidTr="00C400D7">
        <w:tc>
          <w:tcPr>
            <w:tcW w:type="dxa" w:w="861"/>
            <w:vAlign w:val="center"/>
          </w:tcPr>
          <w:p w:rsidP="00196812" w:rsidR="00941F6C" w:rsidRDefault="00941F6C" w:rsidRPr="00A15461">
            <w:pPr>
              <w:spacing w:line="360" w:lineRule="auto"/>
              <w:rPr>
                <w:color w:val="000000"/>
                <w:kern w:val="0"/>
                <w:sz w:val="24"/>
              </w:rPr>
            </w:pPr>
            <w:r w:rsidRPr="00A15461">
              <w:rPr>
                <w:color w:val="000000"/>
                <w:kern w:val="0"/>
                <w:sz w:val="24"/>
              </w:rPr>
              <w:t>1</w:t>
            </w:r>
          </w:p>
        </w:tc>
        <w:tc>
          <w:tcPr>
            <w:tcW w:type="dxa" w:w="3108"/>
          </w:tcPr>
          <w:p w:rsidP="00196812" w:rsidR="00941F6C" w:rsidRDefault="00941F6C" w:rsidRPr="00A15461">
            <w:pPr>
              <w:spacing w:line="360" w:lineRule="auto"/>
              <w:rPr>
                <w:sz w:val="24"/>
              </w:rPr>
            </w:pPr>
            <w:r w:rsidRPr="00A15461">
              <w:rPr>
                <w:sz w:val="24"/>
              </w:rPr>
              <w:t>报告期内债券回购融资余额</w:t>
            </w:r>
          </w:p>
        </w:tc>
        <w:tc>
          <w:tcPr>
            <w:tcW w:type="dxa" w:w="5103"/>
            <w:gridSpan w:val="2"/>
            <w:vAlign w:val="center"/>
          </w:tcPr>
          <w:p w:rsidP="00196812" w:rsidR="00941F6C" w:rsidRDefault="00941F6C" w:rsidRPr="00A15461">
            <w:pPr>
              <w:spacing w:line="360" w:lineRule="auto"/>
              <w:rPr>
                <w:sz w:val="24"/>
              </w:rPr>
            </w:pPr>
            <w:r w:rsidRPr="00A15461">
              <w:rPr>
                <w:sz w:val="24"/>
              </w:rPr>
              <w:t>4.50</w:t>
            </w:r>
          </w:p>
        </w:tc>
      </w:tr>
      <w:tr w:rsidR="00941F6C" w:rsidRPr="0097021E" w:rsidTr="00C400D7">
        <w:trPr>
          <w:trHeight w:val="712"/>
        </w:trPr>
        <w:tc>
          <w:tcPr>
            <w:tcW w:type="dxa" w:w="861"/>
            <w:vAlign w:val="center"/>
          </w:tcPr>
          <w:p w:rsidP="00196812" w:rsidR="00941F6C" w:rsidRDefault="00941F6C" w:rsidRPr="00A15461">
            <w:pPr>
              <w:spacing w:line="360" w:lineRule="auto"/>
              <w:rPr>
                <w:color w:val="000000"/>
                <w:sz w:val="24"/>
              </w:rPr>
            </w:pPr>
          </w:p>
        </w:tc>
        <w:tc>
          <w:tcPr>
            <w:tcW w:type="dxa" w:w="3108"/>
          </w:tcPr>
          <w:p w:rsidP="00196812" w:rsidR="00941F6C" w:rsidRDefault="00941F6C" w:rsidRPr="00A15461">
            <w:pPr>
              <w:spacing w:line="360" w:lineRule="auto"/>
              <w:rPr>
                <w:sz w:val="24"/>
              </w:rPr>
            </w:pPr>
            <w:r w:rsidRPr="00A15461">
              <w:rPr>
                <w:sz w:val="24"/>
              </w:rPr>
              <w:t>其中：买断式回购融资</w:t>
            </w:r>
          </w:p>
        </w:tc>
        <w:tc>
          <w:tcPr>
            <w:tcW w:type="dxa" w:w="5103"/>
            <w:gridSpan w:val="2"/>
            <w:vAlign w:val="center"/>
          </w:tcPr>
          <w:p w:rsidP="00196812" w:rsidR="00941F6C" w:rsidRDefault="00941F6C" w:rsidRPr="00A15461">
            <w:pPr>
              <w:spacing w:line="360" w:lineRule="auto"/>
              <w:rPr>
                <w:sz w:val="24"/>
              </w:rPr>
            </w:pPr>
            <w:r w:rsidRPr="00A15461">
              <w:rPr>
                <w:sz w:val="24"/>
              </w:rPr>
              <w:t>-</w:t>
            </w:r>
          </w:p>
        </w:tc>
      </w:tr>
      <w:tr w:rsidR="00941F6C" w:rsidRPr="0097021E" w:rsidTr="00C400D7">
        <w:tc>
          <w:tcPr>
            <w:tcW w:type="dxa" w:w="861"/>
            <w:vAlign w:val="center"/>
          </w:tcPr>
          <w:p w:rsidP="00196812" w:rsidR="00941F6C" w:rsidRDefault="00941F6C" w:rsidRPr="00A15461">
            <w:pPr>
              <w:spacing w:line="360" w:lineRule="auto"/>
              <w:rPr>
                <w:color w:val="000000"/>
                <w:sz w:val="24"/>
              </w:rPr>
            </w:pPr>
            <w:r w:rsidRPr="00A15461">
              <w:rPr>
                <w:color w:val="000000"/>
                <w:kern w:val="0"/>
                <w:sz w:val="24"/>
              </w:rPr>
              <w:t>序号</w:t>
            </w:r>
          </w:p>
        </w:tc>
        <w:tc>
          <w:tcPr>
            <w:tcW w:type="dxa" w:w="3108"/>
          </w:tcPr>
          <w:p w:rsidP="00196812" w:rsidR="00941F6C" w:rsidRDefault="00941F6C" w:rsidRPr="00A15461">
            <w:pPr>
              <w:spacing w:line="360" w:lineRule="auto"/>
              <w:rPr>
                <w:sz w:val="24"/>
              </w:rPr>
            </w:pPr>
            <w:r w:rsidRPr="00A15461">
              <w:rPr>
                <w:sz w:val="24"/>
              </w:rPr>
              <w:t>项目</w:t>
            </w:r>
          </w:p>
        </w:tc>
        <w:tc>
          <w:tcPr>
            <w:tcW w:type="dxa" w:w="2977"/>
            <w:vAlign w:val="center"/>
          </w:tcPr>
          <w:p w:rsidP="00196812" w:rsidR="00941F6C" w:rsidRDefault="00941F6C" w:rsidRPr="00A15461">
            <w:pPr>
              <w:spacing w:line="360" w:lineRule="auto"/>
              <w:rPr>
                <w:sz w:val="24"/>
              </w:rPr>
            </w:pPr>
            <w:r w:rsidRPr="00A15461">
              <w:rPr>
                <w:sz w:val="24"/>
              </w:rPr>
              <w:t>金额</w:t>
            </w:r>
          </w:p>
        </w:tc>
        <w:tc>
          <w:tcPr>
            <w:tcW w:type="dxa" w:w="2126"/>
            <w:vAlign w:val="center"/>
          </w:tcPr>
          <w:p w:rsidP="00196812" w:rsidR="00941F6C" w:rsidRDefault="00941F6C" w:rsidRPr="00A15461">
            <w:pPr>
              <w:spacing w:line="360" w:lineRule="auto"/>
              <w:rPr>
                <w:sz w:val="24"/>
              </w:rPr>
            </w:pPr>
            <w:r w:rsidRPr="00A15461">
              <w:rPr>
                <w:color w:val="000000"/>
                <w:kern w:val="0"/>
                <w:sz w:val="24"/>
              </w:rPr>
              <w:t>占基金资产净值的比例（％）</w:t>
            </w:r>
          </w:p>
        </w:tc>
      </w:tr>
      <w:tr w:rsidR="00941F6C" w:rsidRPr="0097021E" w:rsidTr="00C400D7">
        <w:tc>
          <w:tcPr>
            <w:tcW w:type="dxa" w:w="861"/>
            <w:vMerge w:val="restart"/>
            <w:vAlign w:val="center"/>
          </w:tcPr>
          <w:p w:rsidP="00196812" w:rsidR="00941F6C" w:rsidRDefault="00941F6C" w:rsidRPr="00A15461">
            <w:pPr>
              <w:spacing w:line="360" w:lineRule="auto"/>
              <w:rPr>
                <w:color w:val="000000"/>
                <w:sz w:val="24"/>
              </w:rPr>
            </w:pPr>
            <w:r w:rsidRPr="00A15461">
              <w:rPr>
                <w:color w:val="000000"/>
                <w:sz w:val="24"/>
              </w:rPr>
              <w:t>2</w:t>
            </w:r>
          </w:p>
        </w:tc>
        <w:tc>
          <w:tcPr>
            <w:tcW w:type="dxa" w:w="3108"/>
          </w:tcPr>
          <w:p w:rsidP="00196812" w:rsidR="00941F6C" w:rsidRDefault="00941F6C" w:rsidRPr="00A15461">
            <w:pPr>
              <w:spacing w:line="360" w:lineRule="auto"/>
              <w:rPr>
                <w:sz w:val="24"/>
              </w:rPr>
            </w:pPr>
            <w:r w:rsidRPr="00A15461">
              <w:rPr>
                <w:sz w:val="24"/>
              </w:rPr>
              <w:t>报告期末债券回购融资余额</w:t>
            </w:r>
          </w:p>
        </w:tc>
        <w:tc>
          <w:tcPr>
            <w:tcW w:type="dxa" w:w="2977"/>
            <w:vAlign w:val="center"/>
          </w:tcPr>
          <w:p w:rsidP="00196812" w:rsidR="00941F6C" w:rsidRDefault="00941F6C" w:rsidRPr="00A15461">
            <w:pPr>
              <w:spacing w:line="360" w:lineRule="auto"/>
              <w:rPr>
                <w:sz w:val="24"/>
              </w:rPr>
            </w:pPr>
            <w:r w:rsidRPr="00A15461">
              <w:rPr>
                <w:sz w:val="24"/>
              </w:rPr>
              <w:t/>
            </w:r>
            <w:proofErr w:type="spellStart"/>
            <w:r w:rsidRPr="00A15461">
              <w:rPr>
                <w:sz w:val="24"/>
              </w:rPr>
              <w:t/>
            </w:r>
            <w:proofErr w:type="spellEnd"/>
            <w:r w:rsidRPr="00A15461">
              <w:rPr>
                <w:sz w:val="24"/>
              </w:rPr>
              <w:t>521,583,139.21</w:t>
            </w:r>
          </w:p>
        </w:tc>
        <w:tc>
          <w:tcPr>
            <w:tcW w:type="dxa" w:w="2126"/>
            <w:vAlign w:val="center"/>
          </w:tcPr>
          <w:p w:rsidP="00196812" w:rsidR="00941F6C" w:rsidRDefault="00941F6C" w:rsidRPr="00A15461">
            <w:pPr>
              <w:spacing w:line="360" w:lineRule="auto"/>
              <w:rPr>
                <w:sz w:val="24"/>
              </w:rPr>
            </w:pPr>
            <w:r w:rsidRPr="00A15461">
              <w:rPr>
                <w:sz w:val="24"/>
              </w:rPr>
              <w:t>6.22</w:t>
            </w:r>
          </w:p>
        </w:tc>
      </w:tr>
      <w:tr w:rsidR="00941F6C" w:rsidRPr="0097021E" w:rsidTr="00C400D7">
        <w:tc>
          <w:tcPr>
            <w:tcW w:type="dxa" w:w="861"/>
            <w:vMerge/>
            <w:vAlign w:val="center"/>
          </w:tcPr>
          <w:p w:rsidP="00196812" w:rsidR="00941F6C" w:rsidRDefault="00941F6C" w:rsidRPr="00A15461">
            <w:pPr>
              <w:spacing w:line="360" w:lineRule="auto"/>
              <w:rPr>
                <w:color w:val="000000"/>
                <w:sz w:val="24"/>
              </w:rPr>
            </w:pPr>
          </w:p>
        </w:tc>
        <w:tc>
          <w:tcPr>
            <w:tcW w:type="dxa" w:w="3108"/>
          </w:tcPr>
          <w:p w:rsidP="00196812" w:rsidR="00941F6C" w:rsidRDefault="00941F6C" w:rsidRPr="00A15461">
            <w:pPr>
              <w:spacing w:line="360" w:lineRule="auto"/>
              <w:rPr>
                <w:sz w:val="24"/>
              </w:rPr>
            </w:pPr>
            <w:r w:rsidRPr="00A15461">
              <w:rPr>
                <w:sz w:val="24"/>
              </w:rPr>
              <w:t>其中：买断式回购融资</w:t>
            </w:r>
          </w:p>
        </w:tc>
        <w:tc>
          <w:tcPr>
            <w:tcW w:type="dxa" w:w="2977"/>
            <w:vAlign w:val="center"/>
          </w:tcPr>
          <w:p w:rsidP="00196812" w:rsidR="00941F6C" w:rsidRDefault="00941F6C" w:rsidRPr="00A15461">
            <w:pPr>
              <w:spacing w:line="360" w:lineRule="auto"/>
              <w:rPr>
                <w:sz w:val="24"/>
              </w:rPr>
            </w:pPr>
            <w:r w:rsidRPr="00A15461">
              <w:rPr>
                <w:sz w:val="24"/>
              </w:rPr>
              <w:t/>
            </w:r>
            <w:proofErr w:type="spellStart"/>
            <w:r w:rsidRPr="00A15461">
              <w:rPr>
                <w:sz w:val="24"/>
              </w:rPr>
              <w:t/>
            </w:r>
            <w:proofErr w:type="spellEnd"/>
            <w:r w:rsidRPr="00A15461">
              <w:rPr>
                <w:sz w:val="24"/>
              </w:rPr>
              <w:t>-</w:t>
            </w:r>
          </w:p>
        </w:tc>
        <w:tc>
          <w:tcPr>
            <w:tcW w:type="dxa" w:w="2126"/>
            <w:vAlign w:val="center"/>
          </w:tcPr>
          <w:p w:rsidP="00196812" w:rsidR="00941F6C" w:rsidRDefault="00941F6C" w:rsidRPr="00A15461">
            <w:pPr>
              <w:spacing w:line="360" w:lineRule="auto"/>
              <w:rPr>
                <w:sz w:val="24"/>
              </w:rPr>
            </w:pPr>
            <w:r w:rsidRPr="00A15461">
              <w:rPr>
                <w:sz w:val="24"/>
              </w:rPr>
              <w:t>-</w:t>
            </w:r>
          </w:p>
        </w:tc>
      </w:tr>
    </w:tbl>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
      </w:r>
      <w:proofErr w:type="spellStart"/>
      <w:r w:rsidRPr="00A15461">
        <w:rPr>
          <w:color w:val="000000"/>
          <w:sz w:val="24"/>
        </w:rPr>
        <w:t/>
      </w:r>
      <w:proofErr w:type="spellEnd"/>
      <w:r w:rsidRPr="00A15461">
        <w:rPr>
          <w:color w:val="000000"/>
          <w:sz w:val="24"/>
        </w:rPr>
        <w:t>注：上表中报告期内债券回购融资余额占基金资产净值的比例为报告期内每个交易日融资余额占基金资产净值比例的简单平均值。</w:t>
      </w:r>
    </w:p>
    <w:p w:rsidP="00196812" w:rsidR="00941F6C" w:rsidRDefault="00941F6C" w:rsidRPr="003A0EC1">
      <w:pPr>
        <w:spacing w:line="360" w:lineRule="auto"/>
        <w:rPr>
          <w:rFonts w:ascii="宋体" w:cs="Arial"/>
          <w:b/>
          <w:color w:val="000000"/>
          <w:kern w:val="0"/>
          <w:sz w:val="24"/>
        </w:rPr>
      </w:pPr>
      <w:r w:rsidRPr="003A0EC1">
        <w:rPr>
          <w:rFonts w:ascii="宋体" w:cs="Arial"/>
          <w:b/>
          <w:color w:val="000000"/>
          <w:kern w:val="0"/>
          <w:sz w:val="24"/>
        </w:rPr>
        <w:t/>
      </w:r>
      <w:r w:rsidRPr="003A0EC1">
        <w:rPr>
          <w:rFonts w:ascii="宋体" w:cs="Arial" w:hAnsi="宋体"/>
          <w:b/>
          <w:color w:val="000000"/>
          <w:kern w:val="0"/>
          <w:sz w:val="24"/>
        </w:rPr>
        <w:t/>
      </w:r>
      <w:r w:rsidRPr="003A0EC1">
        <w:rPr>
          <w:rFonts w:ascii="宋体" w:cs="Arial" w:hAnsi="宋体" w:hint="eastAsia"/>
          <w:b/>
          <w:color w:val="000000"/>
          <w:kern w:val="0"/>
          <w:sz w:val="24"/>
        </w:rPr>
        <w:t>债券正回购的资金余额超过基金资产净值的</w:t>
      </w:r>
      <w:r w:rsidRPr="003A0EC1">
        <w:rPr>
          <w:rFonts w:ascii="宋体" w:cs="Arial" w:hAnsi="宋体"/>
          <w:b/>
          <w:color w:val="000000"/>
          <w:kern w:val="0"/>
          <w:sz w:val="24"/>
        </w:rPr>
        <w:t>20</w:t>
      </w:r>
      <w:r w:rsidRPr="003A0EC1">
        <w:rPr>
          <w:rFonts w:ascii="宋体" w:cs="Arial" w:hAnsi="宋体" w:hint="eastAsia"/>
          <w:b/>
          <w:color w:val="000000"/>
          <w:kern w:val="0"/>
          <w:sz w:val="24"/>
        </w:rPr>
        <w:t>％的说明</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在本报告期内本货币市场基金债券正回购的资金余额未超过资产净值的20%。</w:t>
      </w:r>
    </w:p>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 </w:t>
      </w:r>
      <w:r w:rsidRPr="0097021E">
        <w:rPr>
          <w:rFonts w:ascii="宋体" w:cs="Arial" w:hAnsi="宋体" w:hint="eastAsia"/>
          <w:b/>
          <w:color w:val="000000"/>
          <w:kern w:val="0"/>
          <w:sz w:val="24"/>
        </w:rPr>
        <w:t>基金投资组合平均剩余期限</w:t>
      </w:r>
    </w:p>
    <w:p w:rsidP="00196812" w:rsidR="00941F6C" w:rsidRDefault="00941F6C" w:rsidRPr="0097021E">
      <w:pPr>
        <w:spacing w:line="360" w:lineRule="auto"/>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cs="Arial" w:hAnsi="宋体"/>
            <w:b/>
            <w:color w:val="000000"/>
            <w:kern w:val="0"/>
            <w:sz w:val="24"/>
          </w:rPr>
          <w:t>5.3.1</w:t>
        </w:r>
      </w:smartTag>
      <w:r w:rsidRPr="0097021E">
        <w:rPr>
          <w:rFonts w:ascii="宋体" w:cs="Arial" w:hAnsi="宋体" w:hint="eastAsia"/>
          <w:b/>
          <w:color w:val="000000"/>
          <w:kern w:val="0"/>
          <w:sz w:val="24"/>
        </w:rPr>
        <w:t>投资组合平均剩余期限基本情况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056"/>
        <w:gridCol w:w="5016"/>
      </w:tblGrid>
      <w:tr w:rsidR="00941F6C" w:rsidRPr="0097021E" w:rsidTr="00C400D7">
        <w:tc>
          <w:tcPr>
            <w:tcW w:type="dxa" w:w="4056"/>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项目</w:t>
            </w:r>
            <w:r w:rsidRPr="00A15461">
              <w:rPr>
                <w:color w:val="000000"/>
                <w:kern w:val="0"/>
                <w:sz w:val="24"/>
              </w:rPr>
              <w:t/>
            </w:r>
            <w:proofErr w:type="spellStart"/>
            <w:r w:rsidRPr="00A15461">
              <w:rPr>
                <w:color w:val="000000"/>
                <w:kern w:val="0"/>
                <w:sz w:val="24"/>
              </w:rPr>
              <w:t/>
            </w:r>
            <w:proofErr w:type="spellEnd"/>
            <w:r w:rsidRPr="00A15461">
              <w:rPr>
                <w:color w:val="000000"/>
                <w:kern w:val="0"/>
                <w:sz w:val="24"/>
              </w:rPr>
              <w:t/>
            </w:r>
          </w:p>
        </w:tc>
        <w:tc>
          <w:tcPr>
            <w:tcW w:type="dxa" w:w="5016"/>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天数</w:t>
            </w:r>
          </w:p>
        </w:tc>
      </w:tr>
      <w:tr w:rsidR="00941F6C" w:rsidRPr="0097021E" w:rsidTr="00C400D7">
        <w:tc>
          <w:tcPr>
            <w:tcW w:type="dxa" w:w="4056"/>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报告期末投资组合平均剩余期限</w:t>
            </w:r>
          </w:p>
        </w:tc>
        <w:tc>
          <w:tcPr>
            <w:tcW w:type="dxa" w:w="5016"/>
            <w:vAlign w:val="center"/>
          </w:tcPr>
          <w:p w:rsidP="00196812" w:rsidR="00941F6C" w:rsidRDefault="00941F6C" w:rsidRPr="00A15461">
            <w:pPr>
              <w:spacing w:line="360" w:lineRule="auto"/>
              <w:ind w:right="120"/>
              <w:jc w:val="right"/>
              <w:rPr>
                <w:sz w:val="24"/>
              </w:rPr>
            </w:pPr>
            <w:r w:rsidRPr="00A15461">
              <w:rPr>
                <w:color w:val="000000"/>
                <w:sz w:val="24"/>
              </w:rPr>
              <w:t/>
            </w:r>
            <w:proofErr w:type="spellStart"/>
            <w:r w:rsidRPr="00A15461">
              <w:rPr>
                <w:color w:val="000000"/>
                <w:sz w:val="24"/>
              </w:rPr>
              <w:t/>
            </w:r>
            <w:r w:rsidRPr="00A15461">
              <w:rPr>
                <w:sz w:val="24"/>
              </w:rPr>
              <w:t/>
            </w:r>
            <w:proofErr w:type="spellEnd"/>
            <w:r w:rsidRPr="00A15461">
              <w:rPr>
                <w:sz w:val="24"/>
              </w:rPr>
              <w:t>75</w:t>
            </w:r>
          </w:p>
        </w:tc>
      </w:tr>
      <w:tr w:rsidR="00941F6C" w:rsidRPr="0097021E" w:rsidTr="00C400D7">
        <w:tc>
          <w:tcPr>
            <w:tcW w:type="dxa" w:w="4056"/>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报告期内投资组合平均剩余期限最高值</w:t>
            </w:r>
          </w:p>
        </w:tc>
        <w:tc>
          <w:tcPr>
            <w:tcW w:type="dxa" w:w="5016"/>
            <w:vAlign w:val="center"/>
          </w:tcPr>
          <w:p w:rsidP="00196812" w:rsidR="00941F6C" w:rsidRDefault="00941F6C" w:rsidRPr="00A15461">
            <w:pPr>
              <w:spacing w:line="360" w:lineRule="auto"/>
              <w:jc w:val="right"/>
              <w:rPr>
                <w:sz w:val="24"/>
              </w:rPr>
            </w:pPr>
            <w:r w:rsidRPr="00A15461">
              <w:rPr>
                <w:color w:val="000000"/>
                <w:sz w:val="24"/>
              </w:rPr>
              <w:t/>
            </w:r>
            <w:proofErr w:type="spellStart"/>
            <w:r w:rsidRPr="00A15461">
              <w:rPr>
                <w:color w:val="000000"/>
                <w:sz w:val="24"/>
              </w:rPr>
              <w:t/>
            </w:r>
            <w:r w:rsidRPr="00A15461">
              <w:rPr>
                <w:sz w:val="24"/>
              </w:rPr>
              <w:t/>
            </w:r>
            <w:proofErr w:type="spellEnd"/>
            <w:r w:rsidRPr="00A15461">
              <w:rPr>
                <w:sz w:val="24"/>
              </w:rPr>
              <w:t>88</w:t>
            </w:r>
          </w:p>
        </w:tc>
      </w:tr>
      <w:tr w:rsidR="00941F6C" w:rsidRPr="0097021E" w:rsidTr="00C400D7">
        <w:tc>
          <w:tcPr>
            <w:tcW w:type="dxa" w:w="4056"/>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报告期内投资组合平均剩余期限最低值</w:t>
            </w:r>
          </w:p>
        </w:tc>
        <w:tc>
          <w:tcPr>
            <w:tcW w:type="dxa" w:w="5016"/>
            <w:vAlign w:val="center"/>
          </w:tcPr>
          <w:p w:rsidP="00196812" w:rsidR="00941F6C" w:rsidRDefault="00941F6C" w:rsidRPr="00A15461">
            <w:pPr>
              <w:spacing w:line="360" w:lineRule="auto"/>
              <w:ind w:right="120"/>
              <w:jc w:val="right"/>
              <w:rPr>
                <w:sz w:val="24"/>
              </w:rPr>
            </w:pPr>
            <w:r w:rsidRPr="00A15461">
              <w:rPr>
                <w:color w:val="000000"/>
                <w:sz w:val="24"/>
              </w:rPr>
              <w:t/>
            </w:r>
            <w:proofErr w:type="spellStart"/>
            <w:r w:rsidRPr="00A15461">
              <w:rPr>
                <w:color w:val="000000"/>
                <w:sz w:val="24"/>
              </w:rPr>
              <w:t/>
            </w:r>
            <w:r w:rsidRPr="00A15461">
              <w:rPr>
                <w:sz w:val="24"/>
              </w:rPr>
              <w:t/>
            </w:r>
            <w:proofErr w:type="spellEnd"/>
            <w:r w:rsidRPr="00A15461">
              <w:rPr>
                <w:sz w:val="24"/>
              </w:rPr>
              <w:t>55</w:t>
            </w:r>
          </w:p>
        </w:tc>
      </w:tr>
    </w:tbl>
    <w:p w:rsidP="003A0EC1" w:rsidR="00941F6C" w:rsidRDefault="00941F6C" w:rsidRPr="003A0EC1">
      <w:pPr>
        <w:spacing w:line="360" w:lineRule="auto"/>
        <w:rPr>
          <w:rFonts w:ascii="宋体" w:cs="Arial"/>
          <w:b/>
          <w:color w:val="000000"/>
          <w:kern w:val="0"/>
          <w:sz w:val="24"/>
        </w:rPr>
      </w:pPr>
      <w:r w:rsidRPr="003A0EC1">
        <w:rPr>
          <w:rFonts w:ascii="宋体" w:cs="Arial"/>
          <w:b/>
          <w:color w:val="000000"/>
          <w:kern w:val="0"/>
          <w:sz w:val="24"/>
        </w:rPr>
        <w:t/>
      </w:r>
      <w:r w:rsidRPr="003A0EC1">
        <w:rPr>
          <w:rFonts w:ascii="宋体" w:cs="Arial" w:hAnsi="宋体"/>
          <w:b/>
          <w:color w:val="000000"/>
          <w:kern w:val="0"/>
          <w:sz w:val="24"/>
        </w:rPr>
        <w:t/>
      </w:r>
      <w:r w:rsidRPr="003A0EC1">
        <w:rPr>
          <w:rFonts w:ascii="宋体" w:cs="Arial" w:hAnsi="宋体" w:hint="eastAsia"/>
          <w:b/>
          <w:color w:val="000000"/>
          <w:kern w:val="0"/>
          <w:sz w:val="24"/>
        </w:rPr>
        <w:t>报告期内投资组合平均剩余期限超过</w:t>
      </w:r>
      <w:r w:rsidRPr="003A0EC1">
        <w:rPr>
          <w:rFonts w:ascii="宋体" w:cs="Arial" w:hAnsi="宋体"/>
          <w:b/>
          <w:color w:val="000000"/>
          <w:kern w:val="0"/>
          <w:sz w:val="24"/>
        </w:rPr>
        <w:t>1</w:t>
      </w:r>
      <w:r w:rsidR="008E6C59">
        <w:rPr>
          <w:rFonts w:ascii="宋体" w:cs="Arial" w:hAnsi="宋体" w:hint="eastAsia"/>
          <w:b/>
          <w:color w:val="000000"/>
          <w:kern w:val="0"/>
          <w:sz w:val="24"/>
        </w:rPr>
        <w:t>2</w:t>
      </w:r>
      <w:r w:rsidRPr="003A0EC1">
        <w:rPr>
          <w:rFonts w:ascii="宋体" w:cs="Arial" w:hAnsi="宋体"/>
          <w:b/>
          <w:color w:val="000000"/>
          <w:kern w:val="0"/>
          <w:sz w:val="24"/>
        </w:rPr>
        <w:t>0</w:t>
      </w:r>
      <w:r w:rsidRPr="003A0EC1">
        <w:rPr>
          <w:rFonts w:ascii="宋体" w:cs="Arial" w:hAnsi="宋体" w:hint="eastAsia"/>
          <w:b/>
          <w:color w:val="000000"/>
          <w:kern w:val="0"/>
          <w:sz w:val="24"/>
        </w:rPr>
        <w:t>天情况说明</w:t>
      </w:r>
    </w:p>
    <w:p w:rsidP="008E6C59" w:rsidR="008E6C59" w:rsidRDefault="008E6C59" w:rsidRPr="008E6C59">
      <w:pPr>
        <w:adjustRightInd w:val="0"/>
        <w:spacing w:line="360" w:lineRule="auto"/>
        <w:ind w:firstLine="480" w:firstLineChars="200"/>
        <w:rPr>
          <w:color w:val="000000"/>
          <w:sz w:val="24"/>
        </w:rPr>
      </w:pPr>
      <w:r w:rsidRPr="008E6C59">
        <w:rPr>
          <w:rFonts w:hint="eastAsia"/>
          <w:color w:val="000000"/>
          <w:sz w:val="24"/>
        </w:rPr>
        <w:lastRenderedPageBreak/>
        <w:t/>
      </w:r>
      <w:r w:rsidRPr="008E6C59">
        <w:rPr>
          <w:color w:val="000000"/>
          <w:sz w:val="24"/>
        </w:rPr>
        <w:t/>
      </w:r>
      <w:r w:rsidRPr="008E6C59">
        <w:rPr>
          <w:rFonts w:hint="eastAsia"/>
          <w:color w:val="000000"/>
          <w:sz w:val="24"/>
        </w:rPr>
        <w:t>本报告期内本货币市场基金投资组合平均剩余期限未超过120天。</w:t>
      </w:r>
    </w:p>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5.3.2 </w:t>
      </w:r>
      <w:r w:rsidRPr="0097021E">
        <w:rPr>
          <w:rFonts w:ascii="宋体" w:cs="Arial" w:hAnsi="宋体" w:hint="eastAsia"/>
          <w:b/>
          <w:color w:val="000000"/>
          <w:kern w:val="0"/>
          <w:sz w:val="24"/>
        </w:rPr>
        <w:t>报告期末投资组合平均剩余期限分布比例</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51"/>
        <w:gridCol w:w="3351"/>
        <w:gridCol w:w="2529"/>
        <w:gridCol w:w="2431"/>
      </w:tblGrid>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序号</w:t>
            </w:r>
          </w:p>
        </w:tc>
        <w:tc>
          <w:tcPr>
            <w:tcW w:type="dxa" w:w="3351"/>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平均剩余期限</w:t>
            </w:r>
            <w:r w:rsidRPr="00A15461">
              <w:rPr>
                <w:color w:val="000000"/>
                <w:kern w:val="0"/>
                <w:sz w:val="24"/>
              </w:rPr>
              <w:t/>
            </w:r>
            <w:proofErr w:type="spellStart"/>
            <w:r w:rsidRPr="00A15461">
              <w:rPr>
                <w:color w:val="000000"/>
                <w:kern w:val="0"/>
                <w:sz w:val="24"/>
              </w:rPr>
              <w:t/>
            </w:r>
            <w:proofErr w:type="spellEnd"/>
            <w:r w:rsidRPr="00A15461">
              <w:rPr>
                <w:color w:val="000000"/>
                <w:kern w:val="0"/>
                <w:sz w:val="24"/>
              </w:rPr>
              <w:t/>
            </w:r>
          </w:p>
        </w:tc>
        <w:tc>
          <w:tcPr>
            <w:tcW w:type="dxa" w:w="2529"/>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各期限资产占基金资产净值的比例（</w:t>
            </w:r>
            <w:r w:rsidRPr="00A15461">
              <w:rPr>
                <w:color w:val="000000"/>
                <w:kern w:val="0"/>
                <w:sz w:val="24"/>
              </w:rPr>
              <w:t>%</w:t>
            </w:r>
            <w:r w:rsidRPr="00A15461">
              <w:rPr>
                <w:color w:val="000000"/>
                <w:kern w:val="0"/>
                <w:sz w:val="24"/>
              </w:rPr>
              <w:t>）</w:t>
            </w:r>
          </w:p>
        </w:tc>
        <w:tc>
          <w:tcPr>
            <w:tcW w:type="dxa" w:w="2431"/>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各期限负债占基金资产净值的比例（％）</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sz w:val="24"/>
              </w:rPr>
              <w:t>1</w:t>
            </w: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sz w:val="24"/>
              </w:rPr>
              <w:t>30</w:t>
            </w:r>
            <w:r w:rsidRPr="00A15461">
              <w:rPr>
                <w:color w:val="000000"/>
                <w:sz w:val="24"/>
              </w:rPr>
              <w:t>天以内</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47.44</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6.34</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sz w:val="24"/>
              </w:rPr>
              <w:t>其中：剩余存续期超过</w:t>
            </w:r>
            <w:r w:rsidRPr="00A15461">
              <w:rPr>
                <w:color w:val="000000"/>
                <w:sz w:val="24"/>
              </w:rPr>
              <w:t>397</w:t>
            </w:r>
            <w:r w:rsidRPr="00A15461">
              <w:rPr>
                <w:color w:val="000000"/>
                <w:sz w:val="24"/>
              </w:rPr>
              <w:t>天的浮动利率债</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r w:rsidRPr="00A15461">
              <w:rPr>
                <w:color w:val="000000"/>
                <w:sz w:val="24"/>
              </w:rPr>
              <w:t>2</w:t>
            </w: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sz w:val="24"/>
              </w:rPr>
              <w:t>30</w:t>
            </w:r>
            <w:r w:rsidRPr="00A15461">
              <w:rPr>
                <w:color w:val="000000"/>
                <w:sz w:val="24"/>
              </w:rPr>
              <w:t>天（含）</w:t>
            </w:r>
            <w:r w:rsidRPr="00A15461">
              <w:rPr>
                <w:color w:val="000000"/>
                <w:sz w:val="24"/>
              </w:rPr>
              <w:t>—60</w:t>
            </w:r>
            <w:r w:rsidRPr="00A15461">
              <w:rPr>
                <w:color w:val="000000"/>
                <w:sz w:val="24"/>
              </w:rPr>
              <w:t>天</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3.70</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sz w:val="24"/>
              </w:rPr>
              <w:t>其中：剩余存续期超过</w:t>
            </w:r>
            <w:r w:rsidRPr="00A15461">
              <w:rPr>
                <w:color w:val="000000"/>
                <w:sz w:val="24"/>
              </w:rPr>
              <w:t>397</w:t>
            </w:r>
            <w:r w:rsidRPr="00A15461">
              <w:rPr>
                <w:color w:val="000000"/>
                <w:sz w:val="24"/>
              </w:rPr>
              <w:t>天的浮动利率债</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r w:rsidRPr="00A15461">
              <w:rPr>
                <w:color w:val="000000"/>
                <w:sz w:val="24"/>
              </w:rPr>
              <w:t>3</w:t>
            </w: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sz w:val="24"/>
              </w:rPr>
            </w:pPr>
            <w:r w:rsidRPr="00A15461">
              <w:rPr>
                <w:color w:val="000000"/>
                <w:sz w:val="24"/>
              </w:rPr>
              <w:t>60</w:t>
            </w:r>
            <w:r w:rsidRPr="00A15461">
              <w:rPr>
                <w:color w:val="000000"/>
                <w:sz w:val="24"/>
              </w:rPr>
              <w:t>天（含）</w:t>
            </w:r>
            <w:r w:rsidRPr="00A15461">
              <w:rPr>
                <w:color w:val="000000"/>
                <w:sz w:val="24"/>
              </w:rPr>
              <w:t>—90</w:t>
            </w:r>
            <w:r w:rsidRPr="00A15461">
              <w:rPr>
                <w:color w:val="000000"/>
                <w:sz w:val="24"/>
              </w:rPr>
              <w:t>天</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
            </w:r>
            <w:r w:rsidRPr="00A15461">
              <w:rPr>
                <w:color w:val="000000"/>
                <w:sz w:val="24"/>
              </w:rPr>
              <w:lastRenderedPageBreak/>
              <w:t>25.23</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lastRenderedPageBreak/>
              <w:t/>
            </w:r>
            <w:r w:rsidRPr="00A15461">
              <w:rPr>
                <w:color w:val="000000"/>
                <w:sz w:val="24"/>
              </w:rPr>
              <w:lastRenderedPageBreak/>
              <w:t>-</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sz w:val="24"/>
              </w:rPr>
            </w:pPr>
            <w:r w:rsidRPr="00A15461">
              <w:rPr>
                <w:color w:val="000000"/>
                <w:sz w:val="24"/>
              </w:rPr>
              <w:t>其中：剩余存续期超过</w:t>
            </w:r>
            <w:r w:rsidRPr="00A15461">
              <w:rPr>
                <w:color w:val="000000"/>
                <w:sz w:val="24"/>
              </w:rPr>
              <w:t>397</w:t>
            </w:r>
            <w:r w:rsidRPr="00A15461">
              <w:rPr>
                <w:color w:val="000000"/>
                <w:sz w:val="24"/>
              </w:rPr>
              <w:t>天的浮动利率债</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E5550E" w:rsidRPr="0097021E" w:rsidTr="00C400D7">
        <w:tc>
          <w:tcPr>
            <w:tcW w:type="dxa" w:w="851"/>
            <w:vAlign w:val="center"/>
          </w:tcPr>
          <w:p w:rsidP="00196812" w:rsidR="00E5550E" w:rsidRDefault="00E5550E" w:rsidRPr="00A15461">
            <w:pPr>
              <w:autoSpaceDE w:val="0"/>
              <w:autoSpaceDN w:val="0"/>
              <w:adjustRightInd w:val="0"/>
              <w:spacing w:before="29" w:line="360" w:lineRule="auto"/>
              <w:ind w:left="15"/>
              <w:jc w:val="center"/>
              <w:rPr>
                <w:color w:val="000000"/>
                <w:sz w:val="24"/>
              </w:rPr>
            </w:pPr>
            <w:r w:rsidRPr="00A15461">
              <w:rPr>
                <w:color w:val="000000"/>
                <w:sz w:val="24"/>
              </w:rPr>
              <w:t>4</w:t>
            </w:r>
          </w:p>
        </w:tc>
        <w:tc>
          <w:tcPr>
            <w:tcW w:type="dxa" w:w="3351"/>
            <w:vAlign w:val="center"/>
          </w:tcPr>
          <w:p w:rsidP="009000E6" w:rsidR="00E5550E" w:rsidRDefault="00E5550E" w:rsidRPr="00E5550E">
            <w:pPr>
              <w:autoSpaceDE w:val="0"/>
              <w:autoSpaceDN w:val="0"/>
              <w:adjustRightInd w:val="0"/>
              <w:spacing w:before="29" w:line="360" w:lineRule="auto"/>
              <w:ind w:left="15"/>
              <w:jc w:val="left"/>
              <w:rPr>
                <w:rFonts w:eastAsiaTheme="minorEastAsia"/>
                <w:color w:themeColor="text1" w:val="000000"/>
                <w:sz w:val="24"/>
              </w:rPr>
            </w:pPr>
            <w:r w:rsidRPr="00E5550E">
              <w:rPr>
                <w:rFonts w:eastAsiaTheme="minorEastAsia"/>
                <w:color w:themeColor="text1" w:val="000000"/>
                <w:sz w:val="24"/>
              </w:rPr>
              <w:t>90</w:t>
            </w:r>
            <w:r w:rsidRPr="00E5550E">
              <w:rPr>
                <w:rFonts w:eastAsiaTheme="minorEastAsia"/>
                <w:color w:themeColor="text1" w:val="000000"/>
                <w:sz w:val="24"/>
              </w:rPr>
              <w:t>天（含）</w:t>
            </w:r>
            <w:r w:rsidRPr="00E5550E">
              <w:rPr>
                <w:rFonts w:eastAsiaTheme="minorEastAsia"/>
                <w:color w:themeColor="text1" w:val="000000"/>
                <w:sz w:val="24"/>
              </w:rPr>
              <w:t>—120</w:t>
            </w:r>
            <w:r w:rsidRPr="00E5550E">
              <w:rPr>
                <w:rFonts w:eastAsiaTheme="minorEastAsia"/>
                <w:color w:themeColor="text1" w:val="000000"/>
                <w:sz w:val="24"/>
              </w:rPr>
              <w:t>天</w:t>
            </w:r>
          </w:p>
        </w:tc>
        <w:tc>
          <w:tcPr>
            <w:tcW w:type="dxa" w:w="2529"/>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4.28</w:t>
            </w:r>
          </w:p>
        </w:tc>
        <w:tc>
          <w:tcPr>
            <w:tcW w:type="dxa" w:w="2431"/>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r>
      <w:tr w:rsidR="00E5550E" w:rsidRPr="0097021E" w:rsidTr="00C400D7">
        <w:tc>
          <w:tcPr>
            <w:tcW w:type="dxa" w:w="851"/>
            <w:vAlign w:val="center"/>
          </w:tcPr>
          <w:p w:rsidP="00196812" w:rsidR="00E5550E" w:rsidRDefault="00E5550E" w:rsidRPr="00A15461">
            <w:pPr>
              <w:autoSpaceDE w:val="0"/>
              <w:autoSpaceDN w:val="0"/>
              <w:adjustRightInd w:val="0"/>
              <w:spacing w:before="29" w:line="360" w:lineRule="auto"/>
              <w:ind w:left="15"/>
              <w:jc w:val="center"/>
              <w:rPr>
                <w:color w:val="000000"/>
                <w:sz w:val="24"/>
              </w:rPr>
            </w:pPr>
          </w:p>
        </w:tc>
        <w:tc>
          <w:tcPr>
            <w:tcW w:type="dxa" w:w="3351"/>
            <w:vAlign w:val="center"/>
          </w:tcPr>
          <w:p w:rsidP="009000E6" w:rsidR="00E5550E" w:rsidRDefault="00E5550E" w:rsidRPr="00E5550E">
            <w:pPr>
              <w:autoSpaceDE w:val="0"/>
              <w:autoSpaceDN w:val="0"/>
              <w:adjustRightInd w:val="0"/>
              <w:spacing w:before="29" w:line="360" w:lineRule="auto"/>
              <w:ind w:left="15"/>
              <w:jc w:val="left"/>
              <w:rPr>
                <w:rFonts w:eastAsiaTheme="minorEastAsia"/>
                <w:color w:themeColor="text1" w:val="000000"/>
                <w:sz w:val="24"/>
              </w:rPr>
            </w:pPr>
            <w:r w:rsidRPr="00E5550E">
              <w:rPr>
                <w:rFonts w:eastAsiaTheme="minorEastAsia"/>
                <w:color w:themeColor="text1" w:val="000000"/>
                <w:sz w:val="24"/>
              </w:rPr>
              <w:t>其中：剩余存续期超过</w:t>
            </w:r>
            <w:r w:rsidRPr="00E5550E">
              <w:rPr>
                <w:rFonts w:eastAsiaTheme="minorEastAsia"/>
                <w:color w:themeColor="text1" w:val="000000"/>
                <w:sz w:val="24"/>
              </w:rPr>
              <w:t>397</w:t>
            </w:r>
            <w:r w:rsidRPr="00E5550E">
              <w:rPr>
                <w:rFonts w:eastAsiaTheme="minorEastAsia"/>
                <w:color w:themeColor="text1" w:val="000000"/>
                <w:sz w:val="24"/>
              </w:rPr>
              <w:t>天的浮动利率债</w:t>
            </w:r>
          </w:p>
        </w:tc>
        <w:tc>
          <w:tcPr>
            <w:tcW w:type="dxa" w:w="2529"/>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c>
          <w:tcPr>
            <w:tcW w:type="dxa" w:w="2431"/>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r>
      <w:tr w:rsidR="00E5550E" w:rsidRPr="0097021E" w:rsidTr="00C400D7">
        <w:tc>
          <w:tcPr>
            <w:tcW w:type="dxa" w:w="851"/>
            <w:vAlign w:val="center"/>
          </w:tcPr>
          <w:p w:rsidP="00196812" w:rsidR="00E5550E" w:rsidRDefault="00E5550E" w:rsidRPr="00A15461">
            <w:pPr>
              <w:autoSpaceDE w:val="0"/>
              <w:autoSpaceDN w:val="0"/>
              <w:adjustRightInd w:val="0"/>
              <w:spacing w:before="29" w:line="360" w:lineRule="auto"/>
              <w:ind w:left="15"/>
              <w:jc w:val="center"/>
              <w:rPr>
                <w:color w:val="000000"/>
                <w:sz w:val="24"/>
              </w:rPr>
            </w:pPr>
            <w:r w:rsidRPr="00A15461">
              <w:rPr>
                <w:color w:val="000000"/>
                <w:sz w:val="24"/>
              </w:rPr>
              <w:t>5</w:t>
            </w:r>
          </w:p>
        </w:tc>
        <w:tc>
          <w:tcPr>
            <w:tcW w:type="dxa" w:w="3351"/>
            <w:vAlign w:val="center"/>
          </w:tcPr>
          <w:p w:rsidP="009000E6" w:rsidR="00E5550E" w:rsidRDefault="00E5550E" w:rsidRPr="00E5550E">
            <w:pPr>
              <w:autoSpaceDE w:val="0"/>
              <w:autoSpaceDN w:val="0"/>
              <w:adjustRightInd w:val="0"/>
              <w:spacing w:before="29" w:line="360" w:lineRule="auto"/>
              <w:ind w:left="15"/>
              <w:jc w:val="left"/>
              <w:rPr>
                <w:rFonts w:eastAsiaTheme="minorEastAsia"/>
                <w:color w:themeColor="text1" w:val="000000"/>
                <w:sz w:val="24"/>
              </w:rPr>
            </w:pPr>
            <w:r w:rsidRPr="00E5550E">
              <w:rPr>
                <w:rFonts w:eastAsiaTheme="minorEastAsia"/>
                <w:color w:themeColor="text1" w:val="000000"/>
                <w:sz w:val="24"/>
              </w:rPr>
              <w:t>120</w:t>
            </w:r>
            <w:r w:rsidRPr="00E5550E">
              <w:rPr>
                <w:rFonts w:eastAsiaTheme="minorEastAsia"/>
                <w:color w:themeColor="text1" w:val="000000"/>
                <w:sz w:val="24"/>
              </w:rPr>
              <w:t>天（含）</w:t>
            </w:r>
            <w:r w:rsidRPr="00E5550E">
              <w:rPr>
                <w:rFonts w:eastAsiaTheme="minorEastAsia"/>
                <w:color w:themeColor="text1" w:val="000000"/>
                <w:sz w:val="24"/>
              </w:rPr>
              <w:t>—397</w:t>
            </w:r>
            <w:r w:rsidRPr="00E5550E">
              <w:rPr>
                <w:rFonts w:eastAsiaTheme="minorEastAsia"/>
                <w:color w:themeColor="text1" w:val="000000"/>
                <w:sz w:val="24"/>
              </w:rPr>
              <w:t>天（含）</w:t>
            </w:r>
          </w:p>
        </w:tc>
        <w:tc>
          <w:tcPr>
            <w:tcW w:type="dxa" w:w="2529"/>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25.49</w:t>
            </w:r>
          </w:p>
        </w:tc>
        <w:tc>
          <w:tcPr>
            <w:tcW w:type="dxa" w:w="2431"/>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r>
      <w:tr w:rsidR="00E5550E" w:rsidRPr="0097021E" w:rsidTr="00C400D7">
        <w:tc>
          <w:tcPr>
            <w:tcW w:type="dxa" w:w="851"/>
            <w:vAlign w:val="center"/>
          </w:tcPr>
          <w:p w:rsidP="00196812" w:rsidR="00E5550E" w:rsidRDefault="00E5550E" w:rsidRPr="00A15461">
            <w:pPr>
              <w:autoSpaceDE w:val="0"/>
              <w:autoSpaceDN w:val="0"/>
              <w:adjustRightInd w:val="0"/>
              <w:spacing w:before="29" w:line="360" w:lineRule="auto"/>
              <w:ind w:left="15"/>
              <w:jc w:val="center"/>
              <w:rPr>
                <w:color w:val="000000"/>
                <w:sz w:val="24"/>
              </w:rPr>
            </w:pPr>
          </w:p>
        </w:tc>
        <w:tc>
          <w:tcPr>
            <w:tcW w:type="dxa" w:w="3351"/>
            <w:vAlign w:val="center"/>
          </w:tcPr>
          <w:p w:rsidP="009000E6" w:rsidR="00E5550E" w:rsidRDefault="00E5550E" w:rsidRPr="00E5550E">
            <w:pPr>
              <w:autoSpaceDE w:val="0"/>
              <w:autoSpaceDN w:val="0"/>
              <w:adjustRightInd w:val="0"/>
              <w:spacing w:before="29" w:line="360" w:lineRule="auto"/>
              <w:ind w:left="15"/>
              <w:jc w:val="left"/>
              <w:rPr>
                <w:rFonts w:eastAsiaTheme="minorEastAsia"/>
                <w:color w:themeColor="text1" w:val="000000"/>
                <w:sz w:val="24"/>
              </w:rPr>
            </w:pPr>
            <w:r w:rsidRPr="00E5550E">
              <w:rPr>
                <w:rFonts w:eastAsiaTheme="minorEastAsia"/>
                <w:color w:themeColor="text1" w:val="000000"/>
                <w:sz w:val="24"/>
              </w:rPr>
              <w:t>其中：剩余存续期超过</w:t>
            </w:r>
            <w:r w:rsidRPr="00E5550E">
              <w:rPr>
                <w:rFonts w:eastAsiaTheme="minorEastAsia"/>
                <w:color w:themeColor="text1" w:val="000000"/>
                <w:sz w:val="24"/>
              </w:rPr>
              <w:t>397</w:t>
            </w:r>
            <w:r w:rsidRPr="00E5550E">
              <w:rPr>
                <w:rFonts w:eastAsiaTheme="minorEastAsia"/>
                <w:color w:themeColor="text1" w:val="000000"/>
                <w:sz w:val="24"/>
              </w:rPr>
              <w:t>天的浮动利率债</w:t>
            </w:r>
          </w:p>
        </w:tc>
        <w:tc>
          <w:tcPr>
            <w:tcW w:type="dxa" w:w="2529"/>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c>
          <w:tcPr>
            <w:tcW w:type="dxa" w:w="2431"/>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r>
      <w:tr w:rsidR="004B40EC" w:rsidRPr="0097021E" w:rsidTr="00C400D7">
        <w:tc>
          <w:tcPr>
            <w:tcW w:type="dxa" w:w="4202"/>
            <w:gridSpan w:val="2"/>
            <w:vAlign w:val="center"/>
          </w:tcPr>
          <w:p w:rsidP="00196812" w:rsidR="004B40EC" w:rsidRDefault="004B40EC" w:rsidRPr="004B40EC">
            <w:pPr>
              <w:autoSpaceDE w:val="0"/>
              <w:autoSpaceDN w:val="0"/>
              <w:adjustRightInd w:val="0"/>
              <w:spacing w:before="29" w:line="360" w:lineRule="auto"/>
              <w:ind w:left="15"/>
              <w:jc w:val="center"/>
              <w:rPr>
                <w:color w:val="000000"/>
                <w:sz w:val="24"/>
              </w:rPr>
            </w:pPr>
            <w:r w:rsidRPr="004B40EC">
              <w:rPr>
                <w:color w:val="000000"/>
                <w:sz w:val="24"/>
              </w:rPr>
              <w:lastRenderedPageBreak/>
              <w:t>合计</w:t>
            </w:r>
          </w:p>
        </w:tc>
        <w:tc>
          <w:tcPr>
            <w:tcW w:type="dxa" w:w="2529"/>
            <w:vAlign w:val="center"/>
          </w:tcPr>
          <w:p w:rsidP="007C1713" w:rsidR="004B40EC" w:rsidRDefault="004B40EC" w:rsidRPr="004B40EC">
            <w:pPr>
              <w:autoSpaceDE w:val="0"/>
              <w:autoSpaceDN w:val="0"/>
              <w:adjustRightInd w:val="0"/>
              <w:spacing w:before="29" w:line="360" w:lineRule="auto"/>
              <w:ind w:left="15"/>
              <w:jc w:val="right"/>
              <w:rPr>
                <w:rFonts w:eastAsiaTheme="minorEastAsia"/>
                <w:color w:themeColor="text1" w:val="000000"/>
                <w:kern w:val="0"/>
                <w:sz w:val="24"/>
              </w:rPr>
            </w:pPr>
            <w:r w:rsidRPr="004B40EC">
              <w:rPr>
                <w:rFonts w:eastAsiaTheme="minorEastAsia"/>
                <w:color w:themeColor="text1" w:val="000000"/>
                <w:sz w:val="24"/>
              </w:rPr>
              <w:t/>
            </w:r>
            <w:proofErr w:type="spellStart"/>
            <w:r w:rsidRPr="004B40EC">
              <w:rPr>
                <w:rFonts w:eastAsiaTheme="minorEastAsia"/>
                <w:color w:themeColor="text1" w:val="000000"/>
                <w:sz w:val="24"/>
              </w:rPr>
              <w:t/>
            </w:r>
            <w:proofErr w:type="spellEnd"/>
            <w:r w:rsidRPr="004B40EC">
              <w:rPr>
                <w:rFonts w:eastAsiaTheme="minorEastAsia"/>
                <w:color w:themeColor="text1" w:val="000000"/>
                <w:sz w:val="24"/>
              </w:rPr>
              <w:t>106.14</w:t>
            </w:r>
          </w:p>
        </w:tc>
        <w:tc>
          <w:tcPr>
            <w:tcW w:type="dxa" w:w="2431"/>
            <w:vAlign w:val="center"/>
          </w:tcPr>
          <w:p w:rsidP="007C1713" w:rsidR="004B40EC" w:rsidRDefault="004B40EC" w:rsidRPr="004B40EC">
            <w:pPr>
              <w:autoSpaceDE w:val="0"/>
              <w:autoSpaceDN w:val="0"/>
              <w:adjustRightInd w:val="0"/>
              <w:spacing w:before="29" w:line="360" w:lineRule="auto"/>
              <w:ind w:left="15"/>
              <w:jc w:val="right"/>
              <w:rPr>
                <w:rFonts w:eastAsiaTheme="minorEastAsia"/>
                <w:color w:themeColor="text1" w:val="000000"/>
                <w:kern w:val="0"/>
                <w:sz w:val="24"/>
              </w:rPr>
            </w:pPr>
            <w:r w:rsidRPr="004B40EC">
              <w:rPr>
                <w:rFonts w:eastAsiaTheme="minorEastAsia"/>
                <w:color w:themeColor="text1" w:val="000000"/>
                <w:sz w:val="24"/>
              </w:rPr>
              <w:t/>
            </w:r>
            <w:proofErr w:type="spellStart"/>
            <w:r w:rsidRPr="004B40EC">
              <w:rPr>
                <w:rFonts w:eastAsiaTheme="minorEastAsia"/>
                <w:color w:themeColor="text1" w:val="000000"/>
                <w:sz w:val="24"/>
              </w:rPr>
              <w:t/>
            </w:r>
            <w:proofErr w:type="spellEnd"/>
            <w:r w:rsidRPr="004B40EC">
              <w:rPr>
                <w:rFonts w:eastAsiaTheme="minorEastAsia"/>
                <w:color w:themeColor="text1" w:val="000000"/>
                <w:sz w:val="24"/>
              </w:rPr>
              <w:t>6.34</w:t>
            </w:r>
          </w:p>
        </w:tc>
      </w:tr>
    </w:tbl>
    <w:p w:rsidP="004B40EC" w:rsidR="004B40EC" w:rsidRDefault="004B40EC" w:rsidRPr="003025FA">
      <w:pPr>
        <w:spacing w:line="360" w:lineRule="auto"/>
        <w:rPr>
          <w:rFonts w:asciiTheme="minorEastAsia" w:cs="Arial" w:eastAsiaTheme="minorEastAsia" w:hAnsiTheme="minorEastAsia"/>
          <w:b/>
          <w:color w:themeColor="text1" w:val="000000"/>
          <w:kern w:val="0"/>
          <w:sz w:val="24"/>
        </w:rPr>
      </w:pPr>
      <w:r>
        <w:rPr>
          <w:rFonts w:asciiTheme="minorEastAsia" w:cs="Arial" w:eastAsiaTheme="minorEastAsia" w:hAnsiTheme="minorEastAsia" w:hint="eastAsia"/>
          <w:b/>
          <w:color w:themeColor="text1" w:val="000000"/>
          <w:kern w:val="0"/>
          <w:sz w:val="24"/>
        </w:rPr>
        <w:t>5.4</w:t>
      </w:r>
      <w:r>
        <w:rPr>
          <w:rFonts w:ascii="宋体" w:hAnsi="宋体" w:hint="eastAsia"/>
          <w:b/>
          <w:color w:val="000000"/>
          <w:sz w:val="24"/>
        </w:rPr>
        <w:t>报告期内投资组合平均剩余存续期超过240天情况说明</w:t>
      </w:r>
    </w:p>
    <w:p w:rsidP="00A15461" w:rsidR="004B40EC" w:rsidRDefault="004B40EC" w:rsidRPr="004B40EC">
      <w:pPr>
        <w:adjustRightInd w:val="0"/>
        <w:spacing w:line="360" w:lineRule="auto"/>
        <w:ind w:firstLine="480" w:firstLineChars="200"/>
        <w:rPr>
          <w:color w:val="000000"/>
          <w:sz w:val="24"/>
        </w:rPr>
      </w:pPr>
      <w:r w:rsidRPr="004B40EC">
        <w:rPr>
          <w:rFonts w:eastAsiaTheme="minorEastAsia"/>
          <w:color w:themeColor="text1" w:val="000000"/>
          <w:sz w:val="24"/>
        </w:rPr>
        <w:t>本报告期内本货币市场基金投资组合平均剩余存续期未超过240天。</w:t>
      </w:r>
    </w:p>
    <w:p w:rsidP="006B01A5" w:rsidR="006B01A5" w:rsidRDefault="00941F6C" w:rsidRPr="00A370A1">
      <w:pPr>
        <w:spacing w:line="360" w:lineRule="auto"/>
        <w:rPr>
          <w:rFonts w:eastAsiaTheme="minorEastAsia"/>
          <w:b/>
          <w:color w:themeColor="text1" w:val="000000"/>
          <w:kern w:val="0"/>
          <w:sz w:val="24"/>
        </w:rPr>
      </w:pPr>
      <w:r w:rsidRPr="0097021E">
        <w:rPr>
          <w:rFonts w:ascii="宋体" w:cs="Arial" w:hAnsi="宋体"/>
          <w:b/>
          <w:color w:val="000000"/>
          <w:kern w:val="0"/>
          <w:sz w:val="24"/>
        </w:rPr>
        <w:t>5.</w:t>
      </w:r>
      <w:r w:rsidR="004B40EC">
        <w:rPr>
          <w:rFonts w:ascii="宋体" w:cs="Arial" w:hAnsi="宋体" w:hint="eastAsia"/>
          <w:b/>
          <w:color w:val="000000"/>
          <w:kern w:val="0"/>
          <w:sz w:val="24"/>
        </w:rPr>
        <w:t>5</w:t>
      </w:r>
      <w:r w:rsidRPr="0097021E">
        <w:rPr>
          <w:rFonts w:ascii="宋体" w:cs="Arial" w:hAnsi="宋体"/>
          <w:b/>
          <w:color w:val="000000"/>
          <w:kern w:val="0"/>
          <w:sz w:val="24"/>
        </w:rPr>
        <w:t xml:space="preserve"> </w:t>
      </w:r>
      <w:r w:rsidRPr="0097021E">
        <w:rPr>
          <w:rFonts w:ascii="宋体" w:cs="Arial" w:hAnsi="宋体" w:hint="eastAsia"/>
          <w:b/>
          <w:color w:val="000000"/>
          <w:kern w:val="0"/>
          <w:sz w:val="24"/>
        </w:rPr>
        <w:t>报告期末按债券品种分类的债券投资组合</w:t>
      </w:r>
    </w:p>
    <w:tbl>
      <w:tblPr>
        <w:tblW w:type="dxa" w:w="9322"/>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3261"/>
        <w:gridCol w:w="1984"/>
      </w:tblGrid>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序号</w:t>
            </w:r>
          </w:p>
        </w:tc>
        <w:tc>
          <w:tcPr>
            <w:tcW w:type="dxa" w:w="3260"/>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债券品种</w:t>
            </w: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
            </w:r>
          </w:p>
        </w:tc>
        <w:tc>
          <w:tcPr>
            <w:tcW w:type="dxa" w:w="3261"/>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摊余成本（元）</w:t>
            </w:r>
          </w:p>
        </w:tc>
        <w:tc>
          <w:tcPr>
            <w:tcW w:type="dxa" w:w="1984"/>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占基金资产净值比例</w:t>
            </w:r>
            <w:r w:rsidRPr="00A370A1">
              <w:rPr>
                <w:rFonts w:eastAsiaTheme="minorEastAsia"/>
                <w:color w:themeColor="text1" w:val="000000"/>
                <w:sz w:val="24"/>
              </w:rPr>
              <w:t>(</w:t>
            </w:r>
            <w:r w:rsidRPr="00A370A1">
              <w:rPr>
                <w:rFonts w:eastAsiaTheme="minorEastAsia"/>
                <w:color w:themeColor="text1" w:val="000000"/>
                <w:sz w:val="24"/>
              </w:rPr>
              <w:t>％</w:t>
            </w:r>
            <w:r w:rsidRPr="00A370A1">
              <w:rPr>
                <w:rFonts w:eastAsiaTheme="minorEastAsia"/>
                <w:color w:themeColor="text1" w:val="000000"/>
                <w:sz w:val="24"/>
              </w:rPr>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1</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国家债券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9,965,599.68</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0.12</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2</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央行票据</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r w:rsidRPr="00A370A1">
              <w:rPr>
                <w:rFonts w:eastAsiaTheme="minorEastAsia"/>
                <w:color w:themeColor="text1" w:val="000000"/>
                <w:sz w:val="24"/>
              </w:rPr>
              <w:lastRenderedPageBreak/>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lastRenderedPageBreak/>
              <w:t>3</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金融债券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853,261,404.09</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10.17</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其中：政策性金融债</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413,255,153.72</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4.93</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4</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企业债券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5</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企业短期融资券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360,266,214.33</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4.30</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6</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中期票据</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221,522,794.50</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r w:rsidRPr="00A370A1">
              <w:rPr>
                <w:rFonts w:eastAsiaTheme="minorEastAsia"/>
                <w:color w:themeColor="text1" w:val="000000"/>
                <w:sz w:val="24"/>
              </w:rPr>
              <w:lastRenderedPageBreak/>
              <w:t>2.64</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lastRenderedPageBreak/>
              <w:t>7</w:t>
            </w:r>
          </w:p>
        </w:tc>
        <w:tc>
          <w:tcPr>
            <w:tcW w:type="dxa" w:w="3260"/>
            <w:vAlign w:val="center"/>
          </w:tcPr>
          <w:p w:rsidP="00735A6C" w:rsidR="006B01A5" w:rsidRDefault="006B01A5" w:rsidRPr="00A370A1">
            <w:pPr>
              <w:spacing w:before="29" w:line="360" w:lineRule="auto"/>
              <w:ind w:left="17"/>
              <w:jc w:val="left"/>
              <w:rPr>
                <w:rFonts w:eastAsiaTheme="minorEastAsia"/>
                <w:color w:themeColor="text1" w:val="000000"/>
                <w:sz w:val="24"/>
              </w:rPr>
            </w:pPr>
            <w:r w:rsidRPr="00A370A1">
              <w:rPr>
                <w:rFonts w:eastAsiaTheme="minorEastAsia"/>
                <w:color w:themeColor="text1" w:val="000000"/>
                <w:sz w:val="24"/>
              </w:rPr>
              <w:t>同业存单</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1,138,568,389.08</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13.58</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8</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其他</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9</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合计</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2,583,584,401.68</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30.81</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10</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剩余存续期超过</w:t>
            </w:r>
            <w:r w:rsidRPr="00A370A1">
              <w:rPr>
                <w:rFonts w:eastAsiaTheme="minorEastAsia"/>
                <w:color w:themeColor="text1" w:val="000000"/>
                <w:sz w:val="24"/>
              </w:rPr>
              <w:t>397</w:t>
            </w:r>
            <w:r w:rsidRPr="00A370A1">
              <w:rPr>
                <w:rFonts w:eastAsiaTheme="minorEastAsia"/>
                <w:color w:themeColor="text1" w:val="000000"/>
                <w:sz w:val="24"/>
              </w:rPr>
              <w:t>天的浮动利率债券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r w:rsidRPr="00A370A1">
              <w:rPr>
                <w:rFonts w:eastAsiaTheme="minorEastAsia"/>
                <w:color w:themeColor="text1" w:val="000000"/>
                <w:sz w:val="24"/>
              </w:rPr>
              <w:lastRenderedPageBreak/>
              <w:t>-</w:t>
            </w:r>
          </w:p>
        </w:tc>
      </w:tr>
    </w:tbl>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4B40EC">
        <w:rPr>
          <w:rFonts w:ascii="宋体" w:cs="Arial" w:hAnsi="宋体" w:hint="eastAsia"/>
          <w:b/>
          <w:color w:val="000000"/>
          <w:kern w:val="0"/>
          <w:sz w:val="24"/>
        </w:rPr>
        <w:t>6</w:t>
      </w:r>
      <w:r w:rsidRPr="0097021E">
        <w:rPr>
          <w:rFonts w:ascii="宋体" w:cs="Arial" w:hAnsi="宋体"/>
          <w:b/>
          <w:color w:val="000000"/>
          <w:kern w:val="0"/>
          <w:sz w:val="24"/>
        </w:rPr>
        <w:t xml:space="preserve"> </w:t>
      </w:r>
      <w:r w:rsidR="00DA133F">
        <w:rPr>
          <w:rFonts w:ascii="宋体" w:cs="Arial" w:hAnsi="宋体" w:hint="eastAsia"/>
          <w:b/>
          <w:color w:val="000000"/>
          <w:kern w:val="0"/>
          <w:sz w:val="24"/>
        </w:rPr>
        <w:t>报告期末按摊余成本占基金资产净值比例大小排名</w:t>
      </w:r>
      <w:r w:rsidRPr="0097021E">
        <w:rPr>
          <w:rFonts w:ascii="宋体" w:cs="Arial" w:hAnsi="宋体" w:hint="eastAsia"/>
          <w:b/>
          <w:color w:val="000000"/>
          <w:kern w:val="0"/>
          <w:sz w:val="24"/>
        </w:rPr>
        <w:t>的前十名债券投资明细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403"/>
        <w:gridCol w:w="1404"/>
        <w:gridCol w:w="1404"/>
        <w:gridCol w:w="1692"/>
        <w:gridCol w:w="1692"/>
        <w:gridCol w:w="1692"/>
      </w:tblGrid>
      <w:tr w:rsidR="00941F6C" w:rsidRPr="0097021E" w:rsidTr="00CA7D55">
        <w:tc>
          <w:tcPr>
            <w:tcW w:type="dxa" w:w="1547"/>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序号</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债券代码</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债券名称</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债券数量</w:t>
            </w:r>
          </w:p>
          <w:p w:rsidP="00DC22A1" w:rsidR="00941F6C" w:rsidRDefault="00DC22A1"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（张）</w:t>
            </w:r>
          </w:p>
        </w:tc>
        <w:tc>
          <w:tcPr>
            <w:tcW w:type="dxa" w:w="1548"/>
            <w:vAlign w:val="center"/>
          </w:tcPr>
          <w:p w:rsidP="00DC22A1"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摊余成本</w:t>
            </w:r>
            <w:r w:rsidR="00DC22A1" w:rsidRPr="00A15461">
              <w:rPr>
                <w:color w:val="000000"/>
                <w:kern w:val="0"/>
                <w:sz w:val="24"/>
              </w:rPr>
              <w:t>（元）</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200401</w:t>
            </w:r>
          </w:p>
        </w:tc>
        <w:tc>
          <w:tcPr>
            <w:vAlign w:val="center"/>
          </w:tcPr>
          <w:p>
            <w:pPr>
              <w:jc w:val="center"/>
            </w:pPr>
            <w:r>
              <w:rPr>
                <w:color w:val="000000"/>
                <w:sz w:val="24"/>
              </w:rPr>
              <w:t>20农发01</w:t>
            </w:r>
          </w:p>
        </w:tc>
        <w:tc>
          <w:tcPr>
            <w:vAlign w:val="center"/>
          </w:tcPr>
          <w:p>
            <w:pPr>
              <w:jc w:val="right"/>
            </w:pPr>
            <w:r>
              <w:rPr>
                <w:color w:val="000000"/>
                <w:sz w:val="24"/>
              </w:rPr>
              <w:t>2,000,000</w:t>
            </w:r>
          </w:p>
        </w:tc>
        <w:tc>
          <w:tcPr>
            <w:vAlign w:val="center"/>
          </w:tcPr>
          <w:p>
            <w:pPr>
              <w:jc w:val="right"/>
            </w:pPr>
            <w:r>
              <w:rPr>
                <w:color w:val="000000"/>
                <w:sz w:val="24"/>
              </w:rPr>
              <w:t>200,660,913.75</w:t>
            </w:r>
          </w:p>
        </w:tc>
        <w:tc>
          <w:tcPr>
            <w:vAlign w:val="center"/>
          </w:tcPr>
          <w:p>
            <w:pPr>
              <w:jc w:val="right"/>
            </w:pPr>
            <w:r>
              <w:rPr>
                <w:color w:val="000000"/>
                <w:sz w:val="24"/>
              </w:rPr>
              <w:t>2.39</w:t>
            </w:r>
          </w:p>
        </w:tc>
      </w:tr>
      <w:tr>
        <w:tc>
          <w:tcPr>
            <w:vAlign w:val="center"/>
          </w:tcPr>
          <w:p>
            <w:pPr>
              <w:jc w:val="center"/>
            </w:pPr>
            <w:r>
              <w:rPr>
                <w:color w:val="000000"/>
                <w:sz w:val="24"/>
              </w:rPr>
              <w:t>2</w:t>
            </w:r>
          </w:p>
        </w:tc>
        <w:tc>
          <w:tcPr>
            <w:vAlign w:val="center"/>
          </w:tcPr>
          <w:p>
            <w:pPr>
              <w:jc w:val="center"/>
            </w:pPr>
            <w:r>
              <w:rPr>
                <w:color w:val="000000"/>
                <w:sz w:val="24"/>
              </w:rPr>
              <w:t>112016060</w:t>
            </w:r>
          </w:p>
        </w:tc>
        <w:tc>
          <w:tcPr>
            <w:vAlign w:val="center"/>
          </w:tcPr>
          <w:p>
            <w:pPr>
              <w:jc w:val="center"/>
            </w:pPr>
            <w:r>
              <w:rPr>
                <w:color w:val="000000"/>
                <w:sz w:val="24"/>
              </w:rPr>
              <w:t>20上海银行CD060</w:t>
            </w:r>
          </w:p>
        </w:tc>
        <w:tc>
          <w:tcPr>
            <w:vAlign w:val="center"/>
          </w:tcPr>
          <w:p>
            <w:pPr>
              <w:jc w:val="right"/>
            </w:pPr>
            <w:r>
              <w:rPr>
                <w:color w:val="000000"/>
                <w:sz w:val="24"/>
              </w:rPr>
              <w:t>2,000,000</w:t>
            </w:r>
          </w:p>
        </w:tc>
        <w:tc>
          <w:tcPr>
            <w:vAlign w:val="center"/>
          </w:tcPr>
          <w:p>
            <w:pPr>
              <w:jc w:val="right"/>
            </w:pPr>
            <w:r>
              <w:rPr>
                <w:color w:val="000000"/>
                <w:sz w:val="24"/>
              </w:rPr>
              <w:t>199,045,190.03</w:t>
            </w:r>
          </w:p>
        </w:tc>
        <w:tc>
          <w:tcPr>
            <w:vAlign w:val="center"/>
          </w:tcPr>
          <w:p>
            <w:pPr>
              <w:jc w:val="right"/>
            </w:pPr>
            <w:r>
              <w:rPr>
                <w:color w:val="000000"/>
                <w:sz w:val="24"/>
              </w:rPr>
              <w:t>2.37</w:t>
            </w:r>
          </w:p>
        </w:tc>
      </w:tr>
      <w:tr>
        <w:tc>
          <w:tcPr>
            <w:vAlign w:val="center"/>
          </w:tcPr>
          <w:p>
            <w:pPr>
              <w:jc w:val="center"/>
            </w:pPr>
            <w:r>
              <w:rPr>
                <w:color w:val="000000"/>
                <w:sz w:val="24"/>
              </w:rPr>
              <w:t>3</w:t>
            </w:r>
          </w:p>
        </w:tc>
        <w:tc>
          <w:tcPr>
            <w:vAlign w:val="center"/>
          </w:tcPr>
          <w:p>
            <w:pPr>
              <w:jc w:val="center"/>
            </w:pPr>
            <w:r>
              <w:rPr>
                <w:color w:val="000000"/>
                <w:sz w:val="24"/>
              </w:rPr>
              <w:t>112018183</w:t>
            </w:r>
          </w:p>
        </w:tc>
        <w:tc>
          <w:tcPr>
            <w:vAlign w:val="center"/>
          </w:tcPr>
          <w:p>
            <w:pPr>
              <w:jc w:val="center"/>
            </w:pPr>
            <w:r>
              <w:rPr>
                <w:color w:val="000000"/>
                <w:sz w:val="24"/>
              </w:rPr>
              <w:t>20华夏银行CD183</w:t>
            </w:r>
          </w:p>
        </w:tc>
        <w:tc>
          <w:tcPr>
            <w:vAlign w:val="center"/>
          </w:tcPr>
          <w:p>
            <w:pPr>
              <w:jc w:val="right"/>
            </w:pPr>
            <w:r>
              <w:rPr>
                <w:color w:val="000000"/>
                <w:sz w:val="24"/>
              </w:rPr>
              <w:t>2,000,000</w:t>
            </w:r>
          </w:p>
        </w:tc>
        <w:tc>
          <w:tcPr>
            <w:vAlign w:val="center"/>
          </w:tcPr>
          <w:p>
            <w:pPr>
              <w:jc w:val="right"/>
            </w:pPr>
            <w:r>
              <w:rPr>
                <w:color w:val="000000"/>
                <w:sz w:val="24"/>
              </w:rPr>
              <w:t>198,933,539.10</w:t>
            </w:r>
          </w:p>
        </w:tc>
        <w:tc>
          <w:tcPr>
            <w:vAlign w:val="center"/>
          </w:tcPr>
          <w:p>
            <w:pPr>
              <w:jc w:val="right"/>
            </w:pPr>
            <w:r>
              <w:rPr>
                <w:color w:val="000000"/>
                <w:sz w:val="24"/>
              </w:rPr>
              <w:t>2.37</w:t>
            </w:r>
          </w:p>
        </w:tc>
      </w:tr>
      <w:tr>
        <w:tc>
          <w:tcPr>
            <w:vAlign w:val="center"/>
          </w:tcPr>
          <w:p>
            <w:pPr>
              <w:jc w:val="center"/>
            </w:pPr>
            <w:r>
              <w:rPr>
                <w:color w:val="000000"/>
                <w:sz w:val="24"/>
              </w:rPr>
              <w:t>4</w:t>
            </w:r>
          </w:p>
        </w:tc>
        <w:tc>
          <w:tcPr>
            <w:vAlign w:val="center"/>
          </w:tcPr>
          <w:p>
            <w:pPr>
              <w:jc w:val="center"/>
            </w:pPr>
            <w:r>
              <w:rPr>
                <w:color w:val="000000"/>
                <w:sz w:val="24"/>
              </w:rPr>
              <w:t>112008051</w:t>
            </w:r>
          </w:p>
        </w:tc>
        <w:tc>
          <w:tcPr>
            <w:vAlign w:val="center"/>
          </w:tcPr>
          <w:p>
            <w:pPr>
              <w:jc w:val="center"/>
            </w:pPr>
            <w:r>
              <w:rPr>
                <w:color w:val="000000"/>
                <w:sz w:val="24"/>
              </w:rPr>
              <w:t>20中信银行CD051</w:t>
            </w:r>
          </w:p>
        </w:tc>
        <w:tc>
          <w:tcPr>
            <w:vAlign w:val="center"/>
          </w:tcPr>
          <w:p>
            <w:pPr>
              <w:jc w:val="right"/>
            </w:pPr>
            <w:r>
              <w:rPr>
                <w:color w:val="000000"/>
                <w:sz w:val="24"/>
              </w:rPr>
              <w:t>1,500,000</w:t>
            </w:r>
          </w:p>
        </w:tc>
        <w:tc>
          <w:tcPr>
            <w:vAlign w:val="center"/>
          </w:tcPr>
          <w:p>
            <w:pPr>
              <w:jc w:val="right"/>
            </w:pPr>
            <w:r>
              <w:rPr>
                <w:color w:val="000000"/>
                <w:sz w:val="24"/>
              </w:rPr>
              <w:t>149,175,179.83</w:t>
            </w:r>
          </w:p>
        </w:tc>
        <w:tc>
          <w:tcPr>
            <w:vAlign w:val="center"/>
          </w:tcPr>
          <w:p>
            <w:pPr>
              <w:jc w:val="right"/>
            </w:pPr>
            <w:r>
              <w:rPr>
                <w:color w:val="000000"/>
                <w:sz w:val="24"/>
              </w:rPr>
              <w:t>1.78</w:t>
            </w:r>
          </w:p>
        </w:tc>
      </w:tr>
      <w:tr>
        <w:tc>
          <w:tcPr>
            <w:vAlign w:val="center"/>
          </w:tcPr>
          <w:p>
            <w:pPr>
              <w:jc w:val="center"/>
            </w:pPr>
            <w:r>
              <w:rPr>
                <w:color w:val="000000"/>
                <w:sz w:val="24"/>
              </w:rPr>
              <w:t>5</w:t>
            </w:r>
          </w:p>
        </w:tc>
        <w:tc>
          <w:tcPr>
            <w:vAlign w:val="center"/>
          </w:tcPr>
          <w:p>
            <w:pPr>
              <w:jc w:val="center"/>
            </w:pPr>
            <w:r>
              <w:rPr>
                <w:color w:val="000000"/>
                <w:sz w:val="24"/>
              </w:rPr>
              <w:t>072000164</w:t>
            </w:r>
          </w:p>
        </w:tc>
        <w:tc>
          <w:tcPr>
            <w:vAlign w:val="center"/>
          </w:tcPr>
          <w:p>
            <w:pPr>
              <w:jc w:val="center"/>
            </w:pPr>
            <w:r>
              <w:rPr>
                <w:color w:val="000000"/>
                <w:sz w:val="24"/>
              </w:rPr>
              <w:t>20银河证券CP007</w:t>
            </w:r>
          </w:p>
        </w:tc>
        <w:tc>
          <w:tcPr>
            <w:vAlign w:val="center"/>
          </w:tcPr>
          <w:p>
            <w:pPr>
              <w:jc w:val="right"/>
            </w:pPr>
            <w:r>
              <w:rPr>
                <w:color w:val="000000"/>
                <w:sz w:val="24"/>
              </w:rPr>
              <w:t>1,200,000</w:t>
            </w:r>
          </w:p>
        </w:tc>
        <w:tc>
          <w:tcPr>
            <w:vAlign w:val="center"/>
          </w:tcPr>
          <w:p>
            <w:pPr>
              <w:jc w:val="right"/>
            </w:pPr>
            <w:r>
              <w:rPr>
                <w:color w:val="000000"/>
                <w:sz w:val="24"/>
              </w:rPr>
              <w:t>120,001,722.51</w:t>
            </w:r>
          </w:p>
        </w:tc>
        <w:tc>
          <w:tcPr>
            <w:vAlign w:val="center"/>
          </w:tcPr>
          <w:p>
            <w:pPr>
              <w:jc w:val="right"/>
            </w:pPr>
            <w:r>
              <w:rPr>
                <w:color w:val="000000"/>
                <w:sz w:val="24"/>
              </w:rPr>
              <w:t>1.43</w:t>
            </w:r>
          </w:p>
        </w:tc>
      </w:tr>
      <w:tr>
        <w:tc>
          <w:tcPr>
            <w:vAlign w:val="center"/>
          </w:tcPr>
          <w:p>
            <w:pPr>
              <w:jc w:val="center"/>
            </w:pPr>
            <w:r>
              <w:rPr>
                <w:color w:val="000000"/>
                <w:sz w:val="24"/>
              </w:rPr>
              <w:t>6</w:t>
            </w:r>
          </w:p>
        </w:tc>
        <w:tc>
          <w:tcPr>
            <w:vAlign w:val="center"/>
          </w:tcPr>
          <w:p>
            <w:pPr>
              <w:jc w:val="center"/>
            </w:pPr>
            <w:r>
              <w:rPr>
                <w:color w:val="000000"/>
                <w:sz w:val="24"/>
              </w:rPr>
              <w:t>072000156</w:t>
            </w:r>
          </w:p>
        </w:tc>
        <w:tc>
          <w:tcPr>
            <w:vAlign w:val="center"/>
          </w:tcPr>
          <w:p>
            <w:pPr>
              <w:jc w:val="center"/>
            </w:pPr>
            <w:r>
              <w:rPr>
                <w:color w:val="000000"/>
                <w:sz w:val="24"/>
              </w:rPr>
              <w:t>20华泰证券CP006</w:t>
            </w:r>
          </w:p>
        </w:tc>
        <w:tc>
          <w:tcPr>
            <w:vAlign w:val="center"/>
          </w:tcPr>
          <w:p>
            <w:pPr>
              <w:jc w:val="right"/>
            </w:pPr>
            <w:r>
              <w:rPr>
                <w:color w:val="000000"/>
                <w:sz w:val="24"/>
              </w:rPr>
              <w:t>1,000,000</w:t>
            </w:r>
          </w:p>
        </w:tc>
        <w:tc>
          <w:tcPr>
            <w:vAlign w:val="center"/>
          </w:tcPr>
          <w:p>
            <w:pPr>
              <w:jc w:val="right"/>
            </w:pPr>
            <w:r>
              <w:rPr>
                <w:color w:val="000000"/>
                <w:sz w:val="24"/>
              </w:rPr>
              <w:t>100,001,353.39</w:t>
            </w:r>
          </w:p>
        </w:tc>
        <w:tc>
          <w:tcPr>
            <w:vAlign w:val="center"/>
          </w:tcPr>
          <w:p>
            <w:pPr>
              <w:jc w:val="right"/>
            </w:pPr>
            <w:r>
              <w:rPr>
                <w:color w:val="000000"/>
                <w:sz w:val="24"/>
              </w:rPr>
              <w:t>1.19</w:t>
            </w:r>
          </w:p>
        </w:tc>
      </w:tr>
      <w:tr>
        <w:tc>
          <w:tcPr>
            <w:vAlign w:val="center"/>
          </w:tcPr>
          <w:p>
            <w:pPr>
              <w:jc w:val="center"/>
            </w:pPr>
            <w:r>
              <w:rPr>
                <w:color w:val="000000"/>
                <w:sz w:val="24"/>
              </w:rPr>
              <w:t>7</w:t>
            </w:r>
          </w:p>
        </w:tc>
        <w:tc>
          <w:tcPr>
            <w:vAlign w:val="center"/>
          </w:tcPr>
          <w:p>
            <w:pPr>
              <w:jc w:val="center"/>
            </w:pPr>
            <w:r>
              <w:rPr>
                <w:color w:val="000000"/>
                <w:sz w:val="24"/>
              </w:rPr>
              <w:t>012001778</w:t>
            </w:r>
          </w:p>
        </w:tc>
        <w:tc>
          <w:tcPr>
            <w:vAlign w:val="center"/>
          </w:tcPr>
          <w:p>
            <w:pPr>
              <w:jc w:val="center"/>
            </w:pPr>
            <w:r>
              <w:rPr>
                <w:color w:val="000000"/>
                <w:sz w:val="24"/>
              </w:rPr>
              <w:t>20中铝SCP011</w:t>
            </w:r>
          </w:p>
        </w:tc>
        <w:tc>
          <w:tcPr>
            <w:vAlign w:val="center"/>
          </w:tcPr>
          <w:p>
            <w:pPr>
              <w:jc w:val="right"/>
            </w:pPr>
            <w:r>
              <w:rPr>
                <w:color w:val="000000"/>
                <w:sz w:val="24"/>
              </w:rPr>
              <w:t>1,000,000</w:t>
            </w:r>
          </w:p>
        </w:tc>
        <w:tc>
          <w:tcPr>
            <w:vAlign w:val="center"/>
          </w:tcPr>
          <w:p>
            <w:pPr>
              <w:jc w:val="right"/>
            </w:pPr>
            <w:r>
              <w:rPr>
                <w:color w:val="000000"/>
                <w:sz w:val="24"/>
              </w:rPr>
              <w:t>99,874,493.07</w:t>
            </w:r>
          </w:p>
        </w:tc>
        <w:tc>
          <w:tcPr>
            <w:vAlign w:val="center"/>
          </w:tcPr>
          <w:p>
            <w:pPr>
              <w:jc w:val="right"/>
            </w:pPr>
            <w:r>
              <w:rPr>
                <w:color w:val="000000"/>
                <w:sz w:val="24"/>
              </w:rPr>
              <w:t>1.19</w:t>
            </w:r>
          </w:p>
        </w:tc>
      </w:tr>
      <w:tr>
        <w:tc>
          <w:tcPr>
            <w:vAlign w:val="center"/>
          </w:tcPr>
          <w:p>
            <w:pPr>
              <w:jc w:val="center"/>
            </w:pPr>
            <w:r>
              <w:rPr>
                <w:color w:val="000000"/>
                <w:sz w:val="24"/>
              </w:rPr>
              <w:t>8</w:t>
            </w:r>
          </w:p>
        </w:tc>
        <w:tc>
          <w:tcPr>
            <w:vAlign w:val="center"/>
          </w:tcPr>
          <w:p>
            <w:pPr>
              <w:jc w:val="center"/>
            </w:pPr>
            <w:r>
              <w:rPr>
                <w:color w:val="000000"/>
                <w:sz w:val="24"/>
              </w:rPr>
              <w:t>111918256</w:t>
            </w:r>
          </w:p>
        </w:tc>
        <w:tc>
          <w:tcPr>
            <w:vAlign w:val="center"/>
          </w:tcPr>
          <w:p>
            <w:pPr>
              <w:jc w:val="center"/>
            </w:pPr>
            <w:r>
              <w:rPr>
                <w:color w:val="000000"/>
                <w:sz w:val="24"/>
              </w:rPr>
              <w:t>19华夏银行CD256</w:t>
            </w:r>
          </w:p>
        </w:tc>
        <w:tc>
          <w:tcPr>
            <w:vAlign w:val="center"/>
          </w:tcPr>
          <w:p>
            <w:pPr>
              <w:jc w:val="right"/>
            </w:pPr>
            <w:r>
              <w:rPr>
                <w:color w:val="000000"/>
                <w:sz w:val="24"/>
              </w:rPr>
              <w:t>1,000,000</w:t>
            </w:r>
          </w:p>
        </w:tc>
        <w:tc>
          <w:tcPr>
            <w:vAlign w:val="center"/>
          </w:tcPr>
          <w:p>
            <w:pPr>
              <w:jc w:val="right"/>
            </w:pPr>
            <w:r>
              <w:rPr>
                <w:color w:val="000000"/>
                <w:sz w:val="24"/>
              </w:rPr>
              <w:t>99,772,103.47</w:t>
            </w:r>
          </w:p>
        </w:tc>
        <w:tc>
          <w:tcPr>
            <w:vAlign w:val="center"/>
          </w:tcPr>
          <w:p>
            <w:pPr>
              <w:jc w:val="right"/>
            </w:pPr>
            <w:r>
              <w:rPr>
                <w:color w:val="000000"/>
                <w:sz w:val="24"/>
              </w:rPr>
              <w:t>1.19</w:t>
            </w:r>
          </w:p>
        </w:tc>
      </w:tr>
      <w:tr>
        <w:tc>
          <w:tcPr>
            <w:vAlign w:val="center"/>
          </w:tcPr>
          <w:p>
            <w:pPr>
              <w:jc w:val="center"/>
            </w:pPr>
            <w:r>
              <w:rPr>
                <w:color w:val="000000"/>
                <w:sz w:val="24"/>
              </w:rPr>
              <w:t>9</w:t>
            </w:r>
          </w:p>
        </w:tc>
        <w:tc>
          <w:tcPr>
            <w:vAlign w:val="center"/>
          </w:tcPr>
          <w:p>
            <w:pPr>
              <w:jc w:val="center"/>
            </w:pPr>
            <w:r>
              <w:rPr>
                <w:color w:val="000000"/>
                <w:sz w:val="24"/>
              </w:rPr>
              <w:t>112009128</w:t>
            </w:r>
          </w:p>
        </w:tc>
        <w:tc>
          <w:tcPr>
            <w:vAlign w:val="center"/>
          </w:tcPr>
          <w:p>
            <w:pPr>
              <w:jc w:val="center"/>
            </w:pPr>
            <w:r>
              <w:rPr>
                <w:color w:val="000000"/>
                <w:sz w:val="24"/>
              </w:rPr>
              <w:t>20浦发银行CD128</w:t>
            </w:r>
          </w:p>
        </w:tc>
        <w:tc>
          <w:tcPr>
            <w:vAlign w:val="center"/>
          </w:tcPr>
          <w:p>
            <w:pPr>
              <w:jc w:val="right"/>
            </w:pPr>
            <w:r>
              <w:rPr>
                <w:color w:val="000000"/>
                <w:sz w:val="24"/>
              </w:rPr>
              <w:t>1,000,000</w:t>
            </w:r>
          </w:p>
        </w:tc>
        <w:tc>
          <w:tcPr>
            <w:vAlign w:val="center"/>
          </w:tcPr>
          <w:p>
            <w:pPr>
              <w:jc w:val="right"/>
            </w:pPr>
            <w:r>
              <w:rPr>
                <w:color w:val="000000"/>
                <w:sz w:val="24"/>
              </w:rPr>
              <w:t>99,013,689.79</w:t>
            </w:r>
          </w:p>
        </w:tc>
        <w:tc>
          <w:tcPr>
            <w:vAlign w:val="center"/>
          </w:tcPr>
          <w:p>
            <w:pPr>
              <w:jc w:val="right"/>
            </w:pPr>
            <w:r>
              <w:rPr>
                <w:color w:val="000000"/>
                <w:sz w:val="24"/>
              </w:rPr>
              <w:t>1.18</w:t>
            </w:r>
          </w:p>
        </w:tc>
      </w:tr>
      <w:tr>
        <w:tc>
          <w:tcPr>
            <w:vAlign w:val="center"/>
          </w:tcPr>
          <w:p>
            <w:pPr>
              <w:jc w:val="center"/>
            </w:pPr>
            <w:r>
              <w:rPr>
                <w:color w:val="000000"/>
                <w:sz w:val="24"/>
              </w:rPr>
              <w:t>10</w:t>
            </w:r>
          </w:p>
        </w:tc>
        <w:tc>
          <w:tcPr>
            <w:vAlign w:val="center"/>
          </w:tcPr>
          <w:p>
            <w:pPr>
              <w:jc w:val="center"/>
            </w:pPr>
            <w:r>
              <w:rPr>
                <w:color w:val="000000"/>
                <w:sz w:val="24"/>
              </w:rPr>
              <w:t>112014007</w:t>
            </w:r>
          </w:p>
        </w:tc>
        <w:tc>
          <w:tcPr>
            <w:vAlign w:val="center"/>
          </w:tcPr>
          <w:p>
            <w:pPr>
              <w:jc w:val="center"/>
            </w:pPr>
            <w:r>
              <w:rPr>
                <w:color w:val="000000"/>
                <w:sz w:val="24"/>
              </w:rPr>
              <w:t>20江苏银行CD007</w:t>
            </w:r>
          </w:p>
        </w:tc>
        <w:tc>
          <w:tcPr>
            <w:vAlign w:val="center"/>
          </w:tcPr>
          <w:p>
            <w:pPr>
              <w:jc w:val="right"/>
            </w:pPr>
            <w:r>
              <w:rPr>
                <w:color w:val="000000"/>
                <w:sz w:val="24"/>
              </w:rPr>
              <w:t>1,000,000</w:t>
            </w:r>
          </w:p>
        </w:tc>
        <w:tc>
          <w:tcPr>
            <w:vAlign w:val="center"/>
          </w:tcPr>
          <w:p>
            <w:pPr>
              <w:jc w:val="right"/>
            </w:pPr>
            <w:r>
              <w:rPr>
                <w:color w:val="000000"/>
                <w:sz w:val="24"/>
              </w:rPr>
              <w:t>98,557,769.21</w:t>
            </w:r>
          </w:p>
        </w:tc>
        <w:tc>
          <w:tcPr>
            <w:vAlign w:val="center"/>
          </w:tcPr>
          <w:p>
            <w:pPr>
              <w:jc w:val="right"/>
            </w:pPr>
            <w:r>
              <w:rPr>
                <w:color w:val="000000"/>
                <w:sz w:val="24"/>
              </w:rPr>
              <w:t>1.18</w:t>
            </w:r>
          </w:p>
        </w:tc>
      </w:tr>
    </w:tbl>
    <w:p w:rsidP="003A0EC1"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4B40EC">
        <w:rPr>
          <w:rFonts w:ascii="宋体" w:cs="Arial" w:hAnsi="宋体" w:hint="eastAsia"/>
          <w:b/>
          <w:color w:val="000000"/>
          <w:kern w:val="0"/>
          <w:sz w:val="24"/>
        </w:rPr>
        <w:t>7</w:t>
      </w:r>
      <w:r w:rsidRPr="0097021E">
        <w:rPr>
          <w:rFonts w:ascii="宋体" w:cs="Arial" w:hAnsi="宋体" w:hint="eastAsia"/>
          <w:b/>
          <w:color w:val="000000"/>
          <w:kern w:val="0"/>
          <w:sz w:val="24"/>
        </w:rPr>
        <w:t>“影子定价”与“摊余成本法”确定的基金资产净值的偏离</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5812"/>
        <w:gridCol w:w="3382"/>
      </w:tblGrid>
      <w:tr w:rsidR="00941F6C" w:rsidRPr="0097021E" w:rsidTr="00C400D7">
        <w:tc>
          <w:tcPr>
            <w:tcW w:type="dxa" w:w="5812"/>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项目</w:t>
            </w:r>
            <w:r w:rsidRPr="00A15461">
              <w:rPr>
                <w:color w:val="000000"/>
                <w:kern w:val="0"/>
                <w:sz w:val="24"/>
              </w:rPr>
              <w:t/>
            </w:r>
            <w:proofErr w:type="spellStart"/>
            <w:r w:rsidRPr="00A15461">
              <w:rPr>
                <w:color w:val="000000"/>
                <w:kern w:val="0"/>
                <w:sz w:val="24"/>
              </w:rPr>
              <w:t/>
            </w:r>
            <w:proofErr w:type="spellEnd"/>
            <w:r w:rsidRPr="00A15461">
              <w:rPr>
                <w:color w:val="000000"/>
                <w:kern w:val="0"/>
                <w:sz w:val="24"/>
              </w:rPr>
              <w:t/>
            </w:r>
          </w:p>
        </w:tc>
        <w:tc>
          <w:tcPr>
            <w:tcW w:type="dxa" w:w="3382"/>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偏离情况</w:t>
            </w:r>
          </w:p>
        </w:tc>
      </w:tr>
      <w:tr w:rsidR="00941F6C" w:rsidRPr="0097021E" w:rsidTr="00C400D7">
        <w:tc>
          <w:tcPr>
            <w:tcW w:type="dxa" w:w="5812"/>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报告期内偏离度的绝对值在</w:t>
            </w:r>
            <w:r w:rsidRPr="00A15461">
              <w:rPr>
                <w:color w:val="000000"/>
                <w:kern w:val="0"/>
                <w:sz w:val="24"/>
              </w:rPr>
              <w:t>0.25(</w:t>
            </w:r>
            <w:r w:rsidRPr="00A15461">
              <w:rPr>
                <w:color w:val="000000"/>
                <w:kern w:val="0"/>
                <w:sz w:val="24"/>
              </w:rPr>
              <w:t>含</w:t>
            </w:r>
            <w:r w:rsidRPr="00A15461">
              <w:rPr>
                <w:color w:val="000000"/>
                <w:kern w:val="0"/>
                <w:sz w:val="24"/>
              </w:rPr>
              <w:t>)-0.5%</w:t>
            </w:r>
            <w:r w:rsidRPr="00A15461">
              <w:rPr>
                <w:color w:val="000000"/>
                <w:kern w:val="0"/>
                <w:sz w:val="24"/>
              </w:rPr>
              <w:t>间的次数</w:t>
            </w:r>
          </w:p>
        </w:tc>
        <w:tc>
          <w:tcPr>
            <w:tcW w:type="dxa" w:w="3382"/>
            <w:vAlign w:val="bottom"/>
          </w:tcPr>
          <w:p w:rsidP="00196812" w:rsidR="00941F6C" w:rsidRDefault="00941F6C" w:rsidRPr="00A15461">
            <w:pPr>
              <w:spacing w:line="360" w:lineRule="auto"/>
              <w:jc w:val="right"/>
              <w:rPr>
                <w:sz w:val="24"/>
              </w:rPr>
            </w:pPr>
            <w:r w:rsidRPr="00A15461">
              <w:rPr>
                <w:color w:val="000000"/>
                <w:sz w:val="24"/>
              </w:rPr>
              <w:t>0</w:t>
            </w:r>
            <w:r w:rsidRPr="00A15461">
              <w:rPr>
                <w:color w:val="000000"/>
                <w:sz w:val="24"/>
              </w:rPr>
              <w:t>次</w:t>
            </w:r>
          </w:p>
        </w:tc>
      </w:tr>
      <w:tr w:rsidR="00941F6C" w:rsidRPr="0097021E" w:rsidTr="00C400D7">
        <w:tc>
          <w:tcPr>
            <w:tcW w:type="dxa" w:w="5812"/>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报告期内偏离度的最高值</w:t>
            </w:r>
          </w:p>
        </w:tc>
        <w:tc>
          <w:tcPr>
            <w:tcW w:type="dxa" w:w="3382"/>
            <w:vAlign w:val="bottom"/>
          </w:tcPr>
          <w:p w:rsidP="00196812" w:rsidR="00941F6C" w:rsidRDefault="00941F6C" w:rsidRPr="00A15461">
            <w:pPr>
              <w:spacing w:line="360" w:lineRule="auto"/>
              <w:jc w:val="right"/>
              <w:rPr>
                <w:sz w:val="24"/>
              </w:rPr>
            </w:pPr>
            <w:r w:rsidRPr="00A15461">
              <w:rPr>
                <w:color w:val="000000"/>
                <w:sz w:val="24"/>
              </w:rPr>
              <w:t/>
            </w:r>
            <w:proofErr w:type="spellStart"/>
            <w:r w:rsidRPr="00A15461">
              <w:rPr>
                <w:color w:val="000000"/>
                <w:sz w:val="24"/>
              </w:rPr>
              <w:t/>
            </w:r>
            <w:proofErr w:type="spellEnd"/>
            <w:r w:rsidRPr="00A15461">
              <w:rPr>
                <w:color w:val="000000"/>
                <w:sz w:val="24"/>
              </w:rPr>
              <w:t>0.2052%</w:t>
            </w:r>
          </w:p>
        </w:tc>
      </w:tr>
      <w:tr w:rsidR="00941F6C" w:rsidRPr="0097021E" w:rsidTr="00C400D7">
        <w:tc>
          <w:tcPr>
            <w:tcW w:type="dxa" w:w="5812"/>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报告期内偏离度的最低值</w:t>
            </w:r>
          </w:p>
        </w:tc>
        <w:tc>
          <w:tcPr>
            <w:tcW w:type="dxa" w:w="3382"/>
            <w:vAlign w:val="bottom"/>
          </w:tcPr>
          <w:p w:rsidP="00196812" w:rsidR="00941F6C" w:rsidRDefault="00941F6C" w:rsidRPr="00A15461">
            <w:pPr>
              <w:spacing w:line="360" w:lineRule="auto"/>
              <w:jc w:val="right"/>
              <w:rPr>
                <w:sz w:val="24"/>
              </w:rPr>
            </w:pPr>
            <w:r w:rsidRPr="00A15461">
              <w:rPr>
                <w:color w:val="000000"/>
                <w:sz w:val="24"/>
              </w:rPr>
              <w:t/>
            </w:r>
            <w:proofErr w:type="spellStart"/>
            <w:r w:rsidRPr="00A15461">
              <w:rPr>
                <w:color w:val="000000"/>
                <w:sz w:val="24"/>
              </w:rPr>
              <w:t/>
            </w:r>
            <w:proofErr w:type="spellEnd"/>
            <w:r w:rsidRPr="00A15461">
              <w:rPr>
                <w:color w:val="000000"/>
                <w:sz w:val="24"/>
              </w:rPr>
              <w:t>0.0037%</w:t>
            </w:r>
          </w:p>
        </w:tc>
      </w:tr>
      <w:tr w:rsidR="00941F6C" w:rsidRPr="0097021E" w:rsidTr="00C400D7">
        <w:tc>
          <w:tcPr>
            <w:tcW w:type="dxa" w:w="5812"/>
            <w:vAlign w:val="center"/>
          </w:tcPr>
          <w:p w:rsidP="00404A00"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报告期内每个工作日偏离度的绝对值的简单平均值</w:t>
            </w:r>
          </w:p>
        </w:tc>
        <w:tc>
          <w:tcPr>
            <w:tcW w:type="dxa" w:w="3382"/>
            <w:vAlign w:val="bottom"/>
          </w:tcPr>
          <w:p w:rsidP="00196812" w:rsidR="00941F6C" w:rsidRDefault="00941F6C" w:rsidRPr="00A15461">
            <w:pPr>
              <w:spacing w:line="360" w:lineRule="auto"/>
              <w:jc w:val="right"/>
              <w:rPr>
                <w:sz w:val="24"/>
              </w:rPr>
            </w:pPr>
            <w:r w:rsidRPr="00A15461">
              <w:rPr>
                <w:color w:val="000000"/>
                <w:sz w:val="24"/>
              </w:rPr>
              <w:t>0.1140%</w:t>
            </w:r>
          </w:p>
        </w:tc>
      </w:tr>
    </w:tbl>
    <w:p w:rsidP="004B40EC" w:rsidR="004B40EC" w:rsidRDefault="004B40EC" w:rsidRPr="004B40EC">
      <w:pPr>
        <w:spacing w:line="360" w:lineRule="auto"/>
        <w:rPr>
          <w:rFonts w:eastAsiaTheme="minorEastAsia"/>
          <w:b/>
          <w:color w:themeColor="text1" w:val="000000"/>
          <w:kern w:val="0"/>
          <w:sz w:val="24"/>
        </w:rPr>
      </w:pPr>
      <w:r w:rsidRPr="004B40EC">
        <w:rPr>
          <w:b/>
          <w:color w:val="000000"/>
          <w:sz w:val="24"/>
        </w:rPr>
        <w:t>报告期内负偏离度的绝对值达到</w:t>
      </w:r>
      <w:r w:rsidRPr="004B40EC">
        <w:rPr>
          <w:b/>
          <w:color w:val="000000"/>
          <w:sz w:val="24"/>
        </w:rPr>
        <w:t>0.25%</w:t>
      </w:r>
      <w:r w:rsidRPr="004B40EC">
        <w:rPr>
          <w:b/>
          <w:color w:val="000000"/>
          <w:sz w:val="24"/>
        </w:rPr>
        <w:t>情况说明</w:t>
      </w:r>
    </w:p>
    <w:p w:rsidP="004B40EC" w:rsidR="004B40EC" w:rsidRDefault="004B40EC" w:rsidRPr="004B40EC">
      <w:pPr>
        <w:adjustRightInd w:val="0"/>
        <w:spacing w:line="360" w:lineRule="auto"/>
        <w:ind w:firstLine="480" w:firstLineChars="200"/>
        <w:rPr>
          <w:color w:val="000000"/>
          <w:sz w:val="24"/>
        </w:rPr>
      </w:pPr>
      <w:r w:rsidRPr="004B40EC">
        <w:rPr>
          <w:color w:val="000000"/>
          <w:sz w:val="24"/>
        </w:rPr>
        <w:t>本基金本报告期内不存在负偏离度的绝对值达到0.25%的情况。</w:t>
      </w:r>
    </w:p>
    <w:p w:rsidP="004B40EC" w:rsidR="004B40EC" w:rsidRDefault="004B40EC" w:rsidRPr="004B40EC">
      <w:pPr>
        <w:spacing w:line="360" w:lineRule="auto"/>
        <w:rPr>
          <w:rFonts w:eastAsiaTheme="minorEastAsia"/>
          <w:b/>
          <w:color w:themeColor="text1" w:val="000000"/>
          <w:kern w:val="0"/>
          <w:sz w:val="24"/>
        </w:rPr>
      </w:pPr>
      <w:r w:rsidRPr="004B40EC">
        <w:rPr>
          <w:b/>
          <w:color w:val="000000"/>
          <w:sz w:val="24"/>
        </w:rPr>
        <w:t>报告期内正偏离度的绝对值达到</w:t>
      </w:r>
      <w:r w:rsidRPr="004B40EC">
        <w:rPr>
          <w:b/>
          <w:color w:val="000000"/>
          <w:sz w:val="24"/>
        </w:rPr>
        <w:t>0.5%</w:t>
      </w:r>
      <w:r w:rsidRPr="004B40EC">
        <w:rPr>
          <w:b/>
          <w:color w:val="000000"/>
          <w:sz w:val="24"/>
        </w:rPr>
        <w:t>情况说明</w:t>
      </w:r>
    </w:p>
    <w:p w:rsidP="00A15461" w:rsidR="004B40EC" w:rsidRDefault="004B40EC" w:rsidRPr="004B40EC">
      <w:pPr>
        <w:adjustRightInd w:val="0"/>
        <w:spacing w:line="360" w:lineRule="auto"/>
        <w:ind w:firstLine="480" w:firstLineChars="200"/>
        <w:rPr>
          <w:color w:val="000000"/>
          <w:sz w:val="24"/>
        </w:rPr>
      </w:pPr>
      <w:r w:rsidRPr="004B40EC">
        <w:rPr>
          <w:color w:val="000000"/>
          <w:sz w:val="24"/>
        </w:rPr>
        <w:lastRenderedPageBreak/>
        <w:t>本基金本报告期内不存在正偏离度的绝对值达到0.5%的情况。</w:t>
      </w:r>
    </w:p>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4B40EC">
        <w:rPr>
          <w:rFonts w:ascii="宋体" w:cs="Arial" w:hAnsi="宋体" w:hint="eastAsia"/>
          <w:b/>
          <w:color w:val="000000"/>
          <w:kern w:val="0"/>
          <w:sz w:val="24"/>
        </w:rPr>
        <w:t>8</w:t>
      </w:r>
      <w:r w:rsidR="009A5367">
        <w:rPr>
          <w:rFonts w:ascii="宋体" w:cs="Arial" w:hAnsi="宋体" w:hint="eastAsia"/>
          <w:b/>
          <w:color w:val="000000"/>
          <w:kern w:val="0"/>
          <w:sz w:val="24"/>
        </w:rPr>
        <w:t>报告期末按公允价值占基金资产净值比例大小排名</w:t>
      </w:r>
      <w:r w:rsidRPr="0097021E">
        <w:rPr>
          <w:rFonts w:ascii="宋体" w:cs="Arial" w:hAnsi="宋体" w:hint="eastAsia"/>
          <w:b/>
          <w:color w:val="000000"/>
          <w:kern w:val="0"/>
          <w:sz w:val="24"/>
        </w:rPr>
        <w:t>的前十名资产支持证券投资明细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411"/>
        <w:gridCol w:w="1410"/>
        <w:gridCol w:w="1410"/>
        <w:gridCol w:w="1685"/>
        <w:gridCol w:w="1685"/>
        <w:gridCol w:w="1686"/>
      </w:tblGrid>
      <w:tr w:rsidR="00941F6C" w:rsidRPr="0097021E" w:rsidTr="00CA7D55">
        <w:tc>
          <w:tcPr>
            <w:tcW w:type="dxa" w:w="1547"/>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序号</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证券代码</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证券名称</w:t>
            </w:r>
          </w:p>
        </w:tc>
        <w:tc>
          <w:tcPr>
            <w:tcW w:type="dxa" w:w="1548"/>
            <w:vAlign w:val="center"/>
          </w:tcPr>
          <w:p w:rsidP="00DC22A1"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数量</w:t>
            </w:r>
            <w:r w:rsidR="00DC22A1" w:rsidRPr="00A15461">
              <w:rPr>
                <w:color w:val="000000"/>
                <w:kern w:val="0"/>
                <w:sz w:val="24"/>
              </w:rPr>
              <w:t>（份）</w:t>
            </w:r>
          </w:p>
        </w:tc>
        <w:tc>
          <w:tcPr>
            <w:tcW w:type="dxa" w:w="1548"/>
            <w:vAlign w:val="center"/>
          </w:tcPr>
          <w:p w:rsidP="00DC22A1" w:rsidR="00941F6C" w:rsidRDefault="00F90BF2" w:rsidRPr="00A15461">
            <w:pPr>
              <w:autoSpaceDE w:val="0"/>
              <w:autoSpaceDN w:val="0"/>
              <w:adjustRightInd w:val="0"/>
              <w:spacing w:before="29" w:line="360" w:lineRule="auto"/>
              <w:ind w:left="15"/>
              <w:jc w:val="center"/>
              <w:rPr>
                <w:color w:val="000000"/>
                <w:kern w:val="0"/>
                <w:sz w:val="24"/>
              </w:rPr>
            </w:pPr>
            <w:r w:rsidRPr="00F90BF2">
              <w:rPr>
                <w:rFonts w:hint="eastAsia"/>
                <w:color w:val="000000"/>
                <w:kern w:val="0"/>
                <w:sz w:val="24"/>
              </w:rPr>
              <w:t>摊余成本</w:t>
            </w:r>
            <w:r w:rsidR="00DC22A1" w:rsidRPr="00A15461">
              <w:rPr>
                <w:color w:val="000000"/>
                <w:kern w:val="0"/>
                <w:sz w:val="24"/>
              </w:rPr>
              <w:t>（元）</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138305</w:t>
            </w:r>
          </w:p>
        </w:tc>
        <w:tc>
          <w:tcPr>
            <w:vAlign w:val="center"/>
          </w:tcPr>
          <w:p>
            <w:pPr>
              <w:jc w:val="center"/>
            </w:pPr>
            <w:r>
              <w:rPr>
                <w:color w:val="000000"/>
                <w:sz w:val="24"/>
              </w:rPr>
              <w:t>瑞新9A1</w:t>
            </w:r>
          </w:p>
        </w:tc>
        <w:tc>
          <w:tcPr>
            <w:vAlign w:val="center"/>
          </w:tcPr>
          <w:p>
            <w:pPr>
              <w:jc w:val="right"/>
            </w:pPr>
            <w:r>
              <w:rPr>
                <w:color w:val="000000"/>
                <w:sz w:val="24"/>
              </w:rPr>
              <w:t>290,000</w:t>
            </w:r>
          </w:p>
        </w:tc>
        <w:tc>
          <w:tcPr>
            <w:vAlign w:val="center"/>
          </w:tcPr>
          <w:p>
            <w:pPr>
              <w:jc w:val="right"/>
            </w:pPr>
            <w:r>
              <w:rPr>
                <w:color w:val="000000"/>
                <w:sz w:val="24"/>
              </w:rPr>
              <w:t>29,000,000.00</w:t>
            </w:r>
          </w:p>
        </w:tc>
        <w:tc>
          <w:tcPr>
            <w:vAlign w:val="center"/>
          </w:tcPr>
          <w:p>
            <w:pPr>
              <w:jc w:val="right"/>
            </w:pPr>
            <w:r>
              <w:rPr>
                <w:color w:val="000000"/>
                <w:sz w:val="24"/>
              </w:rPr>
              <w:t>0.35</w:t>
            </w:r>
          </w:p>
        </w:tc>
      </w:tr>
      <w:tr>
        <w:tc>
          <w:tcPr>
            <w:vAlign w:val="center"/>
          </w:tcPr>
          <w:p>
            <w:pPr>
              <w:jc w:val="center"/>
            </w:pPr>
            <w:r>
              <w:rPr>
                <w:color w:val="000000"/>
                <w:sz w:val="24"/>
              </w:rPr>
              <w:t>2</w:t>
            </w:r>
          </w:p>
        </w:tc>
        <w:tc>
          <w:tcPr>
            <w:vAlign w:val="center"/>
          </w:tcPr>
          <w:p>
            <w:pPr>
              <w:jc w:val="center"/>
            </w:pPr>
            <w:r>
              <w:rPr>
                <w:color w:val="000000"/>
                <w:sz w:val="24"/>
              </w:rPr>
              <w:t>138325</w:t>
            </w:r>
          </w:p>
        </w:tc>
        <w:tc>
          <w:tcPr>
            <w:vAlign w:val="center"/>
          </w:tcPr>
          <w:p>
            <w:pPr>
              <w:jc w:val="center"/>
            </w:pPr>
            <w:r>
              <w:rPr>
                <w:color w:val="000000"/>
                <w:sz w:val="24"/>
              </w:rPr>
              <w:t>国链17A1</w:t>
            </w:r>
          </w:p>
        </w:tc>
        <w:tc>
          <w:tcPr>
            <w:vAlign w:val="center"/>
          </w:tcPr>
          <w:p>
            <w:pPr>
              <w:jc w:val="right"/>
            </w:pPr>
            <w:r>
              <w:rPr>
                <w:color w:val="000000"/>
                <w:sz w:val="24"/>
              </w:rPr>
              <w:t>200,000</w:t>
            </w:r>
          </w:p>
        </w:tc>
        <w:tc>
          <w:tcPr>
            <w:vAlign w:val="center"/>
          </w:tcPr>
          <w:p>
            <w:pPr>
              <w:jc w:val="right"/>
            </w:pPr>
            <w:r>
              <w:rPr>
                <w:color w:val="000000"/>
                <w:sz w:val="24"/>
              </w:rPr>
              <w:t>20,000,000.00</w:t>
            </w:r>
          </w:p>
        </w:tc>
        <w:tc>
          <w:tcPr>
            <w:vAlign w:val="center"/>
          </w:tcPr>
          <w:p>
            <w:pPr>
              <w:jc w:val="right"/>
            </w:pPr>
            <w:r>
              <w:rPr>
                <w:color w:val="000000"/>
                <w:sz w:val="24"/>
              </w:rPr>
              <w:t>0.24</w:t>
            </w:r>
          </w:p>
        </w:tc>
      </w:tr>
      <w:tr>
        <w:tc>
          <w:tcPr>
            <w:vAlign w:val="center"/>
          </w:tcPr>
          <w:p>
            <w:pPr>
              <w:jc w:val="center"/>
            </w:pPr>
            <w:r>
              <w:rPr>
                <w:color w:val="000000"/>
                <w:sz w:val="24"/>
              </w:rPr>
              <w:t>2</w:t>
            </w:r>
          </w:p>
        </w:tc>
        <w:tc>
          <w:tcPr>
            <w:vAlign w:val="center"/>
          </w:tcPr>
          <w:p>
            <w:pPr>
              <w:jc w:val="center"/>
            </w:pPr>
            <w:r>
              <w:rPr>
                <w:color w:val="000000"/>
                <w:sz w:val="24"/>
              </w:rPr>
              <w:t>138364</w:t>
            </w:r>
          </w:p>
        </w:tc>
        <w:tc>
          <w:tcPr>
            <w:vAlign w:val="center"/>
          </w:tcPr>
          <w:p>
            <w:pPr>
              <w:jc w:val="center"/>
            </w:pPr>
            <w:r>
              <w:rPr>
                <w:color w:val="000000"/>
                <w:sz w:val="24"/>
              </w:rPr>
              <w:t>南链优03</w:t>
            </w:r>
          </w:p>
        </w:tc>
        <w:tc>
          <w:tcPr>
            <w:vAlign w:val="center"/>
          </w:tcPr>
          <w:p>
            <w:pPr>
              <w:jc w:val="right"/>
            </w:pPr>
            <w:r>
              <w:rPr>
                <w:color w:val="000000"/>
                <w:sz w:val="24"/>
              </w:rPr>
              <w:t>200,000</w:t>
            </w:r>
          </w:p>
        </w:tc>
        <w:tc>
          <w:tcPr>
            <w:vAlign w:val="center"/>
          </w:tcPr>
          <w:p>
            <w:pPr>
              <w:jc w:val="right"/>
            </w:pPr>
            <w:r>
              <w:rPr>
                <w:color w:val="000000"/>
                <w:sz w:val="24"/>
              </w:rPr>
              <w:t>20,000,000.00</w:t>
            </w:r>
          </w:p>
        </w:tc>
        <w:tc>
          <w:tcPr>
            <w:vAlign w:val="center"/>
          </w:tcPr>
          <w:p>
            <w:pPr>
              <w:jc w:val="right"/>
            </w:pPr>
            <w:r>
              <w:rPr>
                <w:color w:val="000000"/>
                <w:sz w:val="24"/>
              </w:rPr>
              <w:t>0.24</w:t>
            </w:r>
          </w:p>
        </w:tc>
      </w:tr>
      <w:tr>
        <w:tc>
          <w:tcPr>
            <w:vAlign w:val="center"/>
          </w:tcPr>
          <w:p>
            <w:pPr>
              <w:jc w:val="center"/>
            </w:pPr>
            <w:r>
              <w:rPr>
                <w:color w:val="000000"/>
                <w:sz w:val="24"/>
              </w:rPr>
              <w:t>2</w:t>
            </w:r>
          </w:p>
        </w:tc>
        <w:tc>
          <w:tcPr>
            <w:vAlign w:val="center"/>
          </w:tcPr>
          <w:p>
            <w:pPr>
              <w:jc w:val="center"/>
            </w:pPr>
            <w:r>
              <w:rPr>
                <w:color w:val="000000"/>
                <w:sz w:val="24"/>
              </w:rPr>
              <w:t>138383</w:t>
            </w:r>
          </w:p>
        </w:tc>
        <w:tc>
          <w:tcPr>
            <w:vAlign w:val="center"/>
          </w:tcPr>
          <w:p>
            <w:pPr>
              <w:jc w:val="center"/>
            </w:pPr>
            <w:r>
              <w:rPr>
                <w:color w:val="000000"/>
                <w:sz w:val="24"/>
              </w:rPr>
              <w:t>中交6优A</w:t>
            </w:r>
          </w:p>
        </w:tc>
        <w:tc>
          <w:tcPr>
            <w:vAlign w:val="center"/>
          </w:tcPr>
          <w:p>
            <w:pPr>
              <w:jc w:val="right"/>
            </w:pPr>
            <w:r>
              <w:rPr>
                <w:color w:val="000000"/>
                <w:sz w:val="24"/>
              </w:rPr>
              <w:t>200,000</w:t>
            </w:r>
          </w:p>
        </w:tc>
        <w:tc>
          <w:tcPr>
            <w:vAlign w:val="center"/>
          </w:tcPr>
          <w:p>
            <w:pPr>
              <w:jc w:val="right"/>
            </w:pPr>
            <w:r>
              <w:rPr>
                <w:color w:val="000000"/>
                <w:sz w:val="24"/>
              </w:rPr>
              <w:t>20,000,000.00</w:t>
            </w:r>
          </w:p>
        </w:tc>
        <w:tc>
          <w:tcPr>
            <w:vAlign w:val="center"/>
          </w:tcPr>
          <w:p>
            <w:pPr>
              <w:jc w:val="right"/>
            </w:pPr>
            <w:r>
              <w:rPr>
                <w:color w:val="000000"/>
                <w:sz w:val="24"/>
              </w:rPr>
              <w:t>0.24</w:t>
            </w:r>
          </w:p>
        </w:tc>
      </w:tr>
      <w:tr>
        <w:tc>
          <w:tcPr>
            <w:vAlign w:val="center"/>
          </w:tcPr>
          <w:p>
            <w:pPr>
              <w:jc w:val="center"/>
            </w:pPr>
            <w:r>
              <w:rPr>
                <w:color w:val="000000"/>
                <w:sz w:val="24"/>
              </w:rPr>
              <w:t>5</w:t>
            </w:r>
          </w:p>
        </w:tc>
        <w:tc>
          <w:tcPr>
            <w:vAlign w:val="center"/>
          </w:tcPr>
          <w:p>
            <w:pPr>
              <w:jc w:val="center"/>
            </w:pPr>
            <w:r>
              <w:rPr>
                <w:color w:val="000000"/>
                <w:sz w:val="24"/>
              </w:rPr>
              <w:t>138173</w:t>
            </w:r>
          </w:p>
        </w:tc>
        <w:tc>
          <w:tcPr>
            <w:vAlign w:val="center"/>
          </w:tcPr>
          <w:p>
            <w:pPr>
              <w:jc w:val="center"/>
            </w:pPr>
            <w:r>
              <w:rPr>
                <w:color w:val="000000"/>
                <w:sz w:val="24"/>
              </w:rPr>
              <w:t>链融17A1</w:t>
            </w:r>
          </w:p>
        </w:tc>
        <w:tc>
          <w:tcPr>
            <w:vAlign w:val="center"/>
          </w:tcPr>
          <w:p>
            <w:pPr>
              <w:jc w:val="right"/>
            </w:pPr>
            <w:r>
              <w:rPr>
                <w:color w:val="000000"/>
                <w:sz w:val="24"/>
              </w:rPr>
              <w:t>110,000</w:t>
            </w:r>
          </w:p>
        </w:tc>
        <w:tc>
          <w:tcPr>
            <w:vAlign w:val="center"/>
          </w:tcPr>
          <w:p>
            <w:pPr>
              <w:jc w:val="right"/>
            </w:pPr>
            <w:r>
              <w:rPr>
                <w:color w:val="000000"/>
                <w:sz w:val="24"/>
              </w:rPr>
              <w:t>11,000,000.00</w:t>
            </w:r>
          </w:p>
        </w:tc>
        <w:tc>
          <w:tcPr>
            <w:vAlign w:val="center"/>
          </w:tcPr>
          <w:p>
            <w:pPr>
              <w:jc w:val="right"/>
            </w:pPr>
            <w:r>
              <w:rPr>
                <w:color w:val="000000"/>
                <w:sz w:val="24"/>
              </w:rPr>
              <w:t>0.13</w:t>
            </w:r>
          </w:p>
        </w:tc>
      </w:tr>
      <w:tr>
        <w:tc>
          <w:tcPr>
            <w:vAlign w:val="center"/>
          </w:tcPr>
          <w:p>
            <w:pPr>
              <w:jc w:val="center"/>
            </w:pPr>
            <w:r>
              <w:rPr>
                <w:color w:val="000000"/>
                <w:sz w:val="24"/>
              </w:rPr>
              <w:t>6</w:t>
            </w:r>
          </w:p>
        </w:tc>
        <w:tc>
          <w:tcPr>
            <w:vAlign w:val="center"/>
          </w:tcPr>
          <w:p>
            <w:pPr>
              <w:jc w:val="center"/>
            </w:pPr>
            <w:r>
              <w:rPr>
                <w:color w:val="000000"/>
                <w:sz w:val="24"/>
              </w:rPr>
              <w:t>138262</w:t>
            </w:r>
          </w:p>
        </w:tc>
        <w:tc>
          <w:tcPr>
            <w:vAlign w:val="center"/>
          </w:tcPr>
          <w:p>
            <w:pPr>
              <w:jc w:val="center"/>
            </w:pPr>
            <w:r>
              <w:rPr>
                <w:color w:val="000000"/>
                <w:sz w:val="24"/>
              </w:rPr>
              <w:t>诚意3A1</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0.12</w:t>
            </w:r>
          </w:p>
        </w:tc>
      </w:tr>
      <w:tr>
        <w:tc>
          <w:tcPr>
            <w:vAlign w:val="center"/>
          </w:tcPr>
          <w:p>
            <w:pPr>
              <w:jc w:val="center"/>
            </w:pPr>
            <w:r>
              <w:rPr>
                <w:color w:val="000000"/>
                <w:sz w:val="24"/>
              </w:rPr>
              <w:t>6</w:t>
            </w:r>
          </w:p>
        </w:tc>
        <w:tc>
          <w:tcPr>
            <w:vAlign w:val="center"/>
          </w:tcPr>
          <w:p>
            <w:pPr>
              <w:jc w:val="center"/>
            </w:pPr>
            <w:r>
              <w:rPr>
                <w:color w:val="000000"/>
                <w:sz w:val="24"/>
              </w:rPr>
              <w:t>138290</w:t>
            </w:r>
          </w:p>
        </w:tc>
        <w:tc>
          <w:tcPr>
            <w:vAlign w:val="center"/>
          </w:tcPr>
          <w:p>
            <w:pPr>
              <w:jc w:val="center"/>
            </w:pPr>
            <w:r>
              <w:rPr>
                <w:color w:val="000000"/>
                <w:sz w:val="24"/>
              </w:rPr>
              <w:t>链融19A1</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0.12</w:t>
            </w:r>
          </w:p>
        </w:tc>
      </w:tr>
      <w:tr>
        <w:tc>
          <w:tcPr>
            <w:vAlign w:val="center"/>
          </w:tcPr>
          <w:p>
            <w:pPr>
              <w:jc w:val="center"/>
            </w:pPr>
            <w:r>
              <w:rPr>
                <w:color w:val="000000"/>
                <w:sz w:val="24"/>
              </w:rPr>
              <w:t>6</w:t>
            </w:r>
          </w:p>
        </w:tc>
        <w:tc>
          <w:tcPr>
            <w:vAlign w:val="center"/>
          </w:tcPr>
          <w:p>
            <w:pPr>
              <w:jc w:val="center"/>
            </w:pPr>
            <w:r>
              <w:rPr>
                <w:color w:val="000000"/>
                <w:sz w:val="24"/>
              </w:rPr>
              <w:t>138324</w:t>
            </w:r>
          </w:p>
        </w:tc>
        <w:tc>
          <w:tcPr>
            <w:vAlign w:val="center"/>
          </w:tcPr>
          <w:p>
            <w:pPr>
              <w:jc w:val="center"/>
            </w:pPr>
            <w:r>
              <w:rPr>
                <w:color w:val="000000"/>
                <w:sz w:val="24"/>
              </w:rPr>
              <w:t>瑞新10A1</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0.12</w:t>
            </w:r>
          </w:p>
        </w:tc>
      </w:tr>
      <w:tr>
        <w:tc>
          <w:tcPr>
            <w:vAlign w:val="center"/>
          </w:tcPr>
          <w:p>
            <w:pPr>
              <w:jc w:val="center"/>
            </w:pPr>
            <w:r>
              <w:rPr>
                <w:color w:val="000000"/>
                <w:sz w:val="24"/>
              </w:rPr>
              <w:t>6</w:t>
            </w:r>
          </w:p>
        </w:tc>
        <w:tc>
          <w:tcPr>
            <w:vAlign w:val="center"/>
          </w:tcPr>
          <w:p>
            <w:pPr>
              <w:jc w:val="center"/>
            </w:pPr>
            <w:r>
              <w:rPr>
                <w:color w:val="000000"/>
                <w:sz w:val="24"/>
              </w:rPr>
              <w:t>138351</w:t>
            </w:r>
          </w:p>
        </w:tc>
        <w:tc>
          <w:tcPr>
            <w:vAlign w:val="center"/>
          </w:tcPr>
          <w:p>
            <w:pPr>
              <w:jc w:val="center"/>
            </w:pPr>
            <w:r>
              <w:rPr>
                <w:color w:val="000000"/>
                <w:sz w:val="24"/>
              </w:rPr>
              <w:t>瑞新11A1</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0.12</w:t>
            </w:r>
          </w:p>
        </w:tc>
      </w:tr>
      <w:tr>
        <w:tc>
          <w:tcPr>
            <w:vAlign w:val="center"/>
          </w:tcPr>
          <w:p>
            <w:pPr>
              <w:jc w:val="center"/>
            </w:pPr>
            <w:r>
              <w:rPr>
                <w:color w:val="000000"/>
                <w:sz w:val="24"/>
              </w:rPr>
              <w:t>6</w:t>
            </w:r>
          </w:p>
        </w:tc>
        <w:tc>
          <w:tcPr>
            <w:vAlign w:val="center"/>
          </w:tcPr>
          <w:p>
            <w:pPr>
              <w:jc w:val="center"/>
            </w:pPr>
            <w:r>
              <w:rPr>
                <w:color w:val="000000"/>
                <w:sz w:val="24"/>
              </w:rPr>
              <w:t>138752</w:t>
            </w:r>
          </w:p>
        </w:tc>
        <w:tc>
          <w:tcPr>
            <w:vAlign w:val="center"/>
          </w:tcPr>
          <w:p>
            <w:pPr>
              <w:jc w:val="center"/>
            </w:pPr>
            <w:r>
              <w:rPr>
                <w:color w:val="000000"/>
                <w:sz w:val="24"/>
              </w:rPr>
              <w:t>鹏举06优</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0.12</w:t>
            </w:r>
          </w:p>
        </w:tc>
      </w:tr>
      <w:tr>
        <w:tc>
          <w:tcPr>
            <w:vAlign w:val="center"/>
          </w:tcPr>
          <w:p>
            <w:pPr>
              <w:jc w:val="center"/>
            </w:pPr>
            <w:r>
              <w:rPr>
                <w:color w:val="000000"/>
                <w:sz w:val="24"/>
              </w:rPr>
              <w:t>6</w:t>
            </w:r>
          </w:p>
        </w:tc>
        <w:tc>
          <w:tcPr>
            <w:vAlign w:val="center"/>
          </w:tcPr>
          <w:p>
            <w:pPr>
              <w:jc w:val="center"/>
            </w:pPr>
            <w:r>
              <w:rPr>
                <w:color w:val="000000"/>
                <w:sz w:val="24"/>
              </w:rPr>
              <w:t>138762</w:t>
            </w:r>
          </w:p>
        </w:tc>
        <w:tc>
          <w:tcPr>
            <w:vAlign w:val="center"/>
          </w:tcPr>
          <w:p>
            <w:pPr>
              <w:jc w:val="center"/>
            </w:pPr>
            <w:r>
              <w:rPr>
                <w:color w:val="000000"/>
                <w:sz w:val="24"/>
              </w:rPr>
              <w:t>南链6优1</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0.12</w:t>
            </w:r>
          </w:p>
        </w:tc>
      </w:tr>
      <w:tr>
        <w:tc>
          <w:tcPr>
            <w:vAlign w:val="center"/>
          </w:tcPr>
          <w:p>
            <w:pPr>
              <w:jc w:val="center"/>
            </w:pPr>
            <w:r>
              <w:rPr>
                <w:color w:val="000000"/>
                <w:sz w:val="24"/>
              </w:rPr>
              <w:t>6</w:t>
            </w:r>
          </w:p>
        </w:tc>
        <w:tc>
          <w:tcPr>
            <w:vAlign w:val="center"/>
          </w:tcPr>
          <w:p>
            <w:pPr>
              <w:jc w:val="center"/>
            </w:pPr>
            <w:r>
              <w:rPr>
                <w:color w:val="000000"/>
                <w:sz w:val="24"/>
              </w:rPr>
              <w:t>138763</w:t>
            </w:r>
          </w:p>
        </w:tc>
        <w:tc>
          <w:tcPr>
            <w:vAlign w:val="center"/>
          </w:tcPr>
          <w:p>
            <w:pPr>
              <w:jc w:val="center"/>
            </w:pPr>
            <w:r>
              <w:rPr>
                <w:color w:val="000000"/>
                <w:sz w:val="24"/>
              </w:rPr>
              <w:t>南链6优2</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0.12</w:t>
            </w:r>
          </w:p>
        </w:tc>
      </w:tr>
    </w:tbl>
    <w:p w:rsidP="00815CDE" w:rsidR="00941F6C" w:rsidRDefault="00941F6C" w:rsidRPr="006662B2">
      <w:pPr>
        <w:spacing w:line="360" w:lineRule="auto"/>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6662B2">
        <w:rPr>
          <w:rFonts w:ascii="宋体" w:cs="Arial" w:hAnsi="宋体"/>
          <w:b/>
          <w:color w:val="000000"/>
          <w:kern w:val="0"/>
          <w:sz w:val="24"/>
        </w:rPr>
        <w:t>.</w:t>
      </w:r>
      <w:r>
        <w:rPr>
          <w:rFonts w:ascii="宋体" w:cs="Arial"/>
          <w:b/>
          <w:color w:val="000000"/>
          <w:kern w:val="0"/>
          <w:sz w:val="24"/>
        </w:rPr>
        <w:t/>
      </w:r>
      <w:r>
        <w:rPr>
          <w:rFonts w:ascii="宋体" w:cs="Arial" w:hAnsi="宋体"/>
          <w:b/>
          <w:color w:val="000000"/>
          <w:kern w:val="0"/>
          <w:sz w:val="24"/>
        </w:rPr>
        <w:t/>
      </w:r>
      <w:r w:rsidR="004B40EC">
        <w:rPr>
          <w:rFonts w:ascii="宋体" w:cs="Arial" w:hAnsi="宋体" w:hint="eastAsia"/>
          <w:b/>
          <w:color w:val="000000"/>
          <w:kern w:val="0"/>
          <w:sz w:val="24"/>
        </w:rPr>
        <w:t/>
      </w:r>
      <w:r>
        <w:rPr>
          <w:rFonts w:ascii="宋体" w:cs="Arial" w:hAnsi="宋体"/>
          <w:b/>
          <w:color w:val="000000"/>
          <w:kern w:val="0"/>
          <w:sz w:val="24"/>
        </w:rPr>
        <w:t>9</w:t>
      </w:r>
      <w:r w:rsidRPr="006662B2">
        <w:rPr>
          <w:rFonts w:ascii="宋体" w:cs="Arial" w:hAnsi="宋体" w:hint="eastAsia"/>
          <w:b/>
          <w:color w:val="000000"/>
          <w:kern w:val="0"/>
          <w:sz w:val="24"/>
        </w:rPr>
        <w:t>投资组合报告附注</w:t>
      </w:r>
    </w:p>
    <w:p w:rsidP="004B40EC" w:rsidR="004B40EC" w:rsidRDefault="004B40EC" w:rsidRPr="004B40EC">
      <w:pPr>
        <w:spacing w:line="360" w:lineRule="auto"/>
        <w:rPr>
          <w:rFonts w:eastAsiaTheme="minorEastAsia"/>
          <w:color w:themeColor="text1" w:val="000000"/>
          <w:sz w:val="24"/>
        </w:rPr>
      </w:pPr>
      <w:r w:rsidRPr="004B40EC">
        <w:rPr>
          <w:rFonts w:eastAsiaTheme="minorEastAsia"/>
          <w:color w:themeColor="text1" w:val="000000"/>
          <w:sz w:val="24"/>
        </w:rPr>
        <w:t>5.9.1</w:t>
      </w:r>
      <w:r w:rsidRPr="004B40EC">
        <w:rPr>
          <w:rFonts w:eastAsiaTheme="minorEastAsia"/>
          <w:color w:themeColor="text1" w:val="000000"/>
          <w:sz w:val="24"/>
        </w:rPr>
        <w:t>基金计价方法说明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本基金目前投资工具的估值方法如下：</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（1）基金持有的债券（包括票据）购买时采用实际支付价款（包含交易费用）确定初始成本，按实际利率计算其摊余成本及各期利息收入，每日计提收益；</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（2）基金持有的回购以成本列示，按实际利率在实际持有期间内逐日计提利息；合同利率与实际利率差异较小的，也可采用合同利率计算确定利息收入；</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（3）基金持有的银行存款以本金列示，按实际协议利率逐日计提利息。</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如有确凿证据表明按上述方法进行估值不能客观反映其公允价值的，基金管理人可根据具体情况与基金托管人商定后，按最能反映公允价值的方法估值。</w:t>
      </w:r>
    </w:p>
    <w:p w:rsidP="004B40EC" w:rsidR="004B40EC" w:rsidRDefault="004B40EC" w:rsidRPr="004B40EC">
      <w:pPr>
        <w:spacing w:line="360" w:lineRule="auto"/>
        <w:ind w:firstLine="480" w:firstLineChars="200"/>
        <w:rPr>
          <w:rFonts w:eastAsiaTheme="minorEastAsia"/>
          <w:color w:themeColor="text1" w:val="000000"/>
          <w:sz w:val="24"/>
        </w:rPr>
      </w:pPr>
      <w:r w:rsidRPr="004B40EC">
        <w:rPr>
          <w:rFonts w:eastAsiaTheme="minorEastAsia"/>
          <w:color w:themeColor="text1" w:val="000000"/>
          <w:sz w:val="24"/>
        </w:rPr>
        <w:t/>
      </w:r>
      <w:proofErr w:type="spellStart"/>
      <w:r w:rsidRPr="004B40EC">
        <w:rPr>
          <w:rFonts w:eastAsiaTheme="minorEastAsia"/>
          <w:color w:themeColor="text1" w:val="000000"/>
          <w:sz w:val="24"/>
        </w:rPr>
        <w:t/>
      </w:r>
      <w:proofErr w:type="spellEnd"/>
      <w:r w:rsidRPr="004B40EC">
        <w:rPr>
          <w:rFonts w:eastAsiaTheme="minorEastAsia"/>
          <w:color w:themeColor="text1" w:val="000000"/>
          <w:sz w:val="24"/>
        </w:rPr>
        <w:t>如有新增事项，按国家最新规定估值。</w:t>
      </w:r>
    </w:p>
    <w:p w:rsidP="004B40EC" w:rsidR="00941F6C" w:rsidRDefault="004B40EC" w:rsidRPr="004B40EC">
      <w:pPr>
        <w:widowControl/>
        <w:spacing w:line="360" w:lineRule="auto"/>
        <w:rPr>
          <w:color w:val="000000"/>
          <w:sz w:val="24"/>
        </w:rPr>
      </w:pPr>
      <w:r w:rsidRPr="004B40EC">
        <w:rPr>
          <w:rFonts w:eastAsiaTheme="minorEastAsia"/>
          <w:color w:themeColor="text1" w:val="000000"/>
          <w:sz w:val="24"/>
        </w:rPr>
        <w:t>5.9.2</w:t>
      </w:r>
      <w:r w:rsidR="00B80EFA">
        <w:rPr>
          <w:rFonts w:eastAsiaTheme="minorEastAsia" w:hint="eastAsia"/>
          <w:color w:themeColor="text1" w:val="000000"/>
          <w:sz w:val="24"/>
        </w:rPr>
        <w:t xml:space="preserve"> </w:t>
      </w:r>
      <w:r w:rsidRPr="004B40EC">
        <w:rPr>
          <w:rFonts w:eastAsiaTheme="minorEastAsia"/>
          <w:color w:themeColor="text1" w:val="000000"/>
          <w:sz w:val="24"/>
        </w:rPr>
        <w:t>2020年4月30日，北京市西城区卫生健康委员会对中国农业发展银行违反《北京市生活饮用水卫生监督管理条例》第二十一条第（三）项的行为作出“罚款5000元”的行政处罚决定。</w:t>
      </w:r>
    </w:p>
    <w:p>
      <w:pPr>
        <w:widowControl/>
        <w:spacing w:line="360" w:lineRule="auto"/>
        <w:rPr>
          <w:color w:val="000000"/>
          <w:sz w:val="24"/>
        </w:rPr>
      </w:pPr>
      <w:r>
        <w:rPr>
          <w:rFonts w:eastAsiaTheme="minorEastAsia"/>
          <w:color w:themeColor="text1" w:val="000000"/>
          <w:sz w:val="24"/>
        </w:rPr>
        <w:t>2019年7月8日，中国银行保险监督管理委员会上海监管局对上海银行股份有限公司信用卡中心的如下违法违规行为作出“责令改正，并处罚款40万元”的行政处罚决定：2017年12月，该中心在为部分客户办理信用卡业务时，未遵守总授信额度管理制度。2019年11月2日，中国人民银行上海分行对上海银行股份有限公司违反支付业务规定的行为，没收违法所得1,762,787.61元，并处以1,762,787.61元罚款，共计3,525,575.22元，同时对相关高级管理人员作出处罚。</w:t>
      </w:r>
    </w:p>
    <w:p>
      <w:pPr>
        <w:widowControl/>
        <w:spacing w:line="360" w:lineRule="auto"/>
        <w:rPr>
          <w:color w:val="000000"/>
          <w:sz w:val="24"/>
        </w:rPr>
      </w:pPr>
      <w:r>
        <w:rPr>
          <w:rFonts w:eastAsiaTheme="minorEastAsia"/>
          <w:color w:themeColor="text1" w:val="000000"/>
          <w:sz w:val="24"/>
        </w:rPr>
        <w:t>2019年7月3日，中国银行保险监督管理委员会针对中信银行股份有限公司的如下违法违规行为，作出“没收违法所得33.6677万元，罚款2190万元，合计2223.6677万元”的行政处罚决定：（一）未按规定提供报表且逾期未改正;（二）错报、漏报银行业监管统计资料；（三）未向监管部门报告重要信息系统运营中断事件;（四）信息系统控制存在较大安全漏洞，未做到有效的安全控制;（五）未按企业划型标准将多家企业划分为小微型企业，报送监管数据不真实;（六）向关系人发放信用贷款、向关系人发放担保贷款的条件优于其他借款人同类贷款条件;（七）重大关联交易未按规定审查审批且未向监管部门报告;（八）贷后管理不到位导致贷款资金被挪用;（九）以流动资金贷款名义发放房地产开发贷款;（十）未将房地产企业贷款计入房地产开发贷款科目;（十一）投资同一家银行机构同期非保本理财产品采用风险权重不一致;（十二）购买非保本理财产品签订可提前赎回协议，未准确计量风险加权资产;（十三）未按规定计提资产支持证券业务的风险加权资产。2020年2月20日，北京银保监局对中信银行股份有限公司的如下违法违规行为，作出“责令中信银行股份有限公司改正，并给予合计2020万元罚款”的行政处罚决定：中信银行股份有限公司违规发放土地储备贷款；受托支付不符合监管规定；信托消费贷款业务开展不审慎；流动资金贷款被挪用于股权投资；信贷资金被挪用流入房地产开发公司；个人经营性贷款资金被挪用于购房；非真实转让不良信贷资产；未对融资人交易材料合理性进行必要的审查，资金被用于缴纳土地竞买保证金；违规为房地产开发企业发放流动资金性质融资；签署抽屉协议互投涉房信贷资产腾挪信贷规模；卖出回购信贷资产收益权，实现信贷规模阶段性出表；理财资金违规投向未上市房地产企业股权；理财资金被挪用于支付土地出让价款；违规向资本金不足的房地产开发项目提供融资；并购贷款真实性审核不足，借款人变相用于置换项目公司缴纳的土地出让价款；协助合作机构签署抽屉协议，规避相关监管规定；理财资金实际用于置换项目前期股东支付的土地出让金；违规为房地产企业支付土地购置费用提供融资；违规向四证不全的商业性房地产开发项目提供融资。2020年4月20日，中国银行保险监督管理委员会对中信银行股份有限公司的如下违法违规行为作出罚款160万元的行政处罚决定：中信银行监管标准化数据（EAST）系统数据质量及数据报送存在（一）理财产品数量漏报；（二）信贷资产转让业务漏报；（三）贸易融资业务漏报；（四）分户账明细记录应报未报；（五）分户账账户数据应报未报；（六）关键且应报字段漏报或填报错误。</w:t>
      </w:r>
    </w:p>
    <w:p>
      <w:pPr>
        <w:widowControl/>
        <w:spacing w:line="360" w:lineRule="auto"/>
        <w:rPr>
          <w:color w:val="000000"/>
          <w:sz w:val="24"/>
        </w:rPr>
      </w:pPr>
      <w:r>
        <w:rPr>
          <w:rFonts w:eastAsiaTheme="minorEastAsia"/>
          <w:color w:themeColor="text1" w:val="000000"/>
          <w:sz w:val="24"/>
        </w:rPr>
        <w:t>2020年2月10日，中国人民银行针对华泰证券股份有限公司如下违法事实：1、未按规定履行客户身份识别义务；2、未按规定报送可疑交易报告；3、与身份不明的客户进行交易，处以责令改正，并处罚款1010万元的行政处罚。</w:t>
      </w:r>
    </w:p>
    <w:p>
      <w:pPr>
        <w:widowControl/>
        <w:spacing w:line="360" w:lineRule="auto"/>
        <w:rPr>
          <w:color w:val="000000"/>
          <w:sz w:val="24"/>
        </w:rPr>
      </w:pPr>
      <w:r>
        <w:rPr>
          <w:rFonts w:eastAsiaTheme="minorEastAsia"/>
          <w:color w:themeColor="text1" w:val="000000"/>
          <w:sz w:val="24"/>
        </w:rPr>
        <w:t>2019年9月16日，山西省应急管理厅对中国铝业股份有限公司兴县奥家湾铝矿的如下违法违规行为作出“责令限期改正，处人民币贰万元罚款”的行政处罚决定：1.1040中段6号下山封闭墙未悬挂管理标志牌；2.1号风机未设置安全警示标志；3.配电室警示标识设置在旋转门上不符合规范；4.1040通往采场的分岔口未设置安全警示标识。2019年9月16日，山西省应急管理厅对中国铝业股份有限公司兴县奥家湾铝矿的如下违法违规行为作出“责令限期改正，处人民币壹万元罚款”的行政处罚决定：Ⅱ号矿未按应急预案物资储备清单储备物资。2019年9月16日，山西省应急管理厅对中国铝业股份有限公司兴县奥家湾铝矿的如下违法违规行为作出“责令限期改正，处人民币贰万元罚款”的行政处罚决定：Ⅱ号矿1、1号风机房风门变形未及时维护，存在漏风隐患；2、1号风机房风门变形，有杂物堆放未及时维护，存在安全出口不畅；3、1040中段6号下山风管存在漏风隐患未及时维护；4、地表水泵房应急灯未接电没有及时维护。2020年4月18日，广西省平果市应急管理局对中国铝业股份有限公司广西分公司的如下违法违规行为罚款22万元：中国铝业广西分公司在“12.29”事故案中存在落实企业安全生产主体责任不到位的违法事实，一是未能健全岗位操作规程，提高安全生产水平，确保安全生产；二是未能有效吸取类似事故教训和未能针对性开展岗位安全教育培训防止类似事故不再发生；三是未加强安全生产管理，清障作业现场安全监管缺失。对事故的发生负有一定的管理责任。</w:t>
      </w:r>
    </w:p>
    <w:p>
      <w:pPr>
        <w:widowControl/>
        <w:spacing w:line="360" w:lineRule="auto"/>
        <w:rPr>
          <w:color w:val="000000"/>
          <w:sz w:val="24"/>
        </w:rPr>
      </w:pPr>
      <w:r>
        <w:rPr>
          <w:rFonts w:eastAsiaTheme="minorEastAsia"/>
          <w:color w:themeColor="text1" w:val="000000"/>
          <w:sz w:val="24"/>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责令改正，并处罚款50万元”的行政处罚决定。</w:t>
      </w:r>
    </w:p>
    <w:p>
      <w:pPr>
        <w:widowControl/>
        <w:spacing w:line="360" w:lineRule="auto"/>
        <w:rPr>
          <w:color w:val="000000"/>
          <w:sz w:val="24"/>
        </w:rPr>
      </w:pPr>
      <w:r>
        <w:rPr>
          <w:rFonts w:eastAsiaTheme="minorEastAsia"/>
          <w:color w:themeColor="text1" w:val="000000"/>
          <w:sz w:val="24"/>
        </w:rPr>
        <w:t>本基金投资20农发01、20上海银行CD060、20中信银行CD051、20华泰证券CP006、20中铝SCP011、20浦发银行CD128的投资决策程序符合公司投资制度的规定。</w:t>
      </w:r>
    </w:p>
    <w:p>
      <w:pPr>
        <w:widowControl/>
        <w:spacing w:line="360" w:lineRule="auto"/>
        <w:rPr>
          <w:color w:val="000000"/>
          <w:sz w:val="24"/>
        </w:rPr>
      </w:pPr>
      <w:r>
        <w:rPr>
          <w:rFonts w:eastAsiaTheme="minorEastAsia"/>
          <w:color w:themeColor="text1" w:val="000000"/>
          <w:sz w:val="24"/>
        </w:rPr>
        <w:t>除20农发01、20上海银行CD060、20中信银行CD051、20华泰证券CP006、20中铝SCP011、20浦发银行CD128外，本基金投资的前十名证券的发行主体本期没有出现被监管部门立案调查，或在报告编制日前一年内受到公开谴责、处罚的情形。</w:t>
      </w:r>
    </w:p>
    <w:p w:rsidP="00815CDE" w:rsidR="00941F6C" w:rsidRDefault="00941F6C" w:rsidRPr="004B40EC">
      <w:pPr>
        <w:spacing w:line="360" w:lineRule="auto"/>
        <w:rPr>
          <w:bCs/>
          <w:sz w:val="24"/>
        </w:rPr>
      </w:pPr>
      <w:r w:rsidRPr="004B40EC">
        <w:rPr>
          <w:sz w:val="24"/>
        </w:rPr>
        <w:t>5.9.3</w:t>
      </w:r>
      <w:r w:rsidR="00BC3C5E">
        <w:rPr>
          <w:sz w:val="24"/>
        </w:rPr>
        <w:t>其他</w:t>
      </w:r>
      <w:bookmarkStart w:id="2" w:name="_GoBack"/>
      <w:bookmarkEnd w:id="2"/>
      <w:r w:rsidRPr="004B40EC">
        <w:rPr>
          <w:sz w:val="24"/>
        </w:rPr>
        <w:t>资产构成</w:t>
      </w:r>
    </w:p>
    <w:tbl>
      <w:tblPr>
        <w:tblW w:type="auto" w:w="0"/>
        <w:tblInd w:type="dxa" w:w="1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942"/>
        <w:gridCol w:w="3535"/>
        <w:gridCol w:w="4808"/>
      </w:tblGrid>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7"/>
              <w:jc w:val="center"/>
              <w:rPr>
                <w:color w:val="000000"/>
                <w:kern w:val="0"/>
                <w:sz w:val="24"/>
              </w:rPr>
            </w:pPr>
            <w:r w:rsidRPr="004B40EC">
              <w:rPr>
                <w:color w:val="000000"/>
                <w:kern w:val="0"/>
                <w:sz w:val="24"/>
              </w:rPr>
              <w:t>序号</w:t>
            </w:r>
          </w:p>
        </w:tc>
        <w:tc>
          <w:tcPr>
            <w:tcW w:type="dxa" w:w="3535"/>
            <w:vAlign w:val="center"/>
          </w:tcPr>
          <w:p w:rsidP="00CA7D55" w:rsidR="00941F6C" w:rsidRDefault="00941F6C" w:rsidRPr="004B40EC">
            <w:pPr>
              <w:autoSpaceDE w:val="0"/>
              <w:autoSpaceDN w:val="0"/>
              <w:adjustRightInd w:val="0"/>
              <w:spacing w:before="29" w:line="360" w:lineRule="auto"/>
              <w:ind w:left="17"/>
              <w:jc w:val="center"/>
              <w:rPr>
                <w:color w:val="000000"/>
                <w:kern w:val="0"/>
                <w:sz w:val="24"/>
              </w:rPr>
            </w:pPr>
            <w:r w:rsidRPr="004B40EC">
              <w:rPr>
                <w:color w:val="000000"/>
                <w:kern w:val="0"/>
                <w:sz w:val="24"/>
              </w:rPr>
              <w:t>名称</w:t>
            </w:r>
          </w:p>
        </w:tc>
        <w:tc>
          <w:tcPr>
            <w:tcW w:type="dxa" w:w="4808"/>
            <w:vAlign w:val="center"/>
          </w:tcPr>
          <w:p w:rsidP="00DC22A1" w:rsidR="00941F6C" w:rsidRDefault="00941F6C" w:rsidRPr="004B40EC">
            <w:pPr>
              <w:autoSpaceDE w:val="0"/>
              <w:autoSpaceDN w:val="0"/>
              <w:adjustRightInd w:val="0"/>
              <w:spacing w:before="29" w:line="360" w:lineRule="auto"/>
              <w:ind w:left="17"/>
              <w:jc w:val="center"/>
              <w:rPr>
                <w:color w:val="000000"/>
                <w:kern w:val="0"/>
                <w:sz w:val="24"/>
              </w:rPr>
            </w:pPr>
            <w:r w:rsidRPr="004B40EC">
              <w:rPr>
                <w:color w:val="000000"/>
                <w:kern w:val="0"/>
                <w:sz w:val="24"/>
              </w:rPr>
              <w:t>金额</w:t>
            </w:r>
            <w:r w:rsidR="00DC22A1" w:rsidRPr="004B40EC">
              <w:rPr>
                <w:color w:val="000000"/>
                <w:kern w:val="0"/>
                <w:sz w:val="24"/>
              </w:rPr>
              <w:t>（元）</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kern w:val="0"/>
                <w:sz w:val="24"/>
              </w:rPr>
            </w:pPr>
            <w:r w:rsidRPr="004B40EC">
              <w:rPr>
                <w:color w:val="000000"/>
                <w:sz w:val="24"/>
              </w:rPr>
              <w:t>1</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存出保证金</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lastRenderedPageBreak/>
              <w:t>2</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应收证券清算款</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153,334.46</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3</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应收利息</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22,383,945.26</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4</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应收申购款</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978,748.61</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5</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其他应收款</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6</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待摊费用</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7</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其他</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8</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合计</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23,516,028.33</w:t>
            </w:r>
          </w:p>
        </w:tc>
      </w:tr>
    </w:tbl>
    <w:p w:rsidP="00CE0B87" w:rsidR="00873984" w:rsidRDefault="00873984"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6  </w:t>
      </w:r>
      <w:r w:rsidRPr="0097021E">
        <w:rPr>
          <w:rFonts w:ascii="宋体" w:cs="Arial" w:hAnsi="宋体" w:hint="eastAsia"/>
          <w:color w:val="000000"/>
          <w:kern w:val="0"/>
          <w:sz w:val="24"/>
          <w:szCs w:val="24"/>
        </w:rPr>
        <w:t>开放式基金份额变动</w:t>
      </w:r>
    </w:p>
    <w:p w:rsidP="00873984" w:rsidR="00873984" w:rsidRDefault="00873984" w:rsidRPr="00361E73">
      <w:pPr>
        <w:autoSpaceDE w:val="0"/>
        <w:autoSpaceDN w:val="0"/>
        <w:adjustRightInd w:val="0"/>
        <w:spacing w:before="29" w:line="360" w:lineRule="auto"/>
        <w:ind w:left="15"/>
        <w:jc w:val="right"/>
        <w:rPr>
          <w:rFonts w:ascii="宋体" w:cs="Arial" w:hAnsi="宋体"/>
          <w:color w:val="000000"/>
          <w:kern w:val="0"/>
          <w:sz w:val="24"/>
        </w:rPr>
      </w:pPr>
      <w:r w:rsidRPr="00361E73">
        <w:rPr>
          <w:rFonts w:ascii="宋体" w:cs="Arial" w:hAnsi="宋体" w:hint="eastAsia"/>
          <w:color w:val="000000"/>
          <w:kern w:val="0"/>
          <w:sz w:val="24"/>
        </w:rPr>
        <w:t>单位：份</w:t>
      </w:r>
    </w:p>
    <w:tbl>
      <w:tblPr>
        <w:tblW w:type="dxa" w:w="997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4134"/>
        <w:gridCol w:w="2920"/>
        <w:gridCol w:w="2920"/>
      </w:tblGrid>
      <w:tr w:rsidR="00873984" w:rsidRPr="00E179CD" w:rsidTr="00547B14">
        <w:tc>
          <w:tcPr>
            <w:tcW w:type="dxa" w:w="4134"/>
            <w:vAlign w:val="center"/>
          </w:tcPr>
          <w:p w:rsidP="00547B14" w:rsidR="00873984" w:rsidRDefault="00873984" w:rsidRPr="00361E73">
            <w:pPr>
              <w:autoSpaceDE w:val="0"/>
              <w:autoSpaceDN w:val="0"/>
              <w:adjustRightInd w:val="0"/>
              <w:spacing w:before="29" w:line="360" w:lineRule="auto"/>
              <w:ind w:left="15"/>
              <w:jc w:val="center"/>
              <w:rPr>
                <w:color w:val="000000"/>
                <w:kern w:val="0"/>
                <w:sz w:val="24"/>
              </w:rPr>
            </w:pPr>
            <w:r w:rsidRPr="00361E73">
              <w:rPr>
                <w:color w:val="000000"/>
                <w:kern w:val="0"/>
                <w:sz w:val="24"/>
              </w:rPr>
              <w:t>项目</w:t>
            </w:r>
          </w:p>
        </w:tc>
        <w:tc>
          <w:tcPr>
            <w:tcW w:type="dxa" w:w="2920"/>
            <w:vAlign w:val="center"/>
          </w:tcPr>
          <w:p w:rsidP="00547B14" w:rsidR="00873984" w:rsidRDefault="00873984" w:rsidRPr="00361E73">
            <w:pPr>
              <w:autoSpaceDE w:val="0"/>
              <w:autoSpaceDN w:val="0"/>
              <w:adjustRightInd w:val="0"/>
              <w:spacing w:before="29" w:line="360" w:lineRule="auto"/>
              <w:ind w:left="15"/>
              <w:jc w:val="center"/>
              <w:rPr>
                <w:color w:val="000000"/>
                <w:kern w:val="0"/>
                <w:sz w:val="24"/>
              </w:rPr>
            </w:pPr>
            <w:r w:rsidRPr="00361E73">
              <w:rPr>
                <w:color w:val="000000"/>
                <w:kern w:val="0"/>
                <w:sz w:val="24"/>
              </w:rPr>
              <w:t/>
            </w:r>
            <w:proofErr w:type="spellStart"/>
            <w:r w:rsidRPr="00361E73">
              <w:rPr>
                <w:sz w:val="24"/>
              </w:rPr>
              <w:t/>
            </w:r>
            <w:proofErr w:type="spellEnd"/>
            <w:r w:rsidRPr="00361E73">
              <w:rPr>
                <w:sz w:val="24"/>
              </w:rPr>
              <w:t>易方达天天增利货币A</w:t>
            </w:r>
          </w:p>
        </w:tc>
        <w:tc>
          <w:tcPr>
            <w:tcW w:type="dxa" w:w="2920"/>
            <w:vAlign w:val="center"/>
          </w:tcPr>
          <w:p w:rsidP="00547B14" w:rsidR="00873984" w:rsidRDefault="00873984" w:rsidRPr="00361E73">
            <w:pPr>
              <w:autoSpaceDE w:val="0"/>
              <w:autoSpaceDN w:val="0"/>
              <w:adjustRightInd w:val="0"/>
              <w:spacing w:before="29" w:line="360" w:lineRule="auto"/>
              <w:ind w:left="15"/>
              <w:jc w:val="center"/>
              <w:rPr>
                <w:color w:val="000000"/>
                <w:kern w:val="0"/>
                <w:sz w:val="24"/>
              </w:rPr>
            </w:pPr>
            <w:r w:rsidRPr="00361E73">
              <w:rPr>
                <w:color w:val="000000"/>
                <w:kern w:val="0"/>
                <w:sz w:val="24"/>
              </w:rPr>
              <w:t/>
            </w:r>
            <w:proofErr w:type="spellStart"/>
            <w:r w:rsidRPr="00361E73">
              <w:rPr>
                <w:sz w:val="24"/>
              </w:rPr>
              <w:t/>
            </w:r>
            <w:proofErr w:type="spellEnd"/>
            <w:r w:rsidRPr="00361E73">
              <w:rPr>
                <w:sz w:val="24"/>
              </w:rPr>
              <w:t>易方达天天增利货币B</w:t>
            </w:r>
          </w:p>
        </w:tc>
      </w:tr>
      <w:tr w:rsidR="00873984" w:rsidRPr="00E179CD" w:rsidTr="00547B14">
        <w:tc>
          <w:tcPr>
            <w:tcW w:type="dxa" w:w="4134"/>
            <w:vAlign w:val="center"/>
          </w:tcPr>
          <w:p w:rsidP="00547B14" w:rsidR="00873984" w:rsidRDefault="00873984" w:rsidRPr="00361E73">
            <w:pPr>
              <w:autoSpaceDE w:val="0"/>
              <w:autoSpaceDN w:val="0"/>
              <w:adjustRightInd w:val="0"/>
              <w:spacing w:before="29" w:line="360" w:lineRule="auto"/>
              <w:ind w:left="17"/>
              <w:rPr>
                <w:color w:val="000000"/>
                <w:kern w:val="0"/>
                <w:sz w:val="24"/>
              </w:rPr>
            </w:pPr>
            <w:r w:rsidRPr="00A15461">
              <w:rPr>
                <w:color w:val="000000"/>
                <w:kern w:val="0"/>
                <w:sz w:val="24"/>
              </w:rPr>
              <w:t>报告期期初基金份额总额</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6,621,128,530.85</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99,900,961.83</w:t>
            </w:r>
          </w:p>
        </w:tc>
      </w:tr>
      <w:tr w:rsidR="00873984" w:rsidRPr="00E179CD" w:rsidTr="00547B14">
        <w:tc>
          <w:tcPr>
            <w:tcW w:type="dxa" w:w="4134"/>
            <w:vAlign w:val="center"/>
          </w:tcPr>
          <w:p w:rsidP="00547B14" w:rsidR="00873984" w:rsidRDefault="00873984" w:rsidRPr="009742E2">
            <w:pPr>
              <w:adjustRightInd w:val="0"/>
              <w:snapToGrid w:val="0"/>
              <w:spacing w:line="340" w:lineRule="exact"/>
              <w:rPr>
                <w:color w:val="000000"/>
                <w:sz w:val="24"/>
              </w:rPr>
            </w:pPr>
            <w:r w:rsidRPr="00361E73">
              <w:rPr>
                <w:color w:val="000000"/>
                <w:kern w:val="0"/>
                <w:sz w:val="24"/>
              </w:rPr>
              <w:t/>
            </w:r>
            <w:proofErr w:type="spellStart"/>
            <w:r w:rsidR="00331F8B">
              <w:rPr>
                <w:color w:val="000000"/>
                <w:kern w:val="0"/>
                <w:sz w:val="24"/>
              </w:rPr>
              <w:t/>
            </w:r>
            <w:proofErr w:type="spellEnd"/>
            <w:r w:rsidRPr="00361E73">
              <w:rPr>
                <w:color w:val="000000"/>
                <w:kern w:val="0"/>
                <w:sz w:val="24"/>
              </w:rPr>
              <w:t>报告期</w:t>
            </w:r>
            <w:r w:rsidRPr="009742E2">
              <w:rPr>
                <w:color w:val="000000"/>
                <w:sz w:val="24"/>
              </w:rPr>
              <w:t>基金总申购份额</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r w:rsidRPr="00361E73">
              <w:rPr>
                <w:color w:val="000000"/>
                <w:sz w:val="24"/>
              </w:rPr>
              <w:lastRenderedPageBreak/>
              <w:t/>
            </w:r>
            <w:proofErr w:type="spellEnd"/>
            <w:r w:rsidRPr="00361E73">
              <w:rPr>
                <w:color w:val="000000"/>
                <w:sz w:val="24"/>
              </w:rPr>
              <w:t>33,289,860,836.91</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lastRenderedPageBreak/>
              <w:t/>
            </w:r>
            <w:proofErr w:type="spellStart"/>
            <w:r w:rsidRPr="00361E73">
              <w:rPr>
                <w:color w:val="000000"/>
                <w:sz w:val="24"/>
              </w:rPr>
              <w:t/>
            </w:r>
            <w:r w:rsidRPr="00361E73">
              <w:rPr>
                <w:color w:val="000000"/>
                <w:sz w:val="24"/>
              </w:rPr>
              <w:lastRenderedPageBreak/>
              <w:t/>
            </w:r>
            <w:proofErr w:type="spellEnd"/>
            <w:r w:rsidRPr="00361E73">
              <w:rPr>
                <w:color w:val="000000"/>
                <w:sz w:val="24"/>
              </w:rPr>
              <w:t>28,467,971.33</w:t>
            </w:r>
          </w:p>
        </w:tc>
      </w:tr>
      <w:tr w:rsidR="00873984" w:rsidRPr="00E179CD" w:rsidTr="00547B14">
        <w:tc>
          <w:tcPr>
            <w:tcW w:type="dxa" w:w="4134"/>
            <w:vAlign w:val="center"/>
          </w:tcPr>
          <w:p w:rsidP="00547B14" w:rsidR="00873984" w:rsidRDefault="00873984" w:rsidRPr="009742E2">
            <w:pPr>
              <w:adjustRightInd w:val="0"/>
              <w:snapToGrid w:val="0"/>
              <w:spacing w:line="340" w:lineRule="exact"/>
              <w:rPr>
                <w:color w:val="000000"/>
                <w:sz w:val="24"/>
              </w:rPr>
            </w:pPr>
            <w:r w:rsidRPr="00361E73">
              <w:rPr>
                <w:color w:val="000000"/>
                <w:kern w:val="0"/>
                <w:sz w:val="24"/>
              </w:rPr>
              <w:lastRenderedPageBreak/>
              <w:t/>
            </w:r>
            <w:proofErr w:type="spellStart"/>
            <w:r w:rsidR="00331F8B">
              <w:rPr>
                <w:color w:val="000000"/>
                <w:kern w:val="0"/>
                <w:sz w:val="24"/>
              </w:rPr>
              <w:t/>
            </w:r>
            <w:proofErr w:type="spellEnd"/>
            <w:r w:rsidRPr="00361E73">
              <w:rPr>
                <w:color w:val="000000"/>
                <w:kern w:val="0"/>
                <w:sz w:val="24"/>
              </w:rPr>
              <w:t>报告期</w:t>
            </w:r>
            <w:r w:rsidRPr="009742E2">
              <w:rPr>
                <w:color w:val="000000"/>
                <w:sz w:val="24"/>
              </w:rPr>
              <w:t>基金总赎回份额</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31,606,768,406.59</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46,609,436.29</w:t>
            </w:r>
          </w:p>
        </w:tc>
      </w:tr>
      <w:tr w:rsidR="00873984" w:rsidRPr="00E179CD" w:rsidTr="00547B14">
        <w:tc>
          <w:tcPr>
            <w:tcW w:type="dxa" w:w="4134"/>
            <w:vAlign w:val="center"/>
          </w:tcPr>
          <w:p w:rsidP="00547B14" w:rsidR="00873984" w:rsidRDefault="00873984" w:rsidRPr="009742E2">
            <w:pPr>
              <w:adjustRightInd w:val="0"/>
              <w:snapToGrid w:val="0"/>
              <w:spacing w:line="340" w:lineRule="exact"/>
              <w:rPr>
                <w:color w:val="000000"/>
                <w:sz w:val="24"/>
              </w:rPr>
            </w:pPr>
            <w:r w:rsidRPr="009742E2">
              <w:rPr>
                <w:color w:val="000000"/>
                <w:sz w:val="24"/>
              </w:rPr>
              <w:t>报告期期末基金份额总额</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8,304,220,961.17</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81,759,496.87</w:t>
            </w:r>
          </w:p>
        </w:tc>
      </w:tr>
    </w:tbl>
    <w:p w:rsidP="00CE0B87" w:rsidR="00941F6C" w:rsidRDefault="00941F6C"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Pr>
          <w:rFonts w:ascii="宋体"/>
          <w:color w:val="000000"/>
          <w:kern w:val="0"/>
          <w:sz w:val="24"/>
          <w:szCs w:val="24"/>
        </w:rPr>
        <w:t/>
      </w:r>
      <w:r>
        <w:rPr>
          <w:rFonts w:ascii="宋体" w:hAnsi="宋体"/>
          <w:color w:val="000000"/>
          <w:kern w:val="0"/>
          <w:sz w:val="24"/>
          <w:szCs w:val="24"/>
        </w:rPr>
        <w:t/>
      </w:r>
      <w:r w:rsidRPr="00264E55">
        <w:rPr>
          <w:rFonts w:ascii="宋体"/>
          <w:color w:val="000000"/>
          <w:kern w:val="0"/>
          <w:sz w:val="24"/>
          <w:szCs w:val="24"/>
        </w:rPr>
        <w:t>7</w:t>
      </w:r>
      <w:r w:rsidR="00B963A4" w:rsidRPr="0097021E">
        <w:rPr>
          <w:rFonts w:ascii="宋体" w:cs="Arial" w:hAnsi="宋体"/>
          <w:color w:val="000000"/>
          <w:kern w:val="0"/>
          <w:sz w:val="24"/>
          <w:szCs w:val="24"/>
        </w:rPr>
        <w:t xml:space="preserve">  </w:t>
      </w:r>
      <w:r w:rsidRPr="005C2541">
        <w:rPr>
          <w:rFonts w:ascii="宋体" w:hAnsi="宋体" w:hint="eastAsia"/>
          <w:color w:val="000000"/>
          <w:kern w:val="0"/>
          <w:sz w:val="24"/>
          <w:szCs w:val="24"/>
        </w:rPr>
        <w:t>基金管理人运用固有资金投资本基金交易明细</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
      </w:r>
      <w:proofErr w:type="spellStart"/>
      <w:r w:rsidRPr="00A15461">
        <w:rPr>
          <w:color w:val="000000"/>
          <w:sz w:val="24"/>
        </w:rPr>
        <w:t/>
      </w:r>
      <w:proofErr w:type="spellEnd"/>
      <w:r w:rsidRPr="00A15461">
        <w:rPr>
          <w:color w:val="000000"/>
          <w:sz w:val="24"/>
        </w:rPr>
        <w:t>本报告期内基金管理人未运用固有资金申购、赎回、买卖本基金份额。</w:t>
      </w:r>
    </w:p>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color w:val="000000"/>
          <w:kern w:val="0"/>
          <w:sz w:val="24"/>
          <w:szCs w:val="24"/>
        </w:rPr>
        <w:t/>
      </w:r>
      <w:r w:rsidRPr="0097021E">
        <w:rPr>
          <w:rFonts w:ascii="宋体" w:cs="Arial" w:hAnsi="宋体"/>
          <w:color w:val="000000"/>
          <w:kern w:val="0"/>
          <w:sz w:val="24"/>
          <w:szCs w:val="24"/>
        </w:rPr>
        <w:t xml:space="preserve">8  </w:t>
      </w:r>
      <w:r w:rsidRPr="0097021E">
        <w:rPr>
          <w:rFonts w:ascii="宋体" w:cs="Arial" w:hAnsi="宋体" w:hint="eastAsia"/>
          <w:color w:val="000000"/>
          <w:kern w:val="0"/>
          <w:sz w:val="24"/>
          <w:szCs w:val="24"/>
        </w:rPr>
        <w:t>备查文件目录</w:t>
      </w:r>
    </w:p>
    <w:p w:rsidP="00394BC1" w:rsidR="00941F6C" w:rsidRDefault="00941F6C"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.1 </w:t>
      </w:r>
      <w:r w:rsidRPr="0097021E">
        <w:rPr>
          <w:rFonts w:ascii="宋体" w:hAnsi="宋体" w:hint="eastAsia"/>
          <w:b/>
          <w:bCs/>
          <w:color w:val="000000"/>
          <w:kern w:val="0"/>
          <w:sz w:val="24"/>
        </w:rPr>
        <w:t>备查文件目录</w:t>
      </w:r>
    </w:p>
    <w:p>
      <w:pPr>
        <w:adjustRightInd w:val="0"/>
        <w:spacing w:line="360" w:lineRule="auto"/>
        <w:ind w:firstLine="480" w:firstLineChars="200"/>
        <w:rPr>
          <w:color w:val="000000"/>
          <w:sz w:val="24"/>
        </w:rPr>
      </w:pPr>
      <w:r>
        <w:rPr>
          <w:color w:val="000000"/>
          <w:sz w:val="24"/>
        </w:rPr>
        <w:t>1.中国证监会核准易方达天天增利货币市场基金募集的文件；</w:t>
      </w:r>
    </w:p>
    <w:p>
      <w:pPr>
        <w:adjustRightInd w:val="0"/>
        <w:spacing w:line="360" w:lineRule="auto"/>
        <w:ind w:firstLine="480" w:firstLineChars="200"/>
        <w:rPr>
          <w:color w:val="000000"/>
          <w:sz w:val="24"/>
        </w:rPr>
      </w:pPr>
      <w:r>
        <w:rPr>
          <w:color w:val="000000"/>
          <w:sz w:val="24"/>
        </w:rPr>
        <w:t>2.《易方达天天增利货币市场基金基金合同》；</w:t>
      </w:r>
    </w:p>
    <w:p>
      <w:pPr>
        <w:adjustRightInd w:val="0"/>
        <w:spacing w:line="360" w:lineRule="auto"/>
        <w:ind w:firstLine="480" w:firstLineChars="200"/>
        <w:rPr>
          <w:color w:val="000000"/>
          <w:sz w:val="24"/>
        </w:rPr>
      </w:pPr>
      <w:r>
        <w:rPr>
          <w:color w:val="000000"/>
          <w:sz w:val="24"/>
        </w:rPr>
        <w:t>3.《易方达天天增利货币市场基金托管协议》；</w:t>
      </w:r>
    </w:p>
    <w:p>
      <w:pPr>
        <w:adjustRightInd w:val="0"/>
        <w:spacing w:line="360" w:lineRule="auto"/>
        <w:ind w:firstLine="480" w:firstLineChars="200"/>
        <w:rPr>
          <w:color w:val="000000"/>
          <w:sz w:val="24"/>
        </w:rPr>
      </w:pPr>
      <w:r>
        <w:rPr>
          <w:color w:val="000000"/>
          <w:sz w:val="24"/>
        </w:rPr>
        <w:t>4.《易方达基金管理有限公司开放式基金业务规则》；</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5.基金管理人业务资格批件、营业执照。</w:t>
      </w:r>
    </w:p>
    <w:p w:rsidP="00394BC1" w:rsidR="00941F6C" w:rsidRDefault="00941F6C"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.2 </w:t>
      </w:r>
      <w:r w:rsidRPr="0097021E">
        <w:rPr>
          <w:rFonts w:ascii="宋体" w:hAnsi="宋体" w:hint="eastAsia"/>
          <w:b/>
          <w:bCs/>
          <w:color w:val="000000"/>
          <w:kern w:val="0"/>
          <w:sz w:val="24"/>
        </w:rPr>
        <w:t>存放地点</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广州市天河区珠江新城珠江东路30号广州银行大厦40-43楼。</w:t>
      </w:r>
    </w:p>
    <w:p w:rsidP="00394BC1" w:rsidR="00941F6C" w:rsidRDefault="00941F6C"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.3 </w:t>
      </w:r>
      <w:r w:rsidRPr="0097021E">
        <w:rPr>
          <w:rFonts w:ascii="宋体" w:hAnsi="宋体" w:hint="eastAsia"/>
          <w:b/>
          <w:bCs/>
          <w:color w:val="000000"/>
          <w:kern w:val="0"/>
          <w:sz w:val="24"/>
        </w:rPr>
        <w:t>查阅方式</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投资者可在营业时间免费查阅，也可按工本费购买复印件。</w:t>
      </w: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196812" w:rsidR="00941F6C" w:rsidRDefault="00941F6C" w:rsidRPr="0097021E">
      <w:pPr>
        <w:spacing w:line="360" w:lineRule="auto"/>
        <w:ind w:left="840"/>
        <w:jc w:val="right"/>
        <w:rPr>
          <w:rFonts w:ascii="宋体"/>
          <w:color w:val="000000"/>
          <w:sz w:val="24"/>
        </w:rPr>
      </w:pPr>
    </w:p>
    <w:p w:rsidP="00394BC1" w:rsidR="00941F6C" w:rsidRDefault="00941F6C" w:rsidRPr="0097021E">
      <w:pPr>
        <w:spacing w:line="360" w:lineRule="auto"/>
        <w:jc w:val="right"/>
        <w:rPr>
          <w:rFonts w:ascii="宋体" w:hAnsi="宋体"/>
          <w:b/>
          <w:bCs/>
          <w:sz w:val="24"/>
        </w:rPr>
      </w:pPr>
      <w:r w:rsidRPr="0097021E">
        <w:rPr>
          <w:rFonts w:ascii="宋体"/>
          <w:b/>
          <w:bCs/>
          <w:sz w:val="24"/>
        </w:rPr>
        <w:t/>
      </w:r>
      <w:proofErr w:type="spellStart"/>
      <w:r w:rsidRPr="0097021E">
        <w:rPr>
          <w:rFonts w:ascii="宋体" w:hAnsi="宋体"/>
          <w:b/>
          <w:bCs/>
          <w:sz w:val="24"/>
        </w:rPr>
        <w:t/>
      </w:r>
      <w:proofErr w:type="spellEnd"/>
      <w:r w:rsidRPr="0097021E">
        <w:rPr>
          <w:rFonts w:ascii="宋体" w:hAnsi="宋体"/>
          <w:b/>
          <w:bCs/>
          <w:sz w:val="24"/>
        </w:rPr>
        <w:t>易方达基金管理有限公司</w:t>
      </w:r>
    </w:p>
    <w:p w:rsidP="00394BC1" w:rsidR="00941F6C" w:rsidRDefault="00941F6C" w:rsidRPr="0097021E">
      <w:pPr>
        <w:spacing w:line="360" w:lineRule="auto"/>
        <w:jc w:val="right"/>
        <w:rPr>
          <w:rFonts w:ascii="宋体" w:hAnsi="宋体"/>
          <w:b/>
          <w:bCs/>
          <w:sz w:val="24"/>
        </w:rPr>
      </w:pPr>
      <w:r w:rsidRPr="0097021E">
        <w:rPr>
          <w:rFonts w:ascii="宋体" w:hAnsi="宋体"/>
          <w:b/>
          <w:bCs/>
          <w:sz w:val="24"/>
        </w:rPr>
        <w:t/>
      </w:r>
      <w:proofErr w:type="spellStart"/>
      <w:r w:rsidRPr="0097021E">
        <w:rPr>
          <w:rFonts w:ascii="宋体" w:hAnsi="宋体"/>
          <w:b/>
          <w:bCs/>
          <w:sz w:val="24"/>
        </w:rPr>
        <w:t/>
      </w:r>
      <w:proofErr w:type="spellEnd"/>
      <w:r w:rsidRPr="0097021E">
        <w:rPr>
          <w:rFonts w:ascii="宋体" w:hAnsi="宋体"/>
          <w:b/>
          <w:bCs/>
          <w:sz w:val="24"/>
        </w:rPr>
        <w:t>二〇二〇年七月二十一日</w:t>
      </w:r>
    </w:p>
    <w:sectPr w:rsidR="00941F6C" w:rsidRPr="0097021E" w:rsidSect="00075BBB">
      <w:pgSz w:h="15840" w:w="11926"/>
      <w:pgMar w:bottom="852" w:footer="992" w:gutter="0" w:header="851" w:left="1420" w:right="1420" w:top="1420"/>
      <w:cols w:space="720"/>
      <w:noEndnote/>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C90" w:rsidRDefault="002B3C90">
      <w:r>
        <w:separator/>
      </w:r>
    </w:p>
  </w:endnote>
  <w:endnote w:type="continuationSeparator" w:id="0">
    <w:p w:rsidR="002B3C90" w:rsidRDefault="002B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0DB0" w:rsidR="00941F6C" w:rsidRDefault="00941F6C" w:rsidRPr="001D0DB0">
    <w:pPr>
      <w:pStyle w:val="a5"/>
      <w:jc w:val="center"/>
    </w:pPr>
    <w:r>
      <w:rPr>
        <w:rFonts w:hint="eastAsia"/>
        <w:szCs w:val="21"/>
      </w:rPr>
      <w:t>第</w:t>
    </w:r>
    <w:r w:rsidR="000D7F46">
      <w:rPr>
        <w:szCs w:val="21"/>
      </w:rPr>
      <w:fldChar w:fldCharType="begin"/>
    </w:r>
    <w:r>
      <w:rPr>
        <w:szCs w:val="21"/>
      </w:rPr>
      <w:instrText xml:space="preserve"> PAGE </w:instrText>
    </w:r>
    <w:r w:rsidR="000D7F46">
      <w:rPr>
        <w:szCs w:val="21"/>
      </w:rPr>
      <w:fldChar w:fldCharType="separate"/>
    </w:r>
    <w:r w:rsidR="00BC3C5E">
      <w:rPr>
        <w:noProof/>
        <w:szCs w:val="21"/>
      </w:rPr>
      <w:t>19</w:t>
    </w:r>
    <w:r w:rsidR="000D7F46">
      <w:rPr>
        <w:szCs w:val="21"/>
      </w:rPr>
      <w:fldChar w:fldCharType="end"/>
    </w:r>
    <w:proofErr w:type="gramStart"/>
    <w:r>
      <w:rPr>
        <w:rFonts w:hint="eastAsia"/>
        <w:szCs w:val="21"/>
      </w:rPr>
      <w:t>页共</w:t>
    </w:r>
    <w:proofErr w:type="gramEnd"/>
    <w:r w:rsidR="000D7F46">
      <w:rPr>
        <w:szCs w:val="21"/>
      </w:rPr>
      <w:fldChar w:fldCharType="begin"/>
    </w:r>
    <w:r>
      <w:rPr>
        <w:szCs w:val="21"/>
      </w:rPr>
      <w:instrText xml:space="preserve"> NUMPAGES </w:instrText>
    </w:r>
    <w:r w:rsidR="000D7F46">
      <w:rPr>
        <w:szCs w:val="21"/>
      </w:rPr>
      <w:fldChar w:fldCharType="separate"/>
    </w:r>
    <w:r w:rsidR="00BC3C5E">
      <w:rPr>
        <w:noProof/>
        <w:szCs w:val="21"/>
      </w:rPr>
      <w:t>27</w:t>
    </w:r>
    <w:r w:rsidR="000D7F46">
      <w:rPr>
        <w:szCs w:val="21"/>
      </w:rPr>
      <w:fldChar w:fldCharType="end"/>
    </w:r>
    <w:r>
      <w:rPr>
        <w:rFonts w:hint="eastAsia"/>
        <w:szCs w:val="21"/>
      </w:rPr>
      <w:t>页</w:t>
    </w: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2B3C90" w:rsidRDefault="002B3C90">
      <w:r>
        <w:separator/>
      </w:r>
    </w:p>
  </w:footnote>
  <w:footnote w:id="0" w:type="continuationSeparator">
    <w:p w:rsidR="002B3C90" w:rsidRDefault="002B3C90">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8379E2" w:rsidR="00941F6C" w:rsidRDefault="00941F6C" w:rsidRPr="004F32E4">
    <w:pPr>
      <w:pStyle w:val="a4"/>
      <w:pBdr>
        <w:bottom w:color="auto" w:space="0" w:sz="6" w:val="single"/>
      </w:pBdr>
      <w:jc w:val="right"/>
      <w:rPr>
        <w:sz w:val="15"/>
      </w:rPr>
    </w:pPr>
    <w:r w:rsidRPr="004F32E4">
      <w:rPr>
        <w:szCs w:val="21"/>
      </w:rPr>
      <w:t/>
    </w:r>
    <w:proofErr w:type="spellStart"/>
    <w:proofErr w:type="gramStart"/>
    <w:r w:rsidRPr="004F32E4">
      <w:rPr>
        <w:szCs w:val="21"/>
      </w:rPr>
      <w:t/>
    </w:r>
    <w:proofErr w:type="spellEnd"/>
    <w:proofErr w:type="gramEnd"/>
    <w:r w:rsidRPr="004F32E4">
      <w:rPr>
        <w:szCs w:val="21"/>
      </w:rPr>
      <w:t>易方达天天增利货币市场基金</w:t>
    </w:r>
    <w:proofErr w:type="spellStart"/>
    <w:r w:rsidRPr="004F32E4">
      <w:rPr>
        <w:szCs w:val="21"/>
      </w:rPr>
      <w:t/>
    </w:r>
    <w:proofErr w:type="spellEnd"/>
    <w:r w:rsidRPr="004F32E4">
      <w:rPr>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E125ACF"/>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num w:numId="1">
    <w:abstractNumId w:val="0"/>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embedSystemFonts/>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gt;?]}¢¨°·ˇˉ―‖’”…‰′″›℃∶、。〃〉》」』】〕〗〞︶︺︾﹀﹄﹚﹜﹞！＂％＇），．：；？］｀｜｝～￠"/>
  <w:doNotValidateAgainstSchema/>
  <w:doNotDemarcateInvalidXml/>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67283"/>
    <w:rsid w:val="000028CE"/>
    <w:rsid w:val="00004DE7"/>
    <w:rsid w:val="00005433"/>
    <w:rsid w:val="0001552D"/>
    <w:rsid w:val="0001566B"/>
    <w:rsid w:val="0002085F"/>
    <w:rsid w:val="00035596"/>
    <w:rsid w:val="000417E0"/>
    <w:rsid w:val="00044724"/>
    <w:rsid w:val="00047661"/>
    <w:rsid w:val="00052CA4"/>
    <w:rsid w:val="0005518A"/>
    <w:rsid w:val="00057D26"/>
    <w:rsid w:val="00063BA4"/>
    <w:rsid w:val="00065BBC"/>
    <w:rsid w:val="0006697D"/>
    <w:rsid w:val="00070092"/>
    <w:rsid w:val="0007109E"/>
    <w:rsid w:val="00075BBB"/>
    <w:rsid w:val="00075CA2"/>
    <w:rsid w:val="0007770D"/>
    <w:rsid w:val="00081C7E"/>
    <w:rsid w:val="000A2104"/>
    <w:rsid w:val="000A7480"/>
    <w:rsid w:val="000B2044"/>
    <w:rsid w:val="000B2266"/>
    <w:rsid w:val="000C469F"/>
    <w:rsid w:val="000C572D"/>
    <w:rsid w:val="000D0F44"/>
    <w:rsid w:val="000D12EA"/>
    <w:rsid w:val="000D6294"/>
    <w:rsid w:val="000D66F0"/>
    <w:rsid w:val="000D7F46"/>
    <w:rsid w:val="000E0F6E"/>
    <w:rsid w:val="000E7D73"/>
    <w:rsid w:val="000F2DA3"/>
    <w:rsid w:val="000F3C21"/>
    <w:rsid w:val="000F4826"/>
    <w:rsid w:val="000F5947"/>
    <w:rsid w:val="001007E9"/>
    <w:rsid w:val="00101278"/>
    <w:rsid w:val="001038EF"/>
    <w:rsid w:val="00103B93"/>
    <w:rsid w:val="001074D6"/>
    <w:rsid w:val="00113777"/>
    <w:rsid w:val="00114C97"/>
    <w:rsid w:val="001302DB"/>
    <w:rsid w:val="00132BFF"/>
    <w:rsid w:val="00145BCE"/>
    <w:rsid w:val="00157B55"/>
    <w:rsid w:val="0016083C"/>
    <w:rsid w:val="001614DC"/>
    <w:rsid w:val="00162222"/>
    <w:rsid w:val="001635C7"/>
    <w:rsid w:val="0018401C"/>
    <w:rsid w:val="00186667"/>
    <w:rsid w:val="00186F56"/>
    <w:rsid w:val="001878B0"/>
    <w:rsid w:val="00191B28"/>
    <w:rsid w:val="00193BCF"/>
    <w:rsid w:val="00195C6F"/>
    <w:rsid w:val="00196812"/>
    <w:rsid w:val="00197ED0"/>
    <w:rsid w:val="001A2524"/>
    <w:rsid w:val="001B2821"/>
    <w:rsid w:val="001B42BE"/>
    <w:rsid w:val="001B72D6"/>
    <w:rsid w:val="001B7CC6"/>
    <w:rsid w:val="001C5D80"/>
    <w:rsid w:val="001D0D4C"/>
    <w:rsid w:val="001D0DB0"/>
    <w:rsid w:val="001D3FAC"/>
    <w:rsid w:val="001D65C8"/>
    <w:rsid w:val="001D6ECD"/>
    <w:rsid w:val="001D75D9"/>
    <w:rsid w:val="001F0286"/>
    <w:rsid w:val="00204CFA"/>
    <w:rsid w:val="0020640F"/>
    <w:rsid w:val="0021251E"/>
    <w:rsid w:val="00232095"/>
    <w:rsid w:val="00233014"/>
    <w:rsid w:val="0024424F"/>
    <w:rsid w:val="002507FE"/>
    <w:rsid w:val="002525C7"/>
    <w:rsid w:val="002611C3"/>
    <w:rsid w:val="002622E8"/>
    <w:rsid w:val="00264E55"/>
    <w:rsid w:val="00267283"/>
    <w:rsid w:val="00267FF0"/>
    <w:rsid w:val="00274FAC"/>
    <w:rsid w:val="0027576B"/>
    <w:rsid w:val="002A4B7F"/>
    <w:rsid w:val="002B3C90"/>
    <w:rsid w:val="002B45A4"/>
    <w:rsid w:val="002B48D0"/>
    <w:rsid w:val="002C33A0"/>
    <w:rsid w:val="002D1E78"/>
    <w:rsid w:val="002D3ADF"/>
    <w:rsid w:val="002E040C"/>
    <w:rsid w:val="002E0F4A"/>
    <w:rsid w:val="002E303A"/>
    <w:rsid w:val="002F0E9D"/>
    <w:rsid w:val="002F210C"/>
    <w:rsid w:val="002F6539"/>
    <w:rsid w:val="00304E44"/>
    <w:rsid w:val="00307062"/>
    <w:rsid w:val="00307395"/>
    <w:rsid w:val="00311ADA"/>
    <w:rsid w:val="00311AEB"/>
    <w:rsid w:val="00322B07"/>
    <w:rsid w:val="0032323A"/>
    <w:rsid w:val="00323377"/>
    <w:rsid w:val="00327FB0"/>
    <w:rsid w:val="00331F8B"/>
    <w:rsid w:val="00340292"/>
    <w:rsid w:val="00340C3A"/>
    <w:rsid w:val="00343648"/>
    <w:rsid w:val="00343AF0"/>
    <w:rsid w:val="003446AD"/>
    <w:rsid w:val="00346359"/>
    <w:rsid w:val="00346B82"/>
    <w:rsid w:val="0035022C"/>
    <w:rsid w:val="0035215C"/>
    <w:rsid w:val="0035397F"/>
    <w:rsid w:val="003571ED"/>
    <w:rsid w:val="00361AB7"/>
    <w:rsid w:val="00362E2A"/>
    <w:rsid w:val="00371E26"/>
    <w:rsid w:val="00373AAB"/>
    <w:rsid w:val="00374016"/>
    <w:rsid w:val="0038256A"/>
    <w:rsid w:val="00383631"/>
    <w:rsid w:val="00384942"/>
    <w:rsid w:val="00393DB8"/>
    <w:rsid w:val="00394BC1"/>
    <w:rsid w:val="003A0538"/>
    <w:rsid w:val="003A0EC1"/>
    <w:rsid w:val="003A2D1C"/>
    <w:rsid w:val="003B36B4"/>
    <w:rsid w:val="003B6DC6"/>
    <w:rsid w:val="003C0E8C"/>
    <w:rsid w:val="003C1137"/>
    <w:rsid w:val="003C495A"/>
    <w:rsid w:val="003D1ECF"/>
    <w:rsid w:val="003D21F4"/>
    <w:rsid w:val="003E0CB5"/>
    <w:rsid w:val="003E14FE"/>
    <w:rsid w:val="003E565B"/>
    <w:rsid w:val="003F43EB"/>
    <w:rsid w:val="00402654"/>
    <w:rsid w:val="00403ED2"/>
    <w:rsid w:val="00404A00"/>
    <w:rsid w:val="0041278D"/>
    <w:rsid w:val="004147F3"/>
    <w:rsid w:val="004250C5"/>
    <w:rsid w:val="00425438"/>
    <w:rsid w:val="00433C1E"/>
    <w:rsid w:val="004369B0"/>
    <w:rsid w:val="00440828"/>
    <w:rsid w:val="0044257C"/>
    <w:rsid w:val="00446474"/>
    <w:rsid w:val="004527E3"/>
    <w:rsid w:val="00452968"/>
    <w:rsid w:val="00452D31"/>
    <w:rsid w:val="00460000"/>
    <w:rsid w:val="00461A70"/>
    <w:rsid w:val="004702DF"/>
    <w:rsid w:val="00473E10"/>
    <w:rsid w:val="00473EC9"/>
    <w:rsid w:val="00474896"/>
    <w:rsid w:val="004771B9"/>
    <w:rsid w:val="00483671"/>
    <w:rsid w:val="00496B2E"/>
    <w:rsid w:val="004A1355"/>
    <w:rsid w:val="004A2432"/>
    <w:rsid w:val="004A3251"/>
    <w:rsid w:val="004A357E"/>
    <w:rsid w:val="004A46A0"/>
    <w:rsid w:val="004B1C09"/>
    <w:rsid w:val="004B40EC"/>
    <w:rsid w:val="004C44F3"/>
    <w:rsid w:val="004C5B7C"/>
    <w:rsid w:val="004D18E1"/>
    <w:rsid w:val="004D22E1"/>
    <w:rsid w:val="004D6065"/>
    <w:rsid w:val="004E041A"/>
    <w:rsid w:val="004E3452"/>
    <w:rsid w:val="004E4E63"/>
    <w:rsid w:val="004F32E4"/>
    <w:rsid w:val="00505FFA"/>
    <w:rsid w:val="00506EF6"/>
    <w:rsid w:val="00512AA7"/>
    <w:rsid w:val="005134E7"/>
    <w:rsid w:val="005141F5"/>
    <w:rsid w:val="00515166"/>
    <w:rsid w:val="0051578D"/>
    <w:rsid w:val="00515B05"/>
    <w:rsid w:val="005212AE"/>
    <w:rsid w:val="00533490"/>
    <w:rsid w:val="0054464B"/>
    <w:rsid w:val="0054785C"/>
    <w:rsid w:val="00555883"/>
    <w:rsid w:val="00560F94"/>
    <w:rsid w:val="005633AD"/>
    <w:rsid w:val="00570F8C"/>
    <w:rsid w:val="005717B1"/>
    <w:rsid w:val="00575970"/>
    <w:rsid w:val="00582960"/>
    <w:rsid w:val="00587524"/>
    <w:rsid w:val="00592D0A"/>
    <w:rsid w:val="00594DCA"/>
    <w:rsid w:val="00595285"/>
    <w:rsid w:val="005A60B7"/>
    <w:rsid w:val="005B527B"/>
    <w:rsid w:val="005C2541"/>
    <w:rsid w:val="005C3044"/>
    <w:rsid w:val="005C4337"/>
    <w:rsid w:val="005D596C"/>
    <w:rsid w:val="005D6138"/>
    <w:rsid w:val="005D6807"/>
    <w:rsid w:val="005E05CC"/>
    <w:rsid w:val="005E1CCF"/>
    <w:rsid w:val="005E2087"/>
    <w:rsid w:val="005E6FA5"/>
    <w:rsid w:val="005F17EC"/>
    <w:rsid w:val="005F41D2"/>
    <w:rsid w:val="005F668B"/>
    <w:rsid w:val="005F6B28"/>
    <w:rsid w:val="005F7007"/>
    <w:rsid w:val="00607D19"/>
    <w:rsid w:val="00613327"/>
    <w:rsid w:val="006214E4"/>
    <w:rsid w:val="0063302E"/>
    <w:rsid w:val="00633177"/>
    <w:rsid w:val="006331F2"/>
    <w:rsid w:val="00636261"/>
    <w:rsid w:val="00636B17"/>
    <w:rsid w:val="0064191E"/>
    <w:rsid w:val="00664834"/>
    <w:rsid w:val="0066598A"/>
    <w:rsid w:val="006662B2"/>
    <w:rsid w:val="00672BEF"/>
    <w:rsid w:val="00673BA5"/>
    <w:rsid w:val="00685DE8"/>
    <w:rsid w:val="006911A1"/>
    <w:rsid w:val="00693EE6"/>
    <w:rsid w:val="006A1E40"/>
    <w:rsid w:val="006A2D00"/>
    <w:rsid w:val="006B01A5"/>
    <w:rsid w:val="006B2957"/>
    <w:rsid w:val="006B4C67"/>
    <w:rsid w:val="006D27DD"/>
    <w:rsid w:val="006D3126"/>
    <w:rsid w:val="006D4647"/>
    <w:rsid w:val="006D4C22"/>
    <w:rsid w:val="006E4EB5"/>
    <w:rsid w:val="006F1C55"/>
    <w:rsid w:val="006F3228"/>
    <w:rsid w:val="006F3CEE"/>
    <w:rsid w:val="006F622C"/>
    <w:rsid w:val="006F73DC"/>
    <w:rsid w:val="00707CB2"/>
    <w:rsid w:val="00710487"/>
    <w:rsid w:val="00712226"/>
    <w:rsid w:val="00714B3D"/>
    <w:rsid w:val="007277D1"/>
    <w:rsid w:val="00727EA0"/>
    <w:rsid w:val="0073105A"/>
    <w:rsid w:val="00734B8E"/>
    <w:rsid w:val="00737060"/>
    <w:rsid w:val="00741288"/>
    <w:rsid w:val="0074455F"/>
    <w:rsid w:val="007521F9"/>
    <w:rsid w:val="00756489"/>
    <w:rsid w:val="00756761"/>
    <w:rsid w:val="00756EA2"/>
    <w:rsid w:val="00757F37"/>
    <w:rsid w:val="00762E87"/>
    <w:rsid w:val="00764629"/>
    <w:rsid w:val="00764CF7"/>
    <w:rsid w:val="00764D09"/>
    <w:rsid w:val="00770628"/>
    <w:rsid w:val="007723FD"/>
    <w:rsid w:val="00772687"/>
    <w:rsid w:val="00774E1E"/>
    <w:rsid w:val="00780252"/>
    <w:rsid w:val="00780A1B"/>
    <w:rsid w:val="0078105B"/>
    <w:rsid w:val="00782061"/>
    <w:rsid w:val="00785C32"/>
    <w:rsid w:val="00795606"/>
    <w:rsid w:val="007B082A"/>
    <w:rsid w:val="007B1C3E"/>
    <w:rsid w:val="007C42E5"/>
    <w:rsid w:val="007C6CF9"/>
    <w:rsid w:val="007C7149"/>
    <w:rsid w:val="007D3CAD"/>
    <w:rsid w:val="007D6B90"/>
    <w:rsid w:val="007E0C02"/>
    <w:rsid w:val="007F1DE3"/>
    <w:rsid w:val="007F5A8D"/>
    <w:rsid w:val="007F7BD7"/>
    <w:rsid w:val="008056FA"/>
    <w:rsid w:val="008115B6"/>
    <w:rsid w:val="00813897"/>
    <w:rsid w:val="00814461"/>
    <w:rsid w:val="00815CDE"/>
    <w:rsid w:val="00824D84"/>
    <w:rsid w:val="00825EA5"/>
    <w:rsid w:val="00833555"/>
    <w:rsid w:val="008347B3"/>
    <w:rsid w:val="00835BDD"/>
    <w:rsid w:val="00837049"/>
    <w:rsid w:val="008379E2"/>
    <w:rsid w:val="00852119"/>
    <w:rsid w:val="0085498E"/>
    <w:rsid w:val="008564C2"/>
    <w:rsid w:val="0086245E"/>
    <w:rsid w:val="00866CC9"/>
    <w:rsid w:val="00873984"/>
    <w:rsid w:val="00880EE6"/>
    <w:rsid w:val="00882323"/>
    <w:rsid w:val="00893021"/>
    <w:rsid w:val="008966EA"/>
    <w:rsid w:val="008A3C06"/>
    <w:rsid w:val="008A6C04"/>
    <w:rsid w:val="008B23BD"/>
    <w:rsid w:val="008C6B6D"/>
    <w:rsid w:val="008D0A39"/>
    <w:rsid w:val="008E4638"/>
    <w:rsid w:val="008E6C59"/>
    <w:rsid w:val="008E71D2"/>
    <w:rsid w:val="008F44F3"/>
    <w:rsid w:val="008F602A"/>
    <w:rsid w:val="008F76DB"/>
    <w:rsid w:val="009004F7"/>
    <w:rsid w:val="00902E3F"/>
    <w:rsid w:val="00903E98"/>
    <w:rsid w:val="00906C9B"/>
    <w:rsid w:val="00910FB5"/>
    <w:rsid w:val="00911C0E"/>
    <w:rsid w:val="009153D7"/>
    <w:rsid w:val="00920D1F"/>
    <w:rsid w:val="00941F6C"/>
    <w:rsid w:val="0094213C"/>
    <w:rsid w:val="00943AFD"/>
    <w:rsid w:val="0097021E"/>
    <w:rsid w:val="00971C19"/>
    <w:rsid w:val="00971D35"/>
    <w:rsid w:val="0097327D"/>
    <w:rsid w:val="0099296A"/>
    <w:rsid w:val="009965A5"/>
    <w:rsid w:val="009A2DB3"/>
    <w:rsid w:val="009A5367"/>
    <w:rsid w:val="009A56D7"/>
    <w:rsid w:val="009A5CE7"/>
    <w:rsid w:val="009A755D"/>
    <w:rsid w:val="009B15FD"/>
    <w:rsid w:val="009B2693"/>
    <w:rsid w:val="009B3C3F"/>
    <w:rsid w:val="009B4EB9"/>
    <w:rsid w:val="009B73A7"/>
    <w:rsid w:val="009C1A42"/>
    <w:rsid w:val="009D3827"/>
    <w:rsid w:val="009D4685"/>
    <w:rsid w:val="009D60EB"/>
    <w:rsid w:val="009D74FC"/>
    <w:rsid w:val="009E07F4"/>
    <w:rsid w:val="009E26B0"/>
    <w:rsid w:val="009E2BAA"/>
    <w:rsid w:val="009E3E0B"/>
    <w:rsid w:val="009F480F"/>
    <w:rsid w:val="00A01505"/>
    <w:rsid w:val="00A1530B"/>
    <w:rsid w:val="00A15461"/>
    <w:rsid w:val="00A15E5D"/>
    <w:rsid w:val="00A16747"/>
    <w:rsid w:val="00A16D78"/>
    <w:rsid w:val="00A21EC2"/>
    <w:rsid w:val="00A24DC0"/>
    <w:rsid w:val="00A27322"/>
    <w:rsid w:val="00A3193E"/>
    <w:rsid w:val="00A42A96"/>
    <w:rsid w:val="00A455A0"/>
    <w:rsid w:val="00A50D92"/>
    <w:rsid w:val="00A62DD4"/>
    <w:rsid w:val="00A64F4A"/>
    <w:rsid w:val="00A65A66"/>
    <w:rsid w:val="00A6672A"/>
    <w:rsid w:val="00A7219D"/>
    <w:rsid w:val="00A732C4"/>
    <w:rsid w:val="00A805BC"/>
    <w:rsid w:val="00A80F9F"/>
    <w:rsid w:val="00A81075"/>
    <w:rsid w:val="00A87550"/>
    <w:rsid w:val="00A94718"/>
    <w:rsid w:val="00A95FA9"/>
    <w:rsid w:val="00AA5B03"/>
    <w:rsid w:val="00AA68D4"/>
    <w:rsid w:val="00AB373C"/>
    <w:rsid w:val="00AB5159"/>
    <w:rsid w:val="00AB67DE"/>
    <w:rsid w:val="00AC2B47"/>
    <w:rsid w:val="00AC3A1A"/>
    <w:rsid w:val="00AC3D9E"/>
    <w:rsid w:val="00AC446F"/>
    <w:rsid w:val="00AC6C3D"/>
    <w:rsid w:val="00AD1ADB"/>
    <w:rsid w:val="00AE17F1"/>
    <w:rsid w:val="00AE2FB9"/>
    <w:rsid w:val="00AE342F"/>
    <w:rsid w:val="00AE4F96"/>
    <w:rsid w:val="00AE6D9A"/>
    <w:rsid w:val="00AE7435"/>
    <w:rsid w:val="00AF2397"/>
    <w:rsid w:val="00AF27F9"/>
    <w:rsid w:val="00AF3D19"/>
    <w:rsid w:val="00B040BC"/>
    <w:rsid w:val="00B0441A"/>
    <w:rsid w:val="00B044FC"/>
    <w:rsid w:val="00B06458"/>
    <w:rsid w:val="00B25119"/>
    <w:rsid w:val="00B27004"/>
    <w:rsid w:val="00B33F45"/>
    <w:rsid w:val="00B33FA5"/>
    <w:rsid w:val="00B415B8"/>
    <w:rsid w:val="00B420AC"/>
    <w:rsid w:val="00B4354A"/>
    <w:rsid w:val="00B54CC5"/>
    <w:rsid w:val="00B60E27"/>
    <w:rsid w:val="00B64D62"/>
    <w:rsid w:val="00B6646C"/>
    <w:rsid w:val="00B76BBB"/>
    <w:rsid w:val="00B80EFA"/>
    <w:rsid w:val="00B83944"/>
    <w:rsid w:val="00B92A84"/>
    <w:rsid w:val="00B94530"/>
    <w:rsid w:val="00B94B49"/>
    <w:rsid w:val="00B963A4"/>
    <w:rsid w:val="00BA7AF1"/>
    <w:rsid w:val="00BB03CC"/>
    <w:rsid w:val="00BB1083"/>
    <w:rsid w:val="00BB252C"/>
    <w:rsid w:val="00BB5126"/>
    <w:rsid w:val="00BB7518"/>
    <w:rsid w:val="00BC0205"/>
    <w:rsid w:val="00BC14F5"/>
    <w:rsid w:val="00BC2146"/>
    <w:rsid w:val="00BC3C5E"/>
    <w:rsid w:val="00BD1A7F"/>
    <w:rsid w:val="00BD6918"/>
    <w:rsid w:val="00BE439F"/>
    <w:rsid w:val="00BE5584"/>
    <w:rsid w:val="00BF1111"/>
    <w:rsid w:val="00BF3886"/>
    <w:rsid w:val="00BF6648"/>
    <w:rsid w:val="00C009AF"/>
    <w:rsid w:val="00C02FCF"/>
    <w:rsid w:val="00C2005E"/>
    <w:rsid w:val="00C205E4"/>
    <w:rsid w:val="00C2782D"/>
    <w:rsid w:val="00C3040F"/>
    <w:rsid w:val="00C31398"/>
    <w:rsid w:val="00C31708"/>
    <w:rsid w:val="00C365A8"/>
    <w:rsid w:val="00C36C15"/>
    <w:rsid w:val="00C400D7"/>
    <w:rsid w:val="00C4213A"/>
    <w:rsid w:val="00C4371A"/>
    <w:rsid w:val="00C4627A"/>
    <w:rsid w:val="00C54D3E"/>
    <w:rsid w:val="00C637D1"/>
    <w:rsid w:val="00C640B8"/>
    <w:rsid w:val="00C64FED"/>
    <w:rsid w:val="00C7033B"/>
    <w:rsid w:val="00C83157"/>
    <w:rsid w:val="00C927D5"/>
    <w:rsid w:val="00CA0730"/>
    <w:rsid w:val="00CA1C04"/>
    <w:rsid w:val="00CA3808"/>
    <w:rsid w:val="00CA65DD"/>
    <w:rsid w:val="00CA7D55"/>
    <w:rsid w:val="00CB0BD6"/>
    <w:rsid w:val="00CB0E8A"/>
    <w:rsid w:val="00CC05B9"/>
    <w:rsid w:val="00CC171F"/>
    <w:rsid w:val="00CC3F83"/>
    <w:rsid w:val="00CC57FC"/>
    <w:rsid w:val="00CC7DB0"/>
    <w:rsid w:val="00CD2092"/>
    <w:rsid w:val="00CD5F24"/>
    <w:rsid w:val="00CE0B87"/>
    <w:rsid w:val="00CE0E18"/>
    <w:rsid w:val="00CE193A"/>
    <w:rsid w:val="00CE6A71"/>
    <w:rsid w:val="00CF1F4A"/>
    <w:rsid w:val="00CF38CA"/>
    <w:rsid w:val="00CF540B"/>
    <w:rsid w:val="00CF5996"/>
    <w:rsid w:val="00CF6DF0"/>
    <w:rsid w:val="00D0349F"/>
    <w:rsid w:val="00D03770"/>
    <w:rsid w:val="00D05BAA"/>
    <w:rsid w:val="00D06255"/>
    <w:rsid w:val="00D06394"/>
    <w:rsid w:val="00D15D82"/>
    <w:rsid w:val="00D1705E"/>
    <w:rsid w:val="00D25602"/>
    <w:rsid w:val="00D30BD3"/>
    <w:rsid w:val="00D33791"/>
    <w:rsid w:val="00D33BA8"/>
    <w:rsid w:val="00D364EB"/>
    <w:rsid w:val="00D40363"/>
    <w:rsid w:val="00D451BC"/>
    <w:rsid w:val="00D47169"/>
    <w:rsid w:val="00D51E96"/>
    <w:rsid w:val="00D568BB"/>
    <w:rsid w:val="00D630DA"/>
    <w:rsid w:val="00D63B9E"/>
    <w:rsid w:val="00D65D90"/>
    <w:rsid w:val="00D66016"/>
    <w:rsid w:val="00D769BA"/>
    <w:rsid w:val="00D8034F"/>
    <w:rsid w:val="00D81755"/>
    <w:rsid w:val="00D85366"/>
    <w:rsid w:val="00D8617C"/>
    <w:rsid w:val="00D86415"/>
    <w:rsid w:val="00D87D00"/>
    <w:rsid w:val="00D94E23"/>
    <w:rsid w:val="00D9798C"/>
    <w:rsid w:val="00DA133F"/>
    <w:rsid w:val="00DA1983"/>
    <w:rsid w:val="00DA2F1E"/>
    <w:rsid w:val="00DA5831"/>
    <w:rsid w:val="00DB0538"/>
    <w:rsid w:val="00DB2873"/>
    <w:rsid w:val="00DC22A1"/>
    <w:rsid w:val="00DC4482"/>
    <w:rsid w:val="00DD5028"/>
    <w:rsid w:val="00DF1198"/>
    <w:rsid w:val="00DF5A9C"/>
    <w:rsid w:val="00E12082"/>
    <w:rsid w:val="00E21589"/>
    <w:rsid w:val="00E24D9E"/>
    <w:rsid w:val="00E257C8"/>
    <w:rsid w:val="00E26581"/>
    <w:rsid w:val="00E2722E"/>
    <w:rsid w:val="00E31609"/>
    <w:rsid w:val="00E3447D"/>
    <w:rsid w:val="00E36895"/>
    <w:rsid w:val="00E431CE"/>
    <w:rsid w:val="00E445F8"/>
    <w:rsid w:val="00E503E4"/>
    <w:rsid w:val="00E5550E"/>
    <w:rsid w:val="00E55E02"/>
    <w:rsid w:val="00E571C4"/>
    <w:rsid w:val="00E62A69"/>
    <w:rsid w:val="00E63B3D"/>
    <w:rsid w:val="00E64479"/>
    <w:rsid w:val="00E67D99"/>
    <w:rsid w:val="00E71B2F"/>
    <w:rsid w:val="00E75556"/>
    <w:rsid w:val="00E76F1F"/>
    <w:rsid w:val="00E80BE2"/>
    <w:rsid w:val="00E8309D"/>
    <w:rsid w:val="00E90A9C"/>
    <w:rsid w:val="00E92BEC"/>
    <w:rsid w:val="00E95356"/>
    <w:rsid w:val="00E966E5"/>
    <w:rsid w:val="00EA3D96"/>
    <w:rsid w:val="00EA68F9"/>
    <w:rsid w:val="00EA6B69"/>
    <w:rsid w:val="00EA6B7B"/>
    <w:rsid w:val="00EB25E4"/>
    <w:rsid w:val="00EB3D8B"/>
    <w:rsid w:val="00ED093E"/>
    <w:rsid w:val="00ED1B77"/>
    <w:rsid w:val="00ED5511"/>
    <w:rsid w:val="00ED57D1"/>
    <w:rsid w:val="00EF3B7C"/>
    <w:rsid w:val="00EF56FA"/>
    <w:rsid w:val="00EF6216"/>
    <w:rsid w:val="00EF6E42"/>
    <w:rsid w:val="00F0613C"/>
    <w:rsid w:val="00F11244"/>
    <w:rsid w:val="00F14A7B"/>
    <w:rsid w:val="00F1658B"/>
    <w:rsid w:val="00F2540D"/>
    <w:rsid w:val="00F26602"/>
    <w:rsid w:val="00F31380"/>
    <w:rsid w:val="00F333BF"/>
    <w:rsid w:val="00F34499"/>
    <w:rsid w:val="00F3498A"/>
    <w:rsid w:val="00F406E3"/>
    <w:rsid w:val="00F40C82"/>
    <w:rsid w:val="00F45796"/>
    <w:rsid w:val="00F50707"/>
    <w:rsid w:val="00F5114E"/>
    <w:rsid w:val="00F53B1A"/>
    <w:rsid w:val="00F54568"/>
    <w:rsid w:val="00F57249"/>
    <w:rsid w:val="00F62DE3"/>
    <w:rsid w:val="00F70E0A"/>
    <w:rsid w:val="00F77131"/>
    <w:rsid w:val="00F85D7E"/>
    <w:rsid w:val="00F90BF2"/>
    <w:rsid w:val="00F92B0F"/>
    <w:rsid w:val="00FA4C13"/>
    <w:rsid w:val="00FB345F"/>
    <w:rsid w:val="00FB4DA5"/>
    <w:rsid w:val="00FC57A1"/>
    <w:rsid w:val="00FC6069"/>
    <w:rsid w:val="00FD0CDF"/>
    <w:rsid w:val="00FD3820"/>
    <w:rsid w:val="00FD768A"/>
    <w:rsid w:val="00FE3C23"/>
    <w:rsid w:val="00FE6E6D"/>
    <w:rsid w:val="00FF0DAE"/>
    <w:rsid w:val="00FF3092"/>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075BBB"/>
    <w:pPr>
      <w:widowControl w:val="0"/>
      <w:jc w:val="both"/>
    </w:pPr>
    <w:rPr>
      <w:kern w:val="2"/>
      <w:sz w:val="21"/>
      <w:szCs w:val="24"/>
    </w:rPr>
  </w:style>
  <w:style w:styleId="1" w:type="paragraph">
    <w:name w:val="heading 1"/>
    <w:basedOn w:val="a"/>
    <w:next w:val="a"/>
    <w:link w:val="1Char"/>
    <w:uiPriority w:val="99"/>
    <w:qFormat/>
    <w:rsid w:val="00CA65DD"/>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9D74FC"/>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CA65DD"/>
    <w:rPr>
      <w:rFonts w:cs="Times New Roman"/>
      <w:b/>
      <w:bCs/>
      <w:kern w:val="44"/>
      <w:sz w:val="44"/>
      <w:szCs w:val="44"/>
    </w:rPr>
  </w:style>
  <w:style w:customStyle="1" w:styleId="2Char" w:type="character">
    <w:name w:val="标题 2 Char"/>
    <w:link w:val="2"/>
    <w:uiPriority w:val="9"/>
    <w:semiHidden/>
    <w:rsid w:val="0079613F"/>
    <w:rPr>
      <w:rFonts w:ascii="Cambria" w:cs="Times New Roman" w:eastAsia="宋体" w:hAnsi="Cambria"/>
      <w:b/>
      <w:bCs/>
      <w:sz w:val="32"/>
      <w:szCs w:val="32"/>
    </w:rPr>
  </w:style>
  <w:style w:styleId="a4" w:type="paragraph">
    <w:name w:val="header"/>
    <w:basedOn w:val="a"/>
    <w:link w:val="Char"/>
    <w:uiPriority w:val="99"/>
    <w:rsid w:val="00613327"/>
    <w:pPr>
      <w:pBdr>
        <w:bottom w:color="auto" w:space="1" w:sz="6" w:val="single"/>
      </w:pBdr>
      <w:tabs>
        <w:tab w:pos="4153" w:val="center"/>
        <w:tab w:pos="8306" w:val="right"/>
      </w:tabs>
      <w:snapToGrid w:val="0"/>
      <w:jc w:val="center"/>
    </w:pPr>
    <w:rPr>
      <w:sz w:val="18"/>
      <w:szCs w:val="18"/>
    </w:rPr>
  </w:style>
  <w:style w:customStyle="1" w:styleId="Char" w:type="character">
    <w:name w:val="页眉 Char"/>
    <w:link w:val="a4"/>
    <w:uiPriority w:val="99"/>
    <w:locked/>
    <w:rsid w:val="008379E2"/>
    <w:rPr>
      <w:rFonts w:cs="Times New Roman"/>
      <w:kern w:val="2"/>
      <w:sz w:val="18"/>
      <w:szCs w:val="18"/>
    </w:rPr>
  </w:style>
  <w:style w:styleId="a5" w:type="paragraph">
    <w:name w:val="footer"/>
    <w:basedOn w:val="a"/>
    <w:link w:val="Char0"/>
    <w:uiPriority w:val="99"/>
    <w:rsid w:val="00613327"/>
    <w:pPr>
      <w:tabs>
        <w:tab w:pos="4153" w:val="center"/>
        <w:tab w:pos="8306" w:val="right"/>
      </w:tabs>
      <w:snapToGrid w:val="0"/>
      <w:jc w:val="left"/>
    </w:pPr>
    <w:rPr>
      <w:kern w:val="0"/>
      <w:sz w:val="18"/>
      <w:szCs w:val="18"/>
    </w:rPr>
  </w:style>
  <w:style w:customStyle="1" w:styleId="Char0" w:type="character">
    <w:name w:val="页脚 Char"/>
    <w:link w:val="a5"/>
    <w:uiPriority w:val="99"/>
    <w:semiHidden/>
    <w:rsid w:val="0079613F"/>
    <w:rPr>
      <w:sz w:val="18"/>
      <w:szCs w:val="18"/>
    </w:rPr>
  </w:style>
  <w:style w:customStyle="1" w:styleId="Char1" w:type="paragraph">
    <w:name w:val="Char"/>
    <w:basedOn w:val="a"/>
    <w:uiPriority w:val="99"/>
    <w:rsid w:val="00186667"/>
  </w:style>
  <w:style w:styleId="20" w:type="paragraph">
    <w:name w:val="Body Text Indent 2"/>
    <w:basedOn w:val="a"/>
    <w:link w:val="2Char0"/>
    <w:uiPriority w:val="99"/>
    <w:rsid w:val="00186667"/>
    <w:pPr>
      <w:spacing w:line="560" w:lineRule="exact"/>
      <w:ind w:firstLine="480" w:firstLineChars="200"/>
    </w:pPr>
    <w:rPr>
      <w:kern w:val="0"/>
      <w:sz w:val="20"/>
    </w:rPr>
  </w:style>
  <w:style w:customStyle="1" w:styleId="2Char0" w:type="character">
    <w:name w:val="正文文本缩进 2 Char"/>
    <w:link w:val="20"/>
    <w:uiPriority w:val="99"/>
    <w:semiHidden/>
    <w:rsid w:val="0079613F"/>
    <w:rPr>
      <w:szCs w:val="24"/>
    </w:rPr>
  </w:style>
  <w:style w:styleId="a6" w:type="paragraph">
    <w:name w:val="Plain Text"/>
    <w:basedOn w:val="a"/>
    <w:link w:val="Char2"/>
    <w:uiPriority w:val="99"/>
    <w:rsid w:val="004771B9"/>
    <w:rPr>
      <w:rFonts w:ascii="宋体" w:hAnsi="Courier New"/>
      <w:szCs w:val="20"/>
    </w:rPr>
  </w:style>
  <w:style w:customStyle="1" w:styleId="Char2" w:type="character">
    <w:name w:val="纯文本 Char"/>
    <w:link w:val="a6"/>
    <w:uiPriority w:val="99"/>
    <w:locked/>
    <w:rsid w:val="00E63B3D"/>
    <w:rPr>
      <w:rFonts w:ascii="宋体" w:hAnsi="Courier New"/>
      <w:kern w:val="2"/>
      <w:sz w:val="21"/>
    </w:rPr>
  </w:style>
  <w:style w:styleId="3" w:type="paragraph">
    <w:name w:val="Body Text Indent 3"/>
    <w:basedOn w:val="a"/>
    <w:link w:val="3Char"/>
    <w:uiPriority w:val="99"/>
    <w:rsid w:val="004771B9"/>
    <w:pPr>
      <w:spacing w:after="120"/>
      <w:ind w:left="420" w:leftChars="200"/>
    </w:pPr>
    <w:rPr>
      <w:kern w:val="0"/>
      <w:sz w:val="16"/>
      <w:szCs w:val="16"/>
    </w:rPr>
  </w:style>
  <w:style w:customStyle="1" w:styleId="3Char" w:type="character">
    <w:name w:val="正文文本缩进 3 Char"/>
    <w:link w:val="3"/>
    <w:uiPriority w:val="99"/>
    <w:semiHidden/>
    <w:rsid w:val="0079613F"/>
    <w:rPr>
      <w:sz w:val="16"/>
      <w:szCs w:val="16"/>
    </w:rPr>
  </w:style>
  <w:style w:styleId="a0" w:type="paragraph">
    <w:name w:val="Normal Indent"/>
    <w:basedOn w:val="a"/>
    <w:uiPriority w:val="99"/>
    <w:rsid w:val="009D74FC"/>
    <w:pPr>
      <w:ind w:firstLine="420" w:firstLineChars="200"/>
    </w:pPr>
  </w:style>
  <w:style w:styleId="a7" w:type="paragraph">
    <w:name w:val="Document Map"/>
    <w:basedOn w:val="a"/>
    <w:link w:val="Char3"/>
    <w:uiPriority w:val="99"/>
    <w:semiHidden/>
    <w:rsid w:val="005212AE"/>
    <w:pPr>
      <w:shd w:color="auto" w:fill="000080" w:val="clear"/>
    </w:pPr>
    <w:rPr>
      <w:kern w:val="0"/>
      <w:sz w:val="0"/>
      <w:szCs w:val="0"/>
    </w:rPr>
  </w:style>
  <w:style w:customStyle="1" w:styleId="Char3" w:type="character">
    <w:name w:val="文档结构图 Char"/>
    <w:link w:val="a7"/>
    <w:uiPriority w:val="99"/>
    <w:semiHidden/>
    <w:rsid w:val="0079613F"/>
    <w:rPr>
      <w:sz w:val="0"/>
      <w:szCs w:val="0"/>
    </w:rPr>
  </w:style>
  <w:style w:styleId="a8" w:type="paragraph">
    <w:name w:val="Balloon Text"/>
    <w:basedOn w:val="a"/>
    <w:link w:val="Char4"/>
    <w:uiPriority w:val="99"/>
    <w:rsid w:val="00E63B3D"/>
    <w:rPr>
      <w:sz w:val="18"/>
      <w:szCs w:val="18"/>
    </w:rPr>
  </w:style>
  <w:style w:customStyle="1" w:styleId="Char4" w:type="character">
    <w:name w:val="批注框文本 Char"/>
    <w:link w:val="a8"/>
    <w:uiPriority w:val="99"/>
    <w:locked/>
    <w:rsid w:val="00E63B3D"/>
    <w:rPr>
      <w:rFonts w:cs="Times New Roman"/>
      <w:kern w:val="2"/>
      <w:sz w:val="18"/>
      <w:szCs w:val="18"/>
    </w:rPr>
  </w:style>
  <w:style w:styleId="a9" w:type="paragraph">
    <w:name w:val="List Paragraph"/>
    <w:basedOn w:val="a"/>
    <w:uiPriority w:val="99"/>
    <w:qFormat/>
    <w:rsid w:val="005F668B"/>
    <w:pPr>
      <w:ind w:firstLine="420" w:firstLineChars="200"/>
    </w:pPr>
  </w:style>
  <w:style w:styleId="aa" w:type="table">
    <w:name w:val="Table Grid"/>
    <w:basedOn w:val="a2"/>
    <w:qFormat/>
    <w:rsid w:val="005A60B7"/>
    <w:tblPr>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styleId="ab" w:type="paragraph">
    <w:name w:val="Normal (Web)"/>
    <w:basedOn w:val="a"/>
    <w:uiPriority w:val="99"/>
    <w:rsid w:val="008B23BD"/>
    <w:pPr>
      <w:widowControl/>
      <w:spacing w:after="100" w:afterAutospacing="1" w:before="100" w:beforeAutospacing="1"/>
    </w:pPr>
    <w:rPr>
      <w:rFonts w:ascii="宋体" w:hAnsi="宋体"/>
      <w:kern w:val="0"/>
      <w:sz w:val="24"/>
      <w:szCs w:val="20"/>
    </w:rPr>
  </w:style>
  <w:style w:styleId="ac" w:type="paragraph">
    <w:name w:val="Date"/>
    <w:basedOn w:val="a"/>
    <w:next w:val="a"/>
    <w:link w:val="Char5"/>
    <w:uiPriority w:val="99"/>
    <w:rsid w:val="00D66016"/>
    <w:rPr>
      <w:sz w:val="24"/>
      <w:szCs w:val="20"/>
    </w:rPr>
  </w:style>
  <w:style w:customStyle="1" w:styleId="Char5" w:type="character">
    <w:name w:val="日期 Char"/>
    <w:link w:val="ac"/>
    <w:uiPriority w:val="99"/>
    <w:locked/>
    <w:rsid w:val="00D66016"/>
    <w:rPr>
      <w:rFonts w:cs="Times New Roman"/>
      <w:kern w:val="2"/>
      <w:sz w:val="24"/>
    </w:rPr>
  </w:style>
  <w:style w:styleId="ad" w:type="paragraph">
    <w:name w:val="footnote text"/>
    <w:basedOn w:val="a"/>
    <w:link w:val="Char6"/>
    <w:uiPriority w:val="99"/>
    <w:rsid w:val="00D03770"/>
    <w:pPr>
      <w:snapToGrid w:val="0"/>
      <w:jc w:val="left"/>
    </w:pPr>
    <w:rPr>
      <w:sz w:val="18"/>
      <w:szCs w:val="18"/>
    </w:rPr>
  </w:style>
  <w:style w:customStyle="1" w:styleId="Char6" w:type="character">
    <w:name w:val="脚注文本 Char"/>
    <w:link w:val="ad"/>
    <w:uiPriority w:val="99"/>
    <w:locked/>
    <w:rsid w:val="00D03770"/>
    <w:rPr>
      <w:rFonts w:cs="Times New Roman"/>
      <w:kern w:val="2"/>
      <w:sz w:val="18"/>
      <w:szCs w:val="18"/>
    </w:rPr>
  </w:style>
  <w:style w:styleId="ae" w:type="character">
    <w:name w:val="footnote reference"/>
    <w:uiPriority w:val="99"/>
    <w:rsid w:val="00D03770"/>
    <w:rPr>
      <w:rFonts w:cs="Times New Roman"/>
      <w:vertAlign w:val="superscript"/>
    </w:rPr>
  </w:style>
  <w:style w:styleId="af" w:type="character">
    <w:name w:val="Strong"/>
    <w:uiPriority w:val="22"/>
    <w:qFormat/>
    <w:locked/>
    <w:rsid w:val="000C572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08538">
      <w:marLeft w:val="0"/>
      <w:marRight w:val="0"/>
      <w:marTop w:val="0"/>
      <w:marBottom w:val="0"/>
      <w:divBdr>
        <w:top w:val="none" w:sz="0" w:space="0" w:color="auto"/>
        <w:left w:val="none" w:sz="0" w:space="0" w:color="auto"/>
        <w:bottom w:val="none" w:sz="0" w:space="0" w:color="auto"/>
        <w:right w:val="none" w:sz="0" w:space="0" w:color="auto"/>
      </w:divBdr>
    </w:div>
    <w:div w:id="179708539">
      <w:marLeft w:val="0"/>
      <w:marRight w:val="0"/>
      <w:marTop w:val="0"/>
      <w:marBottom w:val="0"/>
      <w:divBdr>
        <w:top w:val="none" w:sz="0" w:space="0" w:color="auto"/>
        <w:left w:val="none" w:sz="0" w:space="0" w:color="auto"/>
        <w:bottom w:val="none" w:sz="0" w:space="0" w:color="auto"/>
        <w:right w:val="none" w:sz="0" w:space="0" w:color="auto"/>
      </w:divBdr>
    </w:div>
    <w:div w:id="179708540">
      <w:marLeft w:val="0"/>
      <w:marRight w:val="0"/>
      <w:marTop w:val="0"/>
      <w:marBottom w:val="0"/>
      <w:divBdr>
        <w:top w:val="none" w:sz="0" w:space="0" w:color="auto"/>
        <w:left w:val="none" w:sz="0" w:space="0" w:color="auto"/>
        <w:bottom w:val="none" w:sz="0" w:space="0" w:color="auto"/>
        <w:right w:val="none" w:sz="0" w:space="0" w:color="auto"/>
      </w:divBdr>
    </w:div>
    <w:div w:id="1573269872">
      <w:bodyDiv w:val="1"/>
      <w:marLeft w:val="0"/>
      <w:marRight w:val="0"/>
      <w:marTop w:val="0"/>
      <w:marBottom w:val="0"/>
      <w:divBdr>
        <w:top w:val="none" w:sz="0" w:space="0" w:color="auto"/>
        <w:left w:val="none" w:sz="0" w:space="0" w:color="auto"/>
        <w:bottom w:val="none" w:sz="0" w:space="0" w:color="auto"/>
        <w:right w:val="none" w:sz="0" w:space="0" w:color="auto"/>
      </w:divBdr>
    </w:div>
    <w:div w:id="174892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ntTable.xml" Type="http://schemas.openxmlformats.org/officeDocument/2006/relationships/fontTable"/>
<Relationship Id="rId13"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TotalTime>
  <Pages>27</Pages>
  <Words>3662</Words>
  <Characters>20876</Characters>
  <Application>Microsoft Office Word</Application>
  <DocSecurity>0</DocSecurity>
  <Lines>173</Lines>
  <Paragraphs>48</Paragraphs>
  <ScaleCrop>false</ScaleCrop>
  <Company>jysld</Company>
  <LinksUpToDate>false</LinksUpToDate>
  <CharactersWithSpaces>24490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2012-11-21T05:49:00Z</dcterms:created>
  <cp:lastModifiedBy>sirong han</cp:lastModifiedBy>
  <cp:lastPrinted>2009-01-22T10:11:00Z</cp:lastPrinted>
  <dcterms:modified xsi:type="dcterms:W3CDTF">2020-07-09T02:58:00Z</dcterms:modified>
  <cp:revision>215</cp:revision>
</cp:coreProperties>
</file>