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196812" w:rsidR="00EA3F40" w:rsidRDefault="00EA3F40" w:rsidRPr="0097021E">
      <w:pPr>
        <w:autoSpaceDE w:val="0"/>
        <w:autoSpaceDN w:val="0"/>
        <w:adjustRightInd w:val="0"/>
        <w:spacing w:line="360" w:lineRule="auto"/>
        <w:jc w:val="left"/>
        <w:rPr>
          <w:rFonts w:ascii="宋体" w:cs="Arial"/>
          <w:color w:val="000000"/>
          <w:kern w:val="0"/>
          <w:sz w:val="24"/>
        </w:rPr>
      </w:pPr>
    </w:p>
    <w:p w:rsidP="0002085F" w:rsidR="00EA3F40" w:rsidRDefault="00EA3F40" w:rsidRPr="0097021E">
      <w:pPr>
        <w:spacing w:line="360" w:lineRule="auto"/>
        <w:jc w:val="center"/>
        <w:rPr>
          <w:rFonts w:ascii="宋体" w:hAnsi="宋体"/>
          <w:b/>
          <w:sz w:val="36"/>
          <w:szCs w:val="36"/>
        </w:rPr>
      </w:pPr>
      <w:r w:rsidRPr="0097021E">
        <w:rPr>
          <w:rFonts w:ascii="宋体"/>
          <w:b/>
          <w:sz w:val="36"/>
          <w:szCs w:val="36"/>
        </w:rPr>
        <w:t/>
      </w:r>
      <w:r w:rsidRPr="0097021E">
        <w:rPr>
          <w:rFonts w:ascii="宋体" w:hAnsi="宋体"/>
          <w:b/>
          <w:sz w:val="36"/>
          <w:szCs w:val="36"/>
        </w:rPr>
        <w:t>易方达财富快线货币市场基金</w:t>
      </w:r>
    </w:p>
    <w:p w:rsidP="0002085F" w:rsidR="00EA3F40" w:rsidRDefault="00EA3F40" w:rsidRPr="0097021E">
      <w:pPr>
        <w:spacing w:line="360" w:lineRule="auto"/>
        <w:jc w:val="center"/>
        <w:rPr>
          <w:rFonts w:ascii="宋体" w:hAnsi="宋体"/>
          <w:b/>
          <w:sz w:val="36"/>
          <w:szCs w:val="36"/>
        </w:rPr>
      </w:pPr>
      <w:r w:rsidRPr="0097021E">
        <w:rPr>
          <w:rFonts w:ascii="宋体" w:hAnsi="宋体"/>
          <w:b/>
          <w:sz w:val="36"/>
          <w:szCs w:val="36"/>
        </w:rPr>
        <w:t>2020年第2季度报告</w:t>
      </w:r>
    </w:p>
    <w:p w:rsidP="0002085F" w:rsidR="00EA3F40" w:rsidRDefault="00EA3F40" w:rsidRPr="00936106">
      <w:pPr>
        <w:spacing w:line="360" w:lineRule="auto"/>
        <w:jc w:val="center"/>
        <w:rPr>
          <w:rFonts w:ascii="宋体" w:hAnsi="宋体"/>
          <w:b/>
          <w:sz w:val="24"/>
          <w:szCs w:val="36"/>
        </w:rPr>
      </w:pPr>
      <w:r w:rsidRPr="00936106">
        <w:rPr>
          <w:rFonts w:ascii="宋体"/>
          <w:b/>
          <w:sz w:val="24"/>
          <w:szCs w:val="36"/>
        </w:rPr>
        <w:t/>
      </w:r>
      <w:r w:rsidRPr="00936106">
        <w:rPr>
          <w:rFonts w:ascii="宋体" w:hAnsi="宋体"/>
          <w:b/>
          <w:sz w:val="24"/>
          <w:szCs w:val="36"/>
        </w:rPr>
        <w:t>2020年6月30日</w:t>
      </w: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jc w:val="center"/>
        <w:rPr>
          <w:rFonts w:ascii="宋体"/>
          <w:b/>
          <w:color w:val="000000"/>
          <w:sz w:val="24"/>
        </w:rPr>
      </w:pPr>
    </w:p>
    <w:p w:rsidP="00196812" w:rsidR="00EA3F40" w:rsidRDefault="00EA3F40" w:rsidRPr="0097021E">
      <w:pPr>
        <w:spacing w:line="360" w:lineRule="auto"/>
        <w:rPr>
          <w:rFonts w:ascii="宋体"/>
          <w:b/>
          <w:color w:val="000000"/>
          <w:sz w:val="24"/>
        </w:rPr>
      </w:pP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基金管理人：</w:t>
      </w:r>
      <w:r w:rsidRPr="0097021E">
        <w:rPr>
          <w:rFonts w:ascii="宋体"/>
          <w:b/>
          <w:color w:val="000000"/>
          <w:sz w:val="24"/>
        </w:rPr>
        <w:t/>
      </w:r>
      <w:r w:rsidRPr="0097021E">
        <w:rPr>
          <w:rFonts w:ascii="宋体" w:hAnsi="宋体"/>
          <w:b/>
          <w:color w:val="000000"/>
          <w:sz w:val="24"/>
        </w:rPr>
        <w:t>易方达基金管理有限公司</w:t>
      </w:r>
    </w:p>
    <w:p w:rsidP="009216A0" w:rsidR="00EA3F40" w:rsidRDefault="00EA3F40" w:rsidRPr="0097021E">
      <w:pPr>
        <w:spacing w:line="360" w:lineRule="auto"/>
        <w:ind w:firstLine="2168" w:firstLineChars="900"/>
        <w:rPr>
          <w:rFonts w:ascii="宋体" w:hAnsi="宋体"/>
          <w:b/>
          <w:color w:val="000000"/>
          <w:sz w:val="24"/>
        </w:rPr>
      </w:pPr>
      <w:r w:rsidRPr="0097021E">
        <w:rPr>
          <w:rFonts w:ascii="宋体" w:hAnsi="宋体" w:hint="eastAsia"/>
          <w:b/>
          <w:color w:val="000000"/>
          <w:sz w:val="24"/>
        </w:rPr>
        <w:t>基金托管人：</w:t>
      </w:r>
      <w:r w:rsidRPr="0097021E">
        <w:rPr>
          <w:rFonts w:ascii="宋体"/>
          <w:b/>
          <w:color w:val="000000"/>
          <w:sz w:val="24"/>
        </w:rPr>
        <w:t/>
      </w:r>
      <w:r w:rsidRPr="0097021E">
        <w:rPr>
          <w:rFonts w:ascii="宋体" w:hAnsi="宋体"/>
          <w:b/>
          <w:color w:val="000000"/>
          <w:sz w:val="24"/>
        </w:rPr>
        <w:t>中国邮政储蓄银行股份有限公司</w:t>
      </w:r>
    </w:p>
    <w:p w:rsidP="009216A0" w:rsidR="00EA3F40" w:rsidRDefault="00EA3F40" w:rsidRPr="0097021E">
      <w:pPr>
        <w:spacing w:line="360" w:lineRule="auto"/>
        <w:ind w:firstLine="2168" w:firstLineChars="900"/>
        <w:rPr>
          <w:rFonts w:ascii="宋体" w:hAnsi="宋体"/>
          <w:b/>
          <w:color w:val="000000"/>
          <w:sz w:val="24"/>
        </w:rPr>
        <w:sectPr w:rsidR="00EA3F40" w:rsidRPr="0097021E" w:rsidSect="005633AD">
          <w:headerReference r:id="rId8" w:type="default"/>
          <w:footerReference r:id="rId9" w:type="default"/>
          <w:pgSz w:h="15840" w:w="11926"/>
          <w:pgMar w:bottom="851" w:footer="992" w:gutter="0" w:header="851" w:left="1418" w:right="1418" w:top="1418"/>
          <w:cols w:space="720"/>
          <w:noEndnote/>
        </w:sectPr>
      </w:pPr>
      <w:r w:rsidRPr="0097021E">
        <w:rPr>
          <w:rFonts w:ascii="宋体" w:hAnsi="宋体" w:hint="eastAsia"/>
          <w:b/>
          <w:color w:val="000000"/>
          <w:sz w:val="24"/>
        </w:rPr>
        <w:t>报告送出日期：</w:t>
      </w:r>
      <w:r w:rsidRPr="0097021E">
        <w:rPr>
          <w:rFonts w:ascii="宋体"/>
          <w:b/>
          <w:color w:val="000000"/>
          <w:sz w:val="24"/>
        </w:rPr>
        <w:t/>
      </w:r>
      <w:r w:rsidRPr="0097021E">
        <w:rPr>
          <w:rFonts w:ascii="宋体" w:hAnsi="宋体"/>
          <w:b/>
          <w:color w:val="000000"/>
          <w:sz w:val="24"/>
        </w:rPr>
        <w:t>二〇二〇年七月二十一日</w:t>
      </w:r>
    </w:p>
    <w:p w:rsidP="00E23C1B" w:rsidR="00EA3F40" w:rsidRDefault="00EA3F40" w:rsidRPr="0097021E">
      <w:pPr>
        <w:pStyle w:val="1"/>
        <w:spacing w:after="312" w:afterLines="100" w:before="312" w:beforeLines="100" w:line="360" w:lineRule="auto"/>
        <w:jc w:val="center"/>
        <w:rPr>
          <w:rFonts w:ascii="宋体" w:cs="Arial"/>
          <w:b w:val="0"/>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1  </w:t>
      </w:r>
      <w:r w:rsidRPr="0097021E">
        <w:rPr>
          <w:rFonts w:ascii="宋体" w:cs="Arial" w:hAnsi="宋体" w:hint="eastAsia"/>
          <w:color w:val="000000"/>
          <w:kern w:val="0"/>
          <w:sz w:val="24"/>
          <w:szCs w:val="24"/>
        </w:rPr>
        <w:t>重要提示</w:t>
      </w:r>
    </w:p>
    <w:p>
      <w:pPr>
        <w:adjustRightInd w:val="0"/>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adjustRightInd w:val="0"/>
        <w:spacing w:line="360" w:lineRule="auto"/>
        <w:ind w:firstLine="480" w:firstLineChars="200"/>
        <w:rPr>
          <w:color w:val="000000"/>
          <w:sz w:val="24"/>
        </w:rPr>
      </w:pPr>
      <w:r>
        <w:rPr>
          <w:color w:val="000000"/>
          <w:sz w:val="24"/>
        </w:rPr>
        <w:t xml:space="preserve">基金托管人中国邮政储蓄银行股份有限公司根据本基金合同规定，于2020年7月17日复核了本报告中的财务指标、净值表现和投资组合报告等内容，保证复核内容不存在虚假记载、误导性陈述或者重大遗漏。 </w:t>
      </w:r>
    </w:p>
    <w:p>
      <w:pPr>
        <w:adjustRightInd w:val="0"/>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adjustRightInd w:val="0"/>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adjustRightInd w:val="0"/>
        <w:spacing w:line="360" w:lineRule="auto"/>
        <w:ind w:firstLine="480" w:firstLineChars="200"/>
        <w:rPr>
          <w:color w:val="000000"/>
          <w:sz w:val="24"/>
        </w:rPr>
      </w:pPr>
      <w:r>
        <w:rPr>
          <w:color w:val="000000"/>
          <w:sz w:val="24"/>
        </w:rPr>
        <w:t>本报告中财务资料未经审计。</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本报告期自2020年4月1日起至6月30日止。</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2  </w:t>
      </w:r>
      <w:r w:rsidRPr="0097021E">
        <w:rPr>
          <w:rFonts w:ascii="宋体" w:cs="Arial" w:hAnsi="宋体" w:hint="eastAsia"/>
          <w:color w:val="000000"/>
          <w:kern w:val="0"/>
          <w:sz w:val="24"/>
          <w:szCs w:val="24"/>
        </w:rPr>
        <w:t>基金产品概况</w:t>
      </w:r>
    </w:p>
    <w:tbl>
      <w:tblPr>
        <w:tblW w:type="dxa" w:w="9736"/>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300"/>
        <w:gridCol w:w="1150"/>
        <w:gridCol w:w="1150"/>
        <w:gridCol w:w="2301"/>
      </w:tblGrid>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基金简称</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易方达财富快线货币</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基金主代码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000647</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基金运作方式</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契约型开放式</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基金合同生效日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2014年6月17日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报告期末基金份额总额</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21,538,209,856.86</w:t>
            </w:r>
            <w:r w:rsidRPr="00613409">
              <w:rPr>
                <w:color w:val="000000"/>
                <w:kern w:val="0"/>
                <w:sz w:val="24"/>
              </w:rPr>
              <w:t>份</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投资目标</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在有效控制投资风险和保持高流动性的基础上，力争获得高于业绩比较基准的投资回报。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投资策略</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利用定性分析和定量分析方法，通过对短期金融工具的积极投资，在有效控制投资风险和保持高流动性的基础上，力争获得高于业绩比较基准的投资回报。</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业绩比较基准</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中国人民银行公布的七天通知存款利率（税后）</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kern w:val="0"/>
                <w:sz w:val="24"/>
              </w:rPr>
            </w:pPr>
            <w:r w:rsidRPr="00613409">
              <w:rPr>
                <w:kern w:val="0"/>
                <w:sz w:val="24"/>
              </w:rPr>
              <w:t>风险收益特征</w:t>
            </w:r>
          </w:p>
        </w:tc>
        <w:tc>
          <w:tcPr>
            <w:tcW w:type="dxa" w:w="6901"/>
            <w:gridSpan w:val="4"/>
          </w:tcPr>
          <w:p w:rsidP="00196812" w:rsidR="00EA3F40" w:rsidRDefault="00EA3F40" w:rsidRPr="00613409">
            <w:pPr>
              <w:adjustRightInd w:val="0"/>
              <w:spacing w:before="29" w:line="360" w:lineRule="auto"/>
              <w:ind w:left="17"/>
              <w:jc w:val="left"/>
              <w:rPr>
                <w:color w:val="000000"/>
                <w:kern w:val="0"/>
                <w:sz w:val="24"/>
              </w:rPr>
            </w:pPr>
            <w:r w:rsidRPr="00613409">
              <w:rPr>
                <w:color w:val="000000"/>
                <w:kern w:val="0"/>
                <w:sz w:val="24"/>
              </w:rPr>
              <w:t>本基金为货币市场基金。本基金的风险和预期收益低于股票型基金、混合型基金、债券型基金。</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基金管理人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易方达基金管理有限公司</w:t>
            </w:r>
          </w:p>
        </w:tc>
      </w:tr>
      <w:tr w:rsidR="00EA3F40" w:rsidRPr="0097021E" w:rsidTr="001669F2">
        <w:trPr>
          <w:jc w:val="center"/>
        </w:trPr>
        <w:tc>
          <w:tcPr>
            <w:tcW w:type="dxa" w:w="2835"/>
          </w:tcPr>
          <w:p w:rsidP="00196812" w:rsidR="00EA3F40" w:rsidRDefault="00EA3F40" w:rsidRPr="00613409">
            <w:pPr>
              <w:adjustRightInd w:val="0"/>
              <w:spacing w:before="29" w:line="360" w:lineRule="auto"/>
              <w:ind w:left="17"/>
              <w:jc w:val="left"/>
              <w:rPr>
                <w:sz w:val="24"/>
              </w:rPr>
            </w:pPr>
            <w:r w:rsidRPr="00613409">
              <w:rPr>
                <w:kern w:val="0"/>
                <w:sz w:val="24"/>
              </w:rPr>
              <w:t>基金托管人</w:t>
            </w:r>
          </w:p>
        </w:tc>
        <w:tc>
          <w:tcPr>
            <w:tcW w:type="dxa" w:w="6901"/>
            <w:gridSpan w:val="4"/>
          </w:tcPr>
          <w:p w:rsidP="00196812" w:rsidR="00EA3F40" w:rsidRDefault="00EA3F40" w:rsidRPr="00613409">
            <w:pPr>
              <w:adjustRightInd w:val="0"/>
              <w:spacing w:before="29" w:line="360" w:lineRule="auto"/>
              <w:ind w:left="17"/>
              <w:jc w:val="left"/>
              <w:rPr>
                <w:color w:val="000000"/>
                <w:sz w:val="24"/>
              </w:rPr>
            </w:pPr>
            <w:r w:rsidRPr="00613409">
              <w:rPr>
                <w:color w:val="000000"/>
                <w:kern w:val="0"/>
                <w:sz w:val="24"/>
              </w:rPr>
              <w:t>中国邮政储蓄银行股份有限公司</w:t>
            </w:r>
          </w:p>
        </w:tc>
      </w:tr>
      <w:tr w:rsidR="00EA3F40" w:rsidRPr="0097021E" w:rsidTr="001669F2">
        <w:trPr>
          <w:jc w:val="center"/>
        </w:trPr>
        <w:tc>
          <w:tcPr>
            <w:tcW w:type="dxa" w:w="2835"/>
          </w:tcPr>
          <w:p w:rsidP="00D271A9" w:rsidR="00EA3F40" w:rsidRDefault="00EA3F40" w:rsidRPr="00613409">
            <w:pPr>
              <w:adjustRightInd w:val="0"/>
              <w:spacing w:before="29" w:line="360" w:lineRule="auto"/>
              <w:ind w:left="17"/>
              <w:jc w:val="left"/>
              <w:rPr>
                <w:kern w:val="0"/>
                <w:sz w:val="24"/>
              </w:rPr>
            </w:pPr>
            <w:r w:rsidRPr="00613409">
              <w:rPr>
                <w:color w:val="000000"/>
                <w:sz w:val="24"/>
              </w:rPr>
              <w:t>下属</w:t>
            </w:r>
            <w:r w:rsidR="00D271A9" w:rsidRPr="00613409">
              <w:rPr>
                <w:color w:val="000000"/>
                <w:sz w:val="24"/>
              </w:rPr>
              <w:t>分</w:t>
            </w:r>
            <w:r w:rsidRPr="00613409">
              <w:rPr>
                <w:color w:val="000000"/>
                <w:sz w:val="24"/>
              </w:rPr>
              <w:t>级基金的基金简称</w:t>
            </w:r>
          </w:p>
        </w:tc>
        <w:tc>
          <w:tcPr>
            <w:tcW w:type="dxa" w:w="2300"/>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易方达财富快线货币A</w:t>
            </w:r>
          </w:p>
        </w:tc>
        <w:tc>
          <w:tcPr>
            <w:tcW w:type="dxa" w:w="2300"/>
            <w:gridSpan w:val="2"/>
            <w:vAlign w:val="center"/>
          </w:tcPr>
          <w:p w:rsidP="00196812" w:rsidR="00EA3F40" w:rsidRDefault="00EA3F40" w:rsidRPr="00613409">
            <w:pPr>
              <w:spacing w:line="360" w:lineRule="auto"/>
              <w:jc w:val="left"/>
              <w:rPr>
                <w:sz w:val="24"/>
              </w:rPr>
            </w:pPr>
            <w:r w:rsidRPr="00613409">
              <w:rPr>
                <w:color w:val="000000"/>
                <w:kern w:val="0"/>
                <w:sz w:val="24"/>
              </w:rPr>
              <w:t/>
            </w:r>
            <w:r w:rsidRPr="00613409">
              <w:rPr>
                <w:sz w:val="24"/>
              </w:rPr>
              <w:t>易方达财富快线货币B</w:t>
            </w:r>
          </w:p>
        </w:tc>
        <w:tc>
          <w:tcPr>
            <w:tcW w:type="dxa" w:w="2301"/>
            <w:vAlign w:val="center"/>
          </w:tcPr>
          <w:p w:rsidP="00025C5D" w:rsidR="00EA3F40" w:rsidRDefault="00EA3F40" w:rsidRPr="00613409">
            <w:pPr>
              <w:spacing w:line="360" w:lineRule="auto"/>
              <w:jc w:val="left"/>
              <w:rPr>
                <w:sz w:val="24"/>
              </w:rPr>
            </w:pPr>
            <w:r w:rsidRPr="00613409">
              <w:rPr>
                <w:color w:val="000000"/>
                <w:kern w:val="0"/>
                <w:sz w:val="24"/>
              </w:rPr>
              <w:t/>
            </w:r>
            <w:r w:rsidRPr="00613409">
              <w:rPr>
                <w:sz w:val="24"/>
              </w:rPr>
              <w:t>易方达财富快线货币Y</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lastRenderedPageBreak/>
              <w:t>下属</w:t>
            </w:r>
            <w:r w:rsidR="00D271A9" w:rsidRPr="00613409">
              <w:rPr>
                <w:color w:val="000000"/>
                <w:sz w:val="24"/>
              </w:rPr>
              <w:t>分</w:t>
            </w:r>
            <w:r w:rsidRPr="00613409">
              <w:rPr>
                <w:color w:val="000000"/>
                <w:sz w:val="24"/>
              </w:rPr>
              <w:t>级基金的交易代码</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000647</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000648</w:t>
            </w:r>
          </w:p>
        </w:tc>
        <w:tc>
          <w:tcPr>
            <w:tcW w:type="dxa" w:w="2301"/>
            <w:vAlign w:val="center"/>
          </w:tcPr>
          <w:p w:rsidP="001669F2" w:rsidR="00E325AB" w:rsidRDefault="00E325AB" w:rsidRPr="00613409">
            <w:pPr>
              <w:spacing w:line="360" w:lineRule="auto"/>
              <w:jc w:val="left"/>
              <w:rPr>
                <w:sz w:val="24"/>
              </w:rPr>
            </w:pPr>
            <w:r w:rsidRPr="00613409">
              <w:rPr>
                <w:color w:val="000000"/>
                <w:kern w:val="0"/>
                <w:sz w:val="24"/>
              </w:rPr>
              <w:t/>
            </w:r>
            <w:r w:rsidRPr="00613409">
              <w:rPr>
                <w:sz w:val="24"/>
              </w:rPr>
              <w:t>000920</w:t>
            </w:r>
          </w:p>
        </w:tc>
      </w:tr>
      <w:tr w:rsidR="00E325AB" w:rsidRPr="0097021E" w:rsidTr="001669F2">
        <w:trPr>
          <w:jc w:val="center"/>
        </w:trPr>
        <w:tc>
          <w:tcPr>
            <w:tcW w:type="dxa" w:w="2835"/>
          </w:tcPr>
          <w:p w:rsidP="00D271A9" w:rsidR="00E325AB" w:rsidRDefault="00E325AB" w:rsidRPr="00613409">
            <w:pPr>
              <w:adjustRightInd w:val="0"/>
              <w:spacing w:before="29" w:line="360" w:lineRule="auto"/>
              <w:ind w:left="17"/>
              <w:jc w:val="left"/>
              <w:rPr>
                <w:color w:val="000000"/>
                <w:sz w:val="24"/>
              </w:rPr>
            </w:pPr>
            <w:r w:rsidRPr="00613409">
              <w:rPr>
                <w:color w:val="000000"/>
                <w:sz w:val="24"/>
              </w:rPr>
              <w:t>报告期末下属</w:t>
            </w:r>
            <w:r w:rsidR="00D271A9" w:rsidRPr="00613409">
              <w:rPr>
                <w:color w:val="000000"/>
                <w:sz w:val="24"/>
              </w:rPr>
              <w:t>分</w:t>
            </w:r>
            <w:r w:rsidRPr="00613409">
              <w:rPr>
                <w:color w:val="000000"/>
                <w:sz w:val="24"/>
              </w:rPr>
              <w:t>级基金的份额总额</w:t>
            </w:r>
          </w:p>
        </w:tc>
        <w:tc>
          <w:tcPr>
            <w:tcW w:type="dxa" w:w="2300"/>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6,138,515,764.23</w:t>
            </w:r>
            <w:r w:rsidRPr="00613409">
              <w:rPr>
                <w:sz w:val="24"/>
              </w:rPr>
              <w:t>份</w:t>
            </w:r>
          </w:p>
        </w:tc>
        <w:tc>
          <w:tcPr>
            <w:tcW w:type="dxa" w:w="2300"/>
            <w:gridSpan w:val="2"/>
            <w:vAlign w:val="center"/>
          </w:tcPr>
          <w:p w:rsidP="00196812" w:rsidR="00E325AB" w:rsidRDefault="00E325AB" w:rsidRPr="00613409">
            <w:pPr>
              <w:spacing w:line="360" w:lineRule="auto"/>
              <w:jc w:val="left"/>
              <w:rPr>
                <w:sz w:val="24"/>
              </w:rPr>
            </w:pPr>
            <w:r w:rsidRPr="00613409">
              <w:rPr>
                <w:color w:val="000000"/>
                <w:kern w:val="0"/>
                <w:sz w:val="24"/>
              </w:rPr>
              <w:t/>
            </w:r>
            <w:r w:rsidRPr="00613409">
              <w:rPr>
                <w:sz w:val="24"/>
              </w:rPr>
              <w:t>4,378,204,074.33</w:t>
            </w:r>
            <w:r w:rsidRPr="00613409">
              <w:rPr>
                <w:sz w:val="24"/>
              </w:rPr>
              <w:t>份</w:t>
            </w:r>
          </w:p>
        </w:tc>
        <w:tc>
          <w:tcPr>
            <w:tcW w:type="dxa" w:w="2301"/>
            <w:vAlign w:val="center"/>
          </w:tcPr>
          <w:p w:rsidP="00025C5D" w:rsidR="00E325AB" w:rsidRDefault="00E325AB" w:rsidRPr="00613409">
            <w:pPr>
              <w:spacing w:line="360" w:lineRule="auto"/>
              <w:jc w:val="left"/>
              <w:rPr>
                <w:sz w:val="24"/>
              </w:rPr>
            </w:pPr>
            <w:r w:rsidRPr="00613409">
              <w:rPr>
                <w:color w:val="000000"/>
                <w:kern w:val="0"/>
                <w:sz w:val="24"/>
              </w:rPr>
              <w:t/>
            </w:r>
            <w:r w:rsidRPr="00613409">
              <w:rPr>
                <w:sz w:val="24"/>
              </w:rPr>
              <w:t>11,021,490,018.30</w:t>
            </w:r>
            <w:r w:rsidRPr="00613409">
              <w:rPr>
                <w:sz w:val="24"/>
              </w:rPr>
              <w:t>份</w:t>
            </w:r>
          </w:p>
        </w:tc>
      </w:tr>
    </w:tbl>
    <w:p w:rsidP="001752C7" w:rsidR="00EA3F40" w:rsidRDefault="00EA3F40" w:rsidRPr="001752C7">
      <w:pPr>
        <w:adjustRightInd w:val="0"/>
        <w:spacing w:line="360" w:lineRule="auto"/>
        <w:ind w:firstLine="480" w:firstLineChars="200"/>
        <w:rPr>
          <w:color w:val="000000"/>
          <w:sz w:val="24"/>
        </w:rPr>
      </w:pPr>
      <w:r w:rsidRPr="001752C7">
        <w:rPr>
          <w:color w:val="000000"/>
          <w:sz w:val="24"/>
        </w:rPr>
        <w:t>注：自2014年12月3日起，本基金增设Y类份额类别，份额首次确认日为2014年12月5日。</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3  </w:t>
      </w:r>
      <w:r w:rsidRPr="0097021E">
        <w:rPr>
          <w:rFonts w:ascii="宋体" w:cs="Arial" w:hAnsi="宋体" w:hint="eastAsia"/>
          <w:color w:val="000000"/>
          <w:kern w:val="0"/>
          <w:sz w:val="24"/>
          <w:szCs w:val="24"/>
        </w:rPr>
        <w:t>主要财务指标和基金净值表现</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3.1 </w:t>
      </w:r>
      <w:r w:rsidRPr="0097021E">
        <w:rPr>
          <w:rFonts w:ascii="宋体" w:cs="Arial" w:hAnsi="宋体" w:hint="eastAsia"/>
          <w:b/>
          <w:color w:val="000000"/>
          <w:kern w:val="0"/>
          <w:sz w:val="24"/>
        </w:rPr>
        <w:t>主要财务指标</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单位：人民币元</w:t>
      </w:r>
    </w:p>
    <w:tbl>
      <w:tblPr>
        <w:tblW w:type="dxa" w:w="959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1855"/>
        <w:gridCol w:w="1856"/>
      </w:tblGrid>
      <w:tr w:rsidR="00EA3F40" w:rsidRPr="00613409" w:rsidTr="00025C5D">
        <w:trPr>
          <w:jc w:val="center"/>
        </w:trPr>
        <w:tc>
          <w:tcPr>
            <w:tcW w:type="dxa" w:w="3402"/>
            <w:vMerge w:val="restart"/>
            <w:vAlign w:val="center"/>
          </w:tcPr>
          <w:p w:rsidP="00196812" w:rsidR="00EA3F40" w:rsidRDefault="00EA3F40" w:rsidRPr="00613409">
            <w:pPr>
              <w:adjustRightInd w:val="0"/>
              <w:spacing w:before="29" w:line="360" w:lineRule="auto"/>
              <w:ind w:left="17"/>
              <w:jc w:val="center"/>
              <w:rPr>
                <w:kern w:val="0"/>
                <w:sz w:val="24"/>
              </w:rPr>
            </w:pPr>
            <w:r w:rsidRPr="00613409">
              <w:rPr>
                <w:kern w:val="0"/>
                <w:sz w:val="24"/>
              </w:rPr>
              <w:t>主要财务指标</w:t>
            </w:r>
          </w:p>
        </w:tc>
        <w:tc>
          <w:tcPr>
            <w:tcW w:type="dxa" w:w="6192"/>
            <w:gridSpan w:val="3"/>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sz w:val="24"/>
              </w:rPr>
              <w:t>报告期</w:t>
            </w:r>
            <w:r w:rsidRPr="00613409">
              <w:rPr>
                <w:color w:val="000000"/>
                <w:sz w:val="24"/>
              </w:rPr>
              <w:t>(2020年4月1日-2020年6月30日)</w:t>
            </w:r>
          </w:p>
        </w:tc>
      </w:tr>
      <w:tr w:rsidR="00EA3F40" w:rsidRPr="00613409" w:rsidTr="00025C5D">
        <w:trPr>
          <w:jc w:val="center"/>
        </w:trPr>
        <w:tc>
          <w:tcPr>
            <w:tcW w:type="dxa" w:w="3402"/>
            <w:vMerge/>
            <w:vAlign w:val="center"/>
          </w:tcPr>
          <w:p w:rsidP="00196812" w:rsidR="00EA3F40" w:rsidRDefault="00EA3F40" w:rsidRPr="00613409">
            <w:pPr>
              <w:adjustRightInd w:val="0"/>
              <w:spacing w:before="29" w:line="360" w:lineRule="auto"/>
              <w:ind w:left="17"/>
              <w:jc w:val="center"/>
              <w:rPr>
                <w:kern w:val="0"/>
                <w:sz w:val="24"/>
              </w:rPr>
            </w:pPr>
          </w:p>
        </w:tc>
        <w:tc>
          <w:tcPr>
            <w:tcW w:type="dxa" w:w="2481"/>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易方达财富快线货币A</w:t>
            </w:r>
          </w:p>
        </w:tc>
        <w:tc>
          <w:tcPr>
            <w:tcW w:type="dxa" w:w="1855"/>
            <w:vAlign w:val="center"/>
          </w:tcPr>
          <w:p w:rsidP="00196812"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易方达财富快线货币B</w:t>
            </w:r>
          </w:p>
        </w:tc>
        <w:tc>
          <w:tcPr>
            <w:tcW w:type="dxa" w:w="1856"/>
            <w:vAlign w:val="center"/>
          </w:tcPr>
          <w:p w:rsidP="00025C5D" w:rsidR="00EA3F40" w:rsidRDefault="00EA3F40" w:rsidRPr="00613409">
            <w:pPr>
              <w:adjustRightInd w:val="0"/>
              <w:spacing w:before="29" w:line="360" w:lineRule="auto"/>
              <w:ind w:left="17"/>
              <w:jc w:val="center"/>
              <w:rPr>
                <w:color w:val="000000"/>
                <w:sz w:val="24"/>
              </w:rPr>
            </w:pPr>
            <w:r w:rsidRPr="00613409">
              <w:rPr>
                <w:color w:val="000000"/>
                <w:kern w:val="0"/>
                <w:sz w:val="24"/>
              </w:rPr>
              <w:t/>
            </w:r>
            <w:r w:rsidRPr="00613409">
              <w:rPr>
                <w:sz w:val="24"/>
              </w:rPr>
              <w:t>易方达财富快线货币Y</w:t>
            </w:r>
          </w:p>
        </w:tc>
      </w:tr>
      <w:tr w:rsidR="00EA3F40" w:rsidRPr="00613409" w:rsidTr="00025C5D">
        <w:trPr>
          <w:trHeight w:val="840"/>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1.</w:t>
            </w:r>
            <w:r w:rsidRPr="00613409">
              <w:rPr>
                <w:kern w:val="0"/>
                <w:sz w:val="24"/>
              </w:rPr>
              <w:t>本期已实现收益</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22,280,732.50</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23,330,158.59</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58,108,645.99</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2.</w:t>
            </w:r>
            <w:r w:rsidRPr="00613409">
              <w:rPr>
                <w:kern w:val="0"/>
                <w:sz w:val="24"/>
              </w:rPr>
              <w:t>本期利润</w:t>
            </w:r>
          </w:p>
        </w:tc>
        <w:tc>
          <w:tcPr>
            <w:tcW w:type="dxa" w:w="2481"/>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22,280,732.50</w:t>
            </w:r>
          </w:p>
        </w:tc>
        <w:tc>
          <w:tcPr>
            <w:tcW w:type="dxa" w:w="1855"/>
            <w:vAlign w:val="bottom"/>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23,330,158.59</w:t>
            </w:r>
          </w:p>
        </w:tc>
        <w:tc>
          <w:tcPr>
            <w:tcW w:type="dxa" w:w="1856"/>
            <w:vAlign w:val="bottom"/>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58,108,645.99</w:t>
            </w:r>
          </w:p>
        </w:tc>
      </w:tr>
      <w:tr w:rsidR="00EA3F40" w:rsidRPr="00613409" w:rsidTr="00025C5D">
        <w:trPr>
          <w:jc w:val="center"/>
        </w:trPr>
        <w:tc>
          <w:tcPr>
            <w:tcW w:type="dxa" w:w="3402"/>
          </w:tcPr>
          <w:p w:rsidP="00196812" w:rsidR="00EA3F40" w:rsidRDefault="00EA3F40" w:rsidRPr="00613409">
            <w:pPr>
              <w:adjustRightInd w:val="0"/>
              <w:spacing w:before="29" w:line="360" w:lineRule="auto"/>
              <w:ind w:left="17"/>
              <w:rPr>
                <w:kern w:val="0"/>
                <w:sz w:val="24"/>
              </w:rPr>
            </w:pPr>
            <w:r w:rsidRPr="00613409">
              <w:rPr>
                <w:kern w:val="0"/>
                <w:sz w:val="24"/>
              </w:rPr>
              <w:t>3.</w:t>
            </w:r>
            <w:r w:rsidRPr="00613409">
              <w:rPr>
                <w:kern w:val="0"/>
                <w:sz w:val="24"/>
              </w:rPr>
              <w:t>期末基金资产净值</w:t>
            </w:r>
          </w:p>
        </w:tc>
        <w:tc>
          <w:tcPr>
            <w:tcW w:type="dxa" w:w="2481"/>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6,138,515,764.23</w:t>
            </w:r>
          </w:p>
        </w:tc>
        <w:tc>
          <w:tcPr>
            <w:tcW w:type="dxa" w:w="1855"/>
          </w:tcPr>
          <w:p w:rsidP="00196812" w:rsidR="00EA3F40" w:rsidRDefault="00EA3F40" w:rsidRPr="00613409">
            <w:pPr>
              <w:adjustRightInd w:val="0"/>
              <w:spacing w:before="29" w:line="360" w:lineRule="auto"/>
              <w:ind w:left="17"/>
              <w:jc w:val="right"/>
              <w:rPr>
                <w:color w:val="000000"/>
                <w:sz w:val="24"/>
              </w:rPr>
            </w:pPr>
            <w:r w:rsidRPr="00613409">
              <w:rPr>
                <w:color w:val="000000"/>
                <w:sz w:val="24"/>
              </w:rPr>
              <w:t>4,378,204,074.33</w:t>
            </w:r>
          </w:p>
        </w:tc>
        <w:tc>
          <w:tcPr>
            <w:tcW w:type="dxa" w:w="1856"/>
          </w:tcPr>
          <w:p w:rsidP="00025C5D" w:rsidR="00EA3F40" w:rsidRDefault="00EA3F40" w:rsidRPr="00613409">
            <w:pPr>
              <w:adjustRightInd w:val="0"/>
              <w:spacing w:before="29" w:line="360" w:lineRule="auto"/>
              <w:ind w:left="17"/>
              <w:jc w:val="right"/>
              <w:rPr>
                <w:color w:val="000000"/>
                <w:sz w:val="24"/>
              </w:rPr>
            </w:pPr>
            <w:r w:rsidRPr="00613409">
              <w:rPr>
                <w:color w:val="000000"/>
                <w:sz w:val="24"/>
              </w:rPr>
              <w:t>11,021,490,018.30</w:t>
            </w:r>
          </w:p>
        </w:tc>
      </w:tr>
    </w:tbl>
    <w:p>
      <w:pPr>
        <w:adjustRightInd w:val="0"/>
        <w:spacing w:line="360" w:lineRule="auto"/>
        <w:ind w:firstLine="480" w:firstLineChars="200"/>
        <w:rPr>
          <w:color w:val="000000"/>
          <w:sz w:val="24"/>
        </w:rPr>
      </w:pPr>
      <w:r>
        <w:rPr>
          <w:color w:val="000000"/>
          <w:sz w:val="24"/>
        </w:rPr>
        <w:t>注：1.本期已实现收益指基金本期利息收入、投资收益、其他收入（不含公允价值变动收益）扣除相关费用后的余额，本期利润为本期已实现收益加上本期公允价值变动收益，由于本基金采用摊余成本法核算，因此，公允价值变动收益为零，本期已实现收益和本期利润的金额相等。</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2.本基金利润分配是按日结转份额。</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3.2 </w:t>
      </w:r>
      <w:r w:rsidRPr="0097021E">
        <w:rPr>
          <w:rFonts w:ascii="宋体" w:cs="Arial" w:hAnsi="宋体" w:hint="eastAsia"/>
          <w:b/>
          <w:color w:val="000000"/>
          <w:kern w:val="0"/>
          <w:sz w:val="24"/>
        </w:rPr>
        <w:t>基金净值表现</w:t>
      </w:r>
    </w:p>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3.2.1</w:t>
        </w:r>
      </w:smartTag>
      <w:r w:rsidRPr="0097021E">
        <w:rPr>
          <w:rFonts w:ascii="宋体" w:cs="Arial" w:hAnsi="宋体"/>
          <w:b/>
          <w:color w:val="000000"/>
          <w:kern w:val="0"/>
          <w:sz w:val="24"/>
        </w:rPr>
        <w:t xml:space="preserve"> </w:t>
      </w:r>
      <w:r w:rsidRPr="0097021E">
        <w:rPr>
          <w:rFonts w:ascii="宋体" w:cs="Arial" w:hAnsi="宋体" w:hint="eastAsia"/>
          <w:b/>
          <w:color w:val="000000"/>
          <w:kern w:val="0"/>
          <w:sz w:val="24"/>
        </w:rPr>
        <w:t>本报告期基金份额净值收益率及其与同期业绩比较基准收益率的比较</w:t>
      </w:r>
    </w:p>
    <w:p w:rsidP="00613409" w:rsidR="00EA3F40" w:rsidRDefault="00EA3F40" w:rsidRPr="00613409">
      <w:pPr>
        <w:pStyle w:val="20"/>
        <w:spacing w:line="360" w:lineRule="auto"/>
        <w:ind w:firstLine="0" w:firstLineChars="0"/>
        <w:rPr>
          <w:b/>
          <w:sz w:val="24"/>
        </w:rPr>
      </w:pPr>
      <w:r w:rsidRPr="00613409">
        <w:rPr>
          <w:b/>
          <w:color w:val="000000"/>
          <w:sz w:val="24"/>
        </w:rPr>
        <w:t/>
      </w:r>
      <w:r w:rsidRPr="00613409">
        <w:rPr>
          <w:rFonts w:cs="宋体"/>
          <w:b/>
          <w:color w:val="000000"/>
          <w:sz w:val="24"/>
        </w:rPr>
        <w:t/>
      </w:r>
      <w:r w:rsidRPr="00613409">
        <w:rPr>
          <w:b/>
          <w:color w:val="000000"/>
          <w:sz w:val="24"/>
        </w:rPr>
        <w:t/>
      </w:r>
      <w:r w:rsidRPr="00613409">
        <w:rPr>
          <w:b/>
          <w:sz w:val="24"/>
        </w:rPr>
        <w:t>易方达财富快线货币A</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0.4915%</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0.1497%</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1.1373%</w:t>
            </w:r>
          </w:p>
        </w:tc>
        <w:tc>
          <w:tcPr>
            <w:vAlign w:val="center"/>
          </w:tcPr>
          <w:p>
            <w:pPr>
              <w:jc w:val="center"/>
            </w:pPr>
            <w:r>
              <w:rPr>
                <w:color w:val="000000"/>
                <w:kern w:val="2"/>
                <w:sz w:val="24"/>
              </w:rPr>
              <w:t>0.0010%</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0.4525%</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2.3932%</w:t>
            </w:r>
          </w:p>
        </w:tc>
        <w:tc>
          <w:tcPr>
            <w:vAlign w:val="center"/>
          </w:tcPr>
          <w:p>
            <w:pPr>
              <w:jc w:val="center"/>
            </w:pPr>
            <w:r>
              <w:rPr>
                <w:color w:val="000000"/>
                <w:kern w:val="2"/>
                <w:sz w:val="24"/>
              </w:rPr>
              <w:t>0.0008%</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1.0113%</w:t>
            </w:r>
          </w:p>
        </w:tc>
        <w:tc>
          <w:tcPr>
            <w:vAlign w:val="center"/>
          </w:tcPr>
          <w:p>
            <w:pPr>
              <w:jc w:val="center"/>
            </w:pPr>
            <w:r>
              <w:rPr>
                <w:color w:val="000000"/>
                <w:kern w:val="2"/>
                <w:sz w:val="24"/>
              </w:rPr>
              <w:t>0.0008%</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10.0047%</w:t>
            </w:r>
          </w:p>
        </w:tc>
        <w:tc>
          <w:tcPr>
            <w:vAlign w:val="center"/>
          </w:tcPr>
          <w:p>
            <w:pPr>
              <w:jc w:val="center"/>
            </w:pPr>
            <w:r>
              <w:rPr>
                <w:color w:val="000000"/>
                <w:kern w:val="2"/>
                <w:sz w:val="24"/>
              </w:rPr>
              <w:t>0.0022%</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5.8092%</w:t>
            </w:r>
          </w:p>
        </w:tc>
        <w:tc>
          <w:tcPr>
            <w:vAlign w:val="center"/>
          </w:tcPr>
          <w:p>
            <w:pPr>
              <w:jc w:val="center"/>
            </w:pPr>
            <w:r>
              <w:rPr>
                <w:color w:val="000000"/>
                <w:kern w:val="2"/>
                <w:sz w:val="24"/>
              </w:rPr>
              <w:t>0.0022%</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17.3339%</w:t>
            </w:r>
          </w:p>
        </w:tc>
        <w:tc>
          <w:tcPr>
            <w:vAlign w:val="center"/>
          </w:tcPr>
          <w:p>
            <w:pPr>
              <w:jc w:val="center"/>
            </w:pPr>
            <w:r>
              <w:rPr>
                <w:color w:val="000000"/>
                <w:kern w:val="2"/>
                <w:sz w:val="24"/>
              </w:rPr>
              <w:t>0.0021%</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10.2426%</w:t>
            </w:r>
          </w:p>
        </w:tc>
        <w:tc>
          <w:tcPr>
            <w:vAlign w:val="center"/>
          </w:tcPr>
          <w:p>
            <w:pPr>
              <w:jc w:val="center"/>
            </w:pPr>
            <w:r>
              <w:rPr>
                <w:color w:val="000000"/>
                <w:kern w:val="2"/>
                <w:sz w:val="24"/>
              </w:rPr>
              <w:t>0.0021%</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22.5508%</w:t>
            </w:r>
          </w:p>
        </w:tc>
        <w:tc>
          <w:tcPr>
            <w:vAlign w:val="center"/>
          </w:tcPr>
          <w:p>
            <w:pPr>
              <w:jc w:val="center"/>
            </w:pPr>
            <w:r>
              <w:rPr>
                <w:color w:val="000000"/>
                <w:kern w:val="2"/>
                <w:sz w:val="24"/>
              </w:rPr>
              <w:t>0.0025%</w:t>
            </w:r>
          </w:p>
        </w:tc>
        <w:tc>
          <w:tcPr>
            <w:vAlign w:val="center"/>
          </w:tcPr>
          <w:p>
            <w:pPr>
              <w:jc w:val="center"/>
            </w:pPr>
            <w:r>
              <w:rPr>
                <w:color w:val="000000"/>
                <w:kern w:val="2"/>
                <w:sz w:val="24"/>
              </w:rPr>
              <w:t>8.6241%</w:t>
            </w:r>
          </w:p>
        </w:tc>
        <w:tc>
          <w:tcPr>
            <w:vAlign w:val="center"/>
          </w:tcPr>
          <w:p>
            <w:pPr>
              <w:jc w:val="center"/>
            </w:pPr>
            <w:r>
              <w:rPr>
                <w:color w:val="000000"/>
                <w:kern w:val="2"/>
                <w:sz w:val="24"/>
              </w:rPr>
              <w:t>0.0000%</w:t>
            </w:r>
          </w:p>
        </w:tc>
        <w:tc>
          <w:tcPr>
            <w:vAlign w:val="center"/>
          </w:tcPr>
          <w:p>
            <w:pPr>
              <w:jc w:val="center"/>
            </w:pPr>
            <w:r>
              <w:rPr>
                <w:color w:val="000000"/>
                <w:kern w:val="2"/>
                <w:sz w:val="24"/>
              </w:rPr>
              <w:t>13.9267%</w:t>
            </w:r>
          </w:p>
        </w:tc>
        <w:tc>
          <w:tcPr>
            <w:vAlign w:val="center"/>
          </w:tcPr>
          <w:p>
            <w:pPr>
              <w:jc w:val="center"/>
            </w:pPr>
            <w:r>
              <w:rPr>
                <w:color w:val="000000"/>
                <w:kern w:val="2"/>
                <w:sz w:val="24"/>
              </w:rPr>
              <w:t>0.0025%</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易方达财富快线货币B</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0.5510%</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0.2092%</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1.2576%</w:t>
            </w:r>
          </w:p>
        </w:tc>
        <w:tc>
          <w:tcPr>
            <w:vAlign w:val="center"/>
          </w:tcPr>
          <w:p>
            <w:pPr>
              <w:jc w:val="center"/>
            </w:pPr>
            <w:r>
              <w:rPr>
                <w:color w:val="000000"/>
                <w:kern w:val="2"/>
                <w:sz w:val="24"/>
              </w:rPr>
              <w:t>0.0010%</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0.5728%</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2.6392%</w:t>
            </w:r>
          </w:p>
        </w:tc>
        <w:tc>
          <w:tcPr>
            <w:vAlign w:val="center"/>
          </w:tcPr>
          <w:p>
            <w:pPr>
              <w:jc w:val="center"/>
            </w:pPr>
            <w:r>
              <w:rPr>
                <w:color w:val="000000"/>
                <w:kern w:val="2"/>
                <w:sz w:val="24"/>
              </w:rPr>
              <w:t>0.0008%</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1.2573%</w:t>
            </w:r>
          </w:p>
        </w:tc>
        <w:tc>
          <w:tcPr>
            <w:vAlign w:val="center"/>
          </w:tcPr>
          <w:p>
            <w:pPr>
              <w:jc w:val="center"/>
            </w:pPr>
            <w:r>
              <w:rPr>
                <w:color w:val="000000"/>
                <w:kern w:val="2"/>
                <w:sz w:val="24"/>
              </w:rPr>
              <w:t>0.0008%</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10.7999%</w:t>
            </w:r>
          </w:p>
        </w:tc>
        <w:tc>
          <w:tcPr>
            <w:vAlign w:val="center"/>
          </w:tcPr>
          <w:p>
            <w:pPr>
              <w:jc w:val="center"/>
            </w:pPr>
            <w:r>
              <w:rPr>
                <w:color w:val="000000"/>
                <w:kern w:val="2"/>
                <w:sz w:val="24"/>
              </w:rPr>
              <w:t>0.0022%</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6.6044%</w:t>
            </w:r>
          </w:p>
        </w:tc>
        <w:tc>
          <w:tcPr>
            <w:vAlign w:val="center"/>
          </w:tcPr>
          <w:p>
            <w:pPr>
              <w:jc w:val="center"/>
            </w:pPr>
            <w:r>
              <w:rPr>
                <w:color w:val="000000"/>
                <w:kern w:val="2"/>
                <w:sz w:val="24"/>
              </w:rPr>
              <w:t>0.0022%</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18.7508%</w:t>
            </w:r>
          </w:p>
        </w:tc>
        <w:tc>
          <w:tcPr>
            <w:vAlign w:val="center"/>
          </w:tcPr>
          <w:p>
            <w:pPr>
              <w:jc w:val="center"/>
            </w:pPr>
            <w:r>
              <w:rPr>
                <w:color w:val="000000"/>
                <w:kern w:val="2"/>
                <w:sz w:val="24"/>
              </w:rPr>
              <w:t>0.0021%</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11.6595%</w:t>
            </w:r>
          </w:p>
        </w:tc>
        <w:tc>
          <w:tcPr>
            <w:vAlign w:val="center"/>
          </w:tcPr>
          <w:p>
            <w:pPr>
              <w:jc w:val="center"/>
            </w:pPr>
            <w:r>
              <w:rPr>
                <w:color w:val="000000"/>
                <w:kern w:val="2"/>
                <w:sz w:val="24"/>
              </w:rPr>
              <w:t>0.0021%</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24.3383%</w:t>
            </w:r>
          </w:p>
        </w:tc>
        <w:tc>
          <w:tcPr>
            <w:vAlign w:val="center"/>
          </w:tcPr>
          <w:p>
            <w:pPr>
              <w:jc w:val="center"/>
            </w:pPr>
            <w:r>
              <w:rPr>
                <w:color w:val="000000"/>
                <w:kern w:val="2"/>
                <w:sz w:val="24"/>
              </w:rPr>
              <w:t>0.0025%</w:t>
            </w:r>
          </w:p>
        </w:tc>
        <w:tc>
          <w:tcPr>
            <w:vAlign w:val="center"/>
          </w:tcPr>
          <w:p>
            <w:pPr>
              <w:jc w:val="center"/>
            </w:pPr>
            <w:r>
              <w:rPr>
                <w:color w:val="000000"/>
                <w:kern w:val="2"/>
                <w:sz w:val="24"/>
              </w:rPr>
              <w:t>8.6241%</w:t>
            </w:r>
          </w:p>
        </w:tc>
        <w:tc>
          <w:tcPr>
            <w:vAlign w:val="center"/>
          </w:tcPr>
          <w:p>
            <w:pPr>
              <w:jc w:val="center"/>
            </w:pPr>
            <w:r>
              <w:rPr>
                <w:color w:val="000000"/>
                <w:kern w:val="2"/>
                <w:sz w:val="24"/>
              </w:rPr>
              <w:t>0.0000%</w:t>
            </w:r>
          </w:p>
        </w:tc>
        <w:tc>
          <w:tcPr>
            <w:vAlign w:val="center"/>
          </w:tcPr>
          <w:p>
            <w:pPr>
              <w:jc w:val="center"/>
            </w:pPr>
            <w:r>
              <w:rPr>
                <w:color w:val="000000"/>
                <w:kern w:val="2"/>
                <w:sz w:val="24"/>
              </w:rPr>
              <w:t>15.7142%</w:t>
            </w:r>
          </w:p>
        </w:tc>
        <w:tc>
          <w:tcPr>
            <w:vAlign w:val="center"/>
          </w:tcPr>
          <w:p>
            <w:pPr>
              <w:jc w:val="center"/>
            </w:pPr>
            <w:r>
              <w:rPr>
                <w:color w:val="000000"/>
                <w:kern w:val="2"/>
                <w:sz w:val="24"/>
              </w:rPr>
              <w:t>0.0025%</w:t>
            </w:r>
          </w:p>
        </w:tc>
      </w:tr>
    </w:tbl>
    <w:p w:rsidP="00613409" w:rsidR="00EA3F40" w:rsidRDefault="00EA3F40" w:rsidRPr="00613409">
      <w:pPr>
        <w:pStyle w:val="20"/>
        <w:spacing w:line="360" w:lineRule="auto"/>
        <w:ind w:firstLine="0" w:firstLineChars="0"/>
        <w:rPr>
          <w:b/>
          <w:color w:val="000000"/>
          <w:sz w:val="24"/>
        </w:rPr>
      </w:pPr>
      <w:r w:rsidRPr="00613409">
        <w:rPr>
          <w:b/>
          <w:color w:val="000000"/>
          <w:sz w:val="24"/>
        </w:rPr>
        <w:t>易方达财富快线货币Y</w:t>
      </w:r>
    </w:p>
    <w:tbl>
      <w:tblPr>
        <w:tblW w:type="auto"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1328"/>
        <w:gridCol w:w="1329"/>
        <w:gridCol w:w="1329"/>
        <w:gridCol w:w="1329"/>
        <w:gridCol w:w="1329"/>
        <w:gridCol w:w="1329"/>
        <w:gridCol w:w="1329"/>
      </w:tblGrid>
      <w:tr w:rsidR="00EA3F40" w:rsidRPr="0097021E" w:rsidTr="00841A22">
        <w:tc>
          <w:tcPr>
            <w:tcW w:type="dxa" w:w="1328"/>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阶段</w:t>
            </w:r>
            <w:r w:rsidRPr="00613409">
              <w:rPr>
                <w:rFonts w:ascii="Times New Roman" w:hAnsi="Times New Roman"/>
                <w:color w:val="000000"/>
                <w:szCs w:val="24"/>
              </w:rPr>
              <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w:t>
            </w:r>
            <w:r w:rsidRPr="00613409">
              <w:rPr>
                <w:rFonts w:cs="宋体" w:hint="eastAsia"/>
                <w:color w:val="000000"/>
                <w:szCs w:val="24"/>
              </w:rPr>
              <w:t>①</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净值收益率标准差</w:t>
            </w:r>
            <w:r w:rsidRPr="00613409">
              <w:rPr>
                <w:rFonts w:cs="宋体" w:hint="eastAsia"/>
                <w:color w:val="000000"/>
                <w:szCs w:val="24"/>
              </w:rPr>
              <w:t>②</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ascii="Times New Roman" w:hAnsi="Times New Roman"/>
                <w:color w:val="000000"/>
                <w:szCs w:val="24"/>
              </w:rPr>
              <w:t>业绩比较基准收益率标准差</w:t>
            </w:r>
            <w:r w:rsidRPr="00613409">
              <w:rPr>
                <w:rFonts w:cs="宋体" w:hint="eastAsia"/>
                <w:color w:val="000000"/>
                <w:szCs w:val="24"/>
              </w:rPr>
              <w:t>④</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①</w:t>
            </w:r>
            <w:r w:rsidRPr="00613409">
              <w:rPr>
                <w:rFonts w:ascii="Times New Roman" w:hAnsi="Times New Roman"/>
                <w:color w:val="000000"/>
                <w:szCs w:val="24"/>
              </w:rPr>
              <w:t>-</w:t>
            </w:r>
            <w:r w:rsidRPr="00613409">
              <w:rPr>
                <w:rFonts w:cs="宋体" w:hint="eastAsia"/>
                <w:color w:val="000000"/>
                <w:szCs w:val="24"/>
              </w:rPr>
              <w:t>③</w:t>
            </w:r>
          </w:p>
        </w:tc>
        <w:tc>
          <w:tcPr>
            <w:tcW w:type="dxa" w:w="1329"/>
            <w:vAlign w:val="center"/>
          </w:tcPr>
          <w:p w:rsidP="00841A22" w:rsidR="00EA3F40" w:rsidRDefault="00EA3F40" w:rsidRPr="00613409">
            <w:pPr>
              <w:pStyle w:val="ab"/>
              <w:adjustRightInd w:val="0"/>
              <w:snapToGrid w:val="0"/>
              <w:spacing w:after="0" w:afterAutospacing="0" w:before="0" w:beforeAutospacing="0" w:line="360" w:lineRule="auto"/>
              <w:jc w:val="center"/>
              <w:rPr>
                <w:rFonts w:ascii="Times New Roman" w:hAnsi="Times New Roman"/>
                <w:color w:val="000000"/>
                <w:szCs w:val="24"/>
              </w:rPr>
            </w:pPr>
            <w:r w:rsidRPr="00613409">
              <w:rPr>
                <w:rFonts w:cs="宋体" w:hint="eastAsia"/>
                <w:color w:val="000000"/>
                <w:szCs w:val="24"/>
              </w:rPr>
              <w:t>②</w:t>
            </w:r>
            <w:r w:rsidRPr="00613409">
              <w:rPr>
                <w:rFonts w:ascii="Times New Roman" w:hAnsi="Times New Roman"/>
                <w:color w:val="000000"/>
                <w:szCs w:val="24"/>
              </w:rPr>
              <w:t>-</w:t>
            </w:r>
            <w:r w:rsidRPr="00613409">
              <w:rPr>
                <w:rFonts w:cs="宋体" w:hint="eastAsia"/>
                <w:color w:val="000000"/>
                <w:szCs w:val="24"/>
              </w:rPr>
              <w:t>④</w:t>
            </w:r>
          </w:p>
        </w:tc>
      </w:tr>
      <w:tr>
        <w:tc>
          <w:tcPr>
            <w:vAlign w:val="center"/>
          </w:tcPr>
          <w:p>
            <w:pPr>
              <w:jc w:val="left"/>
            </w:pPr>
            <w:r>
              <w:rPr>
                <w:color w:val="000000"/>
                <w:kern w:val="2"/>
                <w:sz w:val="24"/>
              </w:rPr>
              <w:t>过去三个月</w:t>
            </w:r>
          </w:p>
        </w:tc>
        <w:tc>
          <w:tcPr>
            <w:vAlign w:val="center"/>
          </w:tcPr>
          <w:p>
            <w:pPr>
              <w:jc w:val="center"/>
            </w:pPr>
            <w:r>
              <w:rPr>
                <w:color w:val="000000"/>
                <w:kern w:val="2"/>
                <w:sz w:val="24"/>
              </w:rPr>
              <w:t>0.4910%</w:t>
            </w:r>
          </w:p>
        </w:tc>
        <w:tc>
          <w:tcPr>
            <w:vAlign w:val="center"/>
          </w:tcPr>
          <w:p>
            <w:pPr>
              <w:jc w:val="center"/>
            </w:pPr>
            <w:r>
              <w:rPr>
                <w:color w:val="000000"/>
                <w:kern w:val="2"/>
                <w:sz w:val="24"/>
              </w:rPr>
              <w:t>0.0006%</w:t>
            </w:r>
          </w:p>
        </w:tc>
        <w:tc>
          <w:tcPr>
            <w:vAlign w:val="center"/>
          </w:tcPr>
          <w:p>
            <w:pPr>
              <w:jc w:val="center"/>
            </w:pPr>
            <w:r>
              <w:rPr>
                <w:color w:val="000000"/>
                <w:kern w:val="2"/>
                <w:sz w:val="24"/>
              </w:rPr>
              <w:t>0.3418%</w:t>
            </w:r>
          </w:p>
        </w:tc>
        <w:tc>
          <w:tcPr>
            <w:vAlign w:val="center"/>
          </w:tcPr>
          <w:p>
            <w:pPr>
              <w:jc w:val="center"/>
            </w:pPr>
            <w:r>
              <w:rPr>
                <w:color w:val="000000"/>
                <w:kern w:val="2"/>
                <w:sz w:val="24"/>
              </w:rPr>
              <w:t>0.0000%</w:t>
            </w:r>
          </w:p>
        </w:tc>
        <w:tc>
          <w:tcPr>
            <w:vAlign w:val="center"/>
          </w:tcPr>
          <w:p>
            <w:pPr>
              <w:jc w:val="center"/>
            </w:pPr>
            <w:r>
              <w:rPr>
                <w:color w:val="000000"/>
                <w:kern w:val="2"/>
                <w:sz w:val="24"/>
              </w:rPr>
              <w:t>0.1492%</w:t>
            </w:r>
          </w:p>
        </w:tc>
        <w:tc>
          <w:tcPr>
            <w:vAlign w:val="center"/>
          </w:tcPr>
          <w:p>
            <w:pPr>
              <w:jc w:val="center"/>
            </w:pPr>
            <w:r>
              <w:rPr>
                <w:color w:val="000000"/>
                <w:kern w:val="2"/>
                <w:sz w:val="24"/>
              </w:rPr>
              <w:t>0.0006%</w:t>
            </w:r>
          </w:p>
        </w:tc>
      </w:tr>
      <w:tr>
        <w:tc>
          <w:tcPr>
            <w:vAlign w:val="center"/>
          </w:tcPr>
          <w:p>
            <w:pPr>
              <w:jc w:val="left"/>
            </w:pPr>
            <w:r>
              <w:rPr>
                <w:color w:val="000000"/>
                <w:kern w:val="2"/>
                <w:sz w:val="24"/>
              </w:rPr>
              <w:t>过去六个月</w:t>
            </w:r>
          </w:p>
        </w:tc>
        <w:tc>
          <w:tcPr>
            <w:vAlign w:val="center"/>
          </w:tcPr>
          <w:p>
            <w:pPr>
              <w:jc w:val="center"/>
            </w:pPr>
            <w:r>
              <w:rPr>
                <w:color w:val="000000"/>
                <w:kern w:val="2"/>
                <w:sz w:val="24"/>
              </w:rPr>
              <w:t>1.1367%</w:t>
            </w:r>
          </w:p>
        </w:tc>
        <w:tc>
          <w:tcPr>
            <w:vAlign w:val="center"/>
          </w:tcPr>
          <w:p>
            <w:pPr>
              <w:jc w:val="center"/>
            </w:pPr>
            <w:r>
              <w:rPr>
                <w:color w:val="000000"/>
                <w:kern w:val="2"/>
                <w:sz w:val="24"/>
              </w:rPr>
              <w:t>0.0010%</w:t>
            </w:r>
          </w:p>
        </w:tc>
        <w:tc>
          <w:tcPr>
            <w:vAlign w:val="center"/>
          </w:tcPr>
          <w:p>
            <w:pPr>
              <w:jc w:val="center"/>
            </w:pPr>
            <w:r>
              <w:rPr>
                <w:color w:val="000000"/>
                <w:kern w:val="2"/>
                <w:sz w:val="24"/>
              </w:rPr>
              <w:t>0.6848%</w:t>
            </w:r>
          </w:p>
        </w:tc>
        <w:tc>
          <w:tcPr>
            <w:vAlign w:val="center"/>
          </w:tcPr>
          <w:p>
            <w:pPr>
              <w:jc w:val="center"/>
            </w:pPr>
            <w:r>
              <w:rPr>
                <w:color w:val="000000"/>
                <w:kern w:val="2"/>
                <w:sz w:val="24"/>
              </w:rPr>
              <w:t>0.0000%</w:t>
            </w:r>
          </w:p>
        </w:tc>
        <w:tc>
          <w:tcPr>
            <w:vAlign w:val="center"/>
          </w:tcPr>
          <w:p>
            <w:pPr>
              <w:jc w:val="center"/>
            </w:pPr>
            <w:r>
              <w:rPr>
                <w:color w:val="000000"/>
                <w:kern w:val="2"/>
                <w:sz w:val="24"/>
              </w:rPr>
              <w:t>0.4519%</w:t>
            </w:r>
          </w:p>
        </w:tc>
        <w:tc>
          <w:tcPr>
            <w:vAlign w:val="center"/>
          </w:tcPr>
          <w:p>
            <w:pPr>
              <w:jc w:val="center"/>
            </w:pPr>
            <w:r>
              <w:rPr>
                <w:color w:val="000000"/>
                <w:kern w:val="2"/>
                <w:sz w:val="24"/>
              </w:rPr>
              <w:t>0.0010%</w:t>
            </w:r>
          </w:p>
        </w:tc>
      </w:tr>
      <w:tr>
        <w:tc>
          <w:tcPr>
            <w:vAlign w:val="center"/>
          </w:tcPr>
          <w:p>
            <w:pPr>
              <w:jc w:val="left"/>
            </w:pPr>
            <w:r>
              <w:rPr>
                <w:color w:val="000000"/>
                <w:kern w:val="2"/>
                <w:sz w:val="24"/>
              </w:rPr>
              <w:t>过去一年</w:t>
            </w:r>
          </w:p>
        </w:tc>
        <w:tc>
          <w:tcPr>
            <w:vAlign w:val="center"/>
          </w:tcPr>
          <w:p>
            <w:pPr>
              <w:jc w:val="center"/>
            </w:pPr>
            <w:r>
              <w:rPr>
                <w:color w:val="000000"/>
                <w:kern w:val="2"/>
                <w:sz w:val="24"/>
              </w:rPr>
              <w:t>2.3925%</w:t>
            </w:r>
          </w:p>
        </w:tc>
        <w:tc>
          <w:tcPr>
            <w:vAlign w:val="center"/>
          </w:tcPr>
          <w:p>
            <w:pPr>
              <w:jc w:val="center"/>
            </w:pPr>
            <w:r>
              <w:rPr>
                <w:color w:val="000000"/>
                <w:kern w:val="2"/>
                <w:sz w:val="24"/>
              </w:rPr>
              <w:t>0.0008%</w:t>
            </w:r>
          </w:p>
        </w:tc>
        <w:tc>
          <w:tcPr>
            <w:vAlign w:val="center"/>
          </w:tcPr>
          <w:p>
            <w:pPr>
              <w:jc w:val="center"/>
            </w:pPr>
            <w:r>
              <w:rPr>
                <w:color w:val="000000"/>
                <w:kern w:val="2"/>
                <w:sz w:val="24"/>
              </w:rPr>
              <w:t>1.3819%</w:t>
            </w:r>
          </w:p>
        </w:tc>
        <w:tc>
          <w:tcPr>
            <w:vAlign w:val="center"/>
          </w:tcPr>
          <w:p>
            <w:pPr>
              <w:jc w:val="center"/>
            </w:pPr>
            <w:r>
              <w:rPr>
                <w:color w:val="000000"/>
                <w:kern w:val="2"/>
                <w:sz w:val="24"/>
              </w:rPr>
              <w:t>0.0000%</w:t>
            </w:r>
          </w:p>
        </w:tc>
        <w:tc>
          <w:tcPr>
            <w:vAlign w:val="center"/>
          </w:tcPr>
          <w:p>
            <w:pPr>
              <w:jc w:val="center"/>
            </w:pPr>
            <w:r>
              <w:rPr>
                <w:color w:val="000000"/>
                <w:kern w:val="2"/>
                <w:sz w:val="24"/>
              </w:rPr>
              <w:t>1.0106%</w:t>
            </w:r>
          </w:p>
        </w:tc>
        <w:tc>
          <w:tcPr>
            <w:vAlign w:val="center"/>
          </w:tcPr>
          <w:p>
            <w:pPr>
              <w:jc w:val="center"/>
            </w:pPr>
            <w:r>
              <w:rPr>
                <w:color w:val="000000"/>
                <w:kern w:val="2"/>
                <w:sz w:val="24"/>
              </w:rPr>
              <w:t>0.0008%</w:t>
            </w:r>
          </w:p>
        </w:tc>
      </w:tr>
      <w:tr>
        <w:tc>
          <w:tcPr>
            <w:vAlign w:val="center"/>
          </w:tcPr>
          <w:p>
            <w:pPr>
              <w:jc w:val="left"/>
            </w:pPr>
            <w:r>
              <w:rPr>
                <w:color w:val="000000"/>
                <w:kern w:val="2"/>
                <w:sz w:val="24"/>
              </w:rPr>
              <w:t>过去三年</w:t>
            </w:r>
          </w:p>
        </w:tc>
        <w:tc>
          <w:tcPr>
            <w:vAlign w:val="center"/>
          </w:tcPr>
          <w:p>
            <w:pPr>
              <w:jc w:val="center"/>
            </w:pPr>
            <w:r>
              <w:rPr>
                <w:color w:val="000000"/>
                <w:kern w:val="2"/>
                <w:sz w:val="24"/>
              </w:rPr>
              <w:t>10.0048%</w:t>
            </w:r>
          </w:p>
        </w:tc>
        <w:tc>
          <w:tcPr>
            <w:vAlign w:val="center"/>
          </w:tcPr>
          <w:p>
            <w:pPr>
              <w:jc w:val="center"/>
            </w:pPr>
            <w:r>
              <w:rPr>
                <w:color w:val="000000"/>
                <w:kern w:val="2"/>
                <w:sz w:val="24"/>
              </w:rPr>
              <w:t>0.0022%</w:t>
            </w:r>
          </w:p>
        </w:tc>
        <w:tc>
          <w:tcPr>
            <w:vAlign w:val="center"/>
          </w:tcPr>
          <w:p>
            <w:pPr>
              <w:jc w:val="center"/>
            </w:pPr>
            <w:r>
              <w:rPr>
                <w:color w:val="000000"/>
                <w:kern w:val="2"/>
                <w:sz w:val="24"/>
              </w:rPr>
              <w:t>4.1955%</w:t>
            </w:r>
          </w:p>
        </w:tc>
        <w:tc>
          <w:tcPr>
            <w:vAlign w:val="center"/>
          </w:tcPr>
          <w:p>
            <w:pPr>
              <w:jc w:val="center"/>
            </w:pPr>
            <w:r>
              <w:rPr>
                <w:color w:val="000000"/>
                <w:kern w:val="2"/>
                <w:sz w:val="24"/>
              </w:rPr>
              <w:t>0.0000%</w:t>
            </w:r>
          </w:p>
        </w:tc>
        <w:tc>
          <w:tcPr>
            <w:vAlign w:val="center"/>
          </w:tcPr>
          <w:p>
            <w:pPr>
              <w:jc w:val="center"/>
            </w:pPr>
            <w:r>
              <w:rPr>
                <w:color w:val="000000"/>
                <w:kern w:val="2"/>
                <w:sz w:val="24"/>
              </w:rPr>
              <w:t>5.8093%</w:t>
            </w:r>
          </w:p>
        </w:tc>
        <w:tc>
          <w:tcPr>
            <w:vAlign w:val="center"/>
          </w:tcPr>
          <w:p>
            <w:pPr>
              <w:jc w:val="center"/>
            </w:pPr>
            <w:r>
              <w:rPr>
                <w:color w:val="000000"/>
                <w:kern w:val="2"/>
                <w:sz w:val="24"/>
              </w:rPr>
              <w:t>0.0022%</w:t>
            </w:r>
          </w:p>
        </w:tc>
      </w:tr>
      <w:tr>
        <w:tc>
          <w:tcPr>
            <w:vAlign w:val="center"/>
          </w:tcPr>
          <w:p>
            <w:pPr>
              <w:jc w:val="left"/>
            </w:pPr>
            <w:r>
              <w:rPr>
                <w:color w:val="000000"/>
                <w:kern w:val="2"/>
                <w:sz w:val="24"/>
              </w:rPr>
              <w:t>过去五年</w:t>
            </w:r>
          </w:p>
        </w:tc>
        <w:tc>
          <w:tcPr>
            <w:vAlign w:val="center"/>
          </w:tcPr>
          <w:p>
            <w:pPr>
              <w:jc w:val="center"/>
            </w:pPr>
            <w:r>
              <w:rPr>
                <w:color w:val="000000"/>
                <w:kern w:val="2"/>
                <w:sz w:val="24"/>
              </w:rPr>
              <w:t>17.3359%</w:t>
            </w:r>
          </w:p>
        </w:tc>
        <w:tc>
          <w:tcPr>
            <w:vAlign w:val="center"/>
          </w:tcPr>
          <w:p>
            <w:pPr>
              <w:jc w:val="center"/>
            </w:pPr>
            <w:r>
              <w:rPr>
                <w:color w:val="000000"/>
                <w:kern w:val="2"/>
                <w:sz w:val="24"/>
              </w:rPr>
              <w:t>0.0021%</w:t>
            </w:r>
          </w:p>
        </w:tc>
        <w:tc>
          <w:tcPr>
            <w:vAlign w:val="center"/>
          </w:tcPr>
          <w:p>
            <w:pPr>
              <w:jc w:val="center"/>
            </w:pPr>
            <w:r>
              <w:rPr>
                <w:color w:val="000000"/>
                <w:kern w:val="2"/>
                <w:sz w:val="24"/>
              </w:rPr>
              <w:t>7.0913%</w:t>
            </w:r>
          </w:p>
        </w:tc>
        <w:tc>
          <w:tcPr>
            <w:vAlign w:val="center"/>
          </w:tcPr>
          <w:p>
            <w:pPr>
              <w:jc w:val="center"/>
            </w:pPr>
            <w:r>
              <w:rPr>
                <w:color w:val="000000"/>
                <w:kern w:val="2"/>
                <w:sz w:val="24"/>
              </w:rPr>
              <w:t>0.0000%</w:t>
            </w:r>
          </w:p>
        </w:tc>
        <w:tc>
          <w:tcPr>
            <w:vAlign w:val="center"/>
          </w:tcPr>
          <w:p>
            <w:pPr>
              <w:jc w:val="center"/>
            </w:pPr>
            <w:r>
              <w:rPr>
                <w:color w:val="000000"/>
                <w:kern w:val="2"/>
                <w:sz w:val="24"/>
              </w:rPr>
              <w:t>10.2446%</w:t>
            </w:r>
          </w:p>
        </w:tc>
        <w:tc>
          <w:tcPr>
            <w:vAlign w:val="center"/>
          </w:tcPr>
          <w:p>
            <w:pPr>
              <w:jc w:val="center"/>
            </w:pPr>
            <w:r>
              <w:rPr>
                <w:color w:val="000000"/>
                <w:kern w:val="2"/>
                <w:sz w:val="24"/>
              </w:rPr>
              <w:t>0.0021%</w:t>
            </w:r>
          </w:p>
        </w:tc>
      </w:tr>
      <w:tr>
        <w:tc>
          <w:tcPr>
            <w:vAlign w:val="center"/>
          </w:tcPr>
          <w:p>
            <w:pPr>
              <w:jc w:val="left"/>
            </w:pPr>
            <w:r>
              <w:rPr>
                <w:color w:val="000000"/>
                <w:kern w:val="2"/>
                <w:sz w:val="24"/>
              </w:rPr>
              <w:t>自基金合同生效起至今</w:t>
            </w:r>
          </w:p>
        </w:tc>
        <w:tc>
          <w:tcPr>
            <w:vAlign w:val="center"/>
          </w:tcPr>
          <w:p>
            <w:pPr>
              <w:jc w:val="center"/>
            </w:pPr>
            <w:r>
              <w:rPr>
                <w:color w:val="000000"/>
                <w:kern w:val="2"/>
                <w:sz w:val="24"/>
              </w:rPr>
              <w:t>20.2321%</w:t>
            </w:r>
          </w:p>
        </w:tc>
        <w:tc>
          <w:tcPr>
            <w:vAlign w:val="center"/>
          </w:tcPr>
          <w:p>
            <w:pPr>
              <w:jc w:val="center"/>
            </w:pPr>
            <w:r>
              <w:rPr>
                <w:color w:val="000000"/>
                <w:kern w:val="2"/>
                <w:sz w:val="24"/>
              </w:rPr>
              <w:t>0.0024%</w:t>
            </w:r>
          </w:p>
        </w:tc>
        <w:tc>
          <w:tcPr>
            <w:vAlign w:val="center"/>
          </w:tcPr>
          <w:p>
            <w:pPr>
              <w:jc w:val="center"/>
            </w:pPr>
            <w:r>
              <w:rPr>
                <w:color w:val="000000"/>
                <w:kern w:val="2"/>
                <w:sz w:val="24"/>
              </w:rPr>
              <w:t>7.9298%</w:t>
            </w:r>
          </w:p>
        </w:tc>
        <w:tc>
          <w:tcPr>
            <w:vAlign w:val="center"/>
          </w:tcPr>
          <w:p>
            <w:pPr>
              <w:jc w:val="center"/>
            </w:pPr>
            <w:r>
              <w:rPr>
                <w:color w:val="000000"/>
                <w:kern w:val="2"/>
                <w:sz w:val="24"/>
              </w:rPr>
              <w:t>0.0000%</w:t>
            </w:r>
          </w:p>
        </w:tc>
        <w:tc>
          <w:tcPr>
            <w:vAlign w:val="center"/>
          </w:tcPr>
          <w:p>
            <w:pPr>
              <w:jc w:val="center"/>
            </w:pPr>
            <w:r>
              <w:rPr>
                <w:color w:val="000000"/>
                <w:kern w:val="2"/>
                <w:sz w:val="24"/>
              </w:rPr>
              <w:t>12.3023%</w:t>
            </w:r>
          </w:p>
        </w:tc>
        <w:tc>
          <w:tcPr>
            <w:vAlign w:val="center"/>
          </w:tcPr>
          <w:p>
            <w:pPr>
              <w:jc w:val="center"/>
            </w:pPr>
            <w:r>
              <w:rPr>
                <w:color w:val="000000"/>
                <w:kern w:val="2"/>
                <w:sz w:val="24"/>
              </w:rPr>
              <w:t>0.0024%</w:t>
            </w:r>
          </w:p>
        </w:tc>
      </w:tr>
    </w:tbl>
    <w:p w:rsidP="009A755D" w:rsidR="00EA3F40" w:rsidRDefault="00EA3F40" w:rsidRPr="0097021E">
      <w:pPr>
        <w:spacing w:line="360" w:lineRule="auto"/>
        <w:rPr>
          <w:rFonts w:ascii="宋体" w:cs="Arial"/>
          <w:b/>
          <w:color w:val="000000"/>
          <w:kern w:val="0"/>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cs="Arial" w:hAnsi="宋体"/>
            <w:b/>
            <w:color w:val="000000"/>
            <w:kern w:val="0"/>
            <w:sz w:val="24"/>
          </w:rPr>
          <w:t>3.2.2</w:t>
        </w:r>
        <w:r w:rsidR="001136E5" w:rsidRPr="00370BEA">
          <w:rPr>
            <w:rStyle w:val="af"/>
            <w:rFonts w:hint="eastAsia"/>
            <w:color w:val="000000"/>
            <w:sz w:val="24"/>
            <w:shd w:color="auto" w:fill="FFFFFF" w:val="clear"/>
          </w:rPr>
          <w:t>自基金合同生效以来</w:t>
        </w:r>
      </w:smartTag>
      <w:r w:rsidRPr="0097021E">
        <w:rPr>
          <w:rFonts w:ascii="宋体" w:cs="Arial" w:hAnsi="宋体" w:hint="eastAsia"/>
          <w:b/>
          <w:color w:val="000000"/>
          <w:kern w:val="0"/>
          <w:sz w:val="24"/>
        </w:rPr>
        <w:t>基金累计净值收益率变动及其与同期业绩比较基准收益率变动的比较</w:t>
      </w:r>
    </w:p>
    <w:p w:rsidP="009A755D" w:rsidR="00EA3F40" w:rsidRDefault="00EA3F40" w:rsidRPr="00613409">
      <w:pPr>
        <w:spacing w:line="360" w:lineRule="auto"/>
        <w:jc w:val="center"/>
        <w:rPr>
          <w:sz w:val="24"/>
        </w:rPr>
      </w:pPr>
      <w:r w:rsidRPr="00613409">
        <w:rPr>
          <w:sz w:val="24"/>
        </w:rPr>
        <w:t>易方达财富快线货币市场基金</w:t>
      </w:r>
    </w:p>
    <w:p w:rsidP="00CB6152" w:rsidR="00CB6152" w:rsidRDefault="00EA3F40" w:rsidRPr="00CB6152">
      <w:pPr>
        <w:pStyle w:val="a6"/>
        <w:snapToGrid w:val="0"/>
        <w:spacing w:line="360" w:lineRule="auto"/>
        <w:jc w:val="center"/>
        <w:rPr>
          <w:rFonts w:ascii="Times New Roman" w:hAnsi="Times New Roman"/>
          <w:color w:val="000000"/>
          <w:sz w:val="24"/>
          <w:szCs w:val="24"/>
        </w:rPr>
      </w:pPr>
      <w:r w:rsidRPr="00613409">
        <w:rPr>
          <w:rFonts w:ascii="Times New Roman" w:hAnsi="Times New Roman"/>
          <w:sz w:val="24"/>
          <w:szCs w:val="24"/>
        </w:rPr>
        <w:t>累计净值收益率与业绩比较基准收益率的历史走势对比图</w:t>
      </w:r>
    </w:p>
    <w:p w:rsidP="00CB6152" w:rsidR="00CB6152" w:rsidRDefault="00EA3F40" w:rsidRPr="00CB6152">
      <w:pPr>
        <w:snapToGrid w:val="0"/>
        <w:spacing w:line="360" w:lineRule="auto"/>
        <w:rPr>
          <w:rFonts w:hAnsi="宋体"/>
          <w:color w:val="000000"/>
          <w:sz w:val="24"/>
        </w:rPr>
      </w:pPr>
      <w:r w:rsidRPr="00613409">
        <w:rPr>
          <w:color w:val="000000"/>
          <w:kern w:val="0"/>
          <w:sz w:val="24"/>
        </w:rPr>
        <w:t>易方达财富快线货币A</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（2014年6月17日至2020年6月30日）</w:t>
      </w:r>
    </w:p>
    <w:p w:rsidP="00196812" w:rsidR="00EA3F40" w:rsidRDefault="00B261EB" w:rsidRPr="007600BC">
      <w:pPr>
        <w:tabs>
          <w:tab w:pos="0" w:val="left"/>
        </w:tabs>
        <w:spacing w:line="360" w:lineRule="auto"/>
        <w:jc w:val="center"/>
        <w:rPr>
          <w:rFonts w:ascii="宋体"/>
          <w:color w:val="000000"/>
          <w:sz w:val="24"/>
        </w:rPr>
      </w:pPr>
      <w:r>
        <w:rPr>
          <w:rFonts w:ascii="宋体"/>
          <w:noProof/>
          <w:color w:val="000000"/>
          <w:sz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52.25pt;height:267pt;visibility:visible" type="#_x0000_t75">
            <v:imagedata o:title="" r:id="rId10"/>
          </v:shape>
        </w:pict>
      </w:r>
    </w:p>
    <w:p w:rsidP="00613409" w:rsidR="00EA3F40" w:rsidRDefault="00613409" w:rsidRPr="0097021E">
      <w:pPr>
        <w:tabs>
          <w:tab w:pos="825" w:val="left"/>
        </w:tabs>
        <w:adjustRightInd w:val="0"/>
        <w:snapToGrid w:val="0"/>
        <w:spacing w:line="360" w:lineRule="auto"/>
        <w:rPr>
          <w:rFonts w:ascii="宋体"/>
          <w:color w:val="000000"/>
          <w:sz w:val="24"/>
        </w:rPr>
      </w:pPr>
      <w:r>
        <w:rPr>
          <w:rFonts w:ascii="宋体"/>
          <w:color w:val="000000"/>
          <w:sz w:val="24"/>
        </w:rPr>
        <w:tab/>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易方达财富快线货币B</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（2014年6月17日至2020年6月30日）</w:t>
      </w:r>
    </w:p>
    <w:p w:rsidP="00196812" w:rsidR="00EA3F40" w:rsidRDefault="00B261EB" w:rsidRPr="0097021E">
      <w:pPr>
        <w:snapToGrid w:val="0"/>
        <w:spacing w:line="360" w:lineRule="auto"/>
        <w:jc w:val="center"/>
        <w:rPr>
          <w:rFonts w:ascii="宋体"/>
          <w:color w:val="000000"/>
          <w:sz w:val="24"/>
        </w:rPr>
      </w:pPr>
      <w:r>
        <w:rPr>
          <w:rFonts w:ascii="宋体"/>
          <w:noProof/>
          <w:color w:val="000000"/>
          <w:sz w:val="24"/>
        </w:rPr>
        <w:lastRenderedPageBreak/>
        <w:pict>
          <v:shape id="图片 2" o:spid="_x0000_i1026" style="width:452.25pt;height:267pt;visibility:visible" type="#_x0000_t75">
            <v:imagedata o:title="" r:id="rId11"/>
          </v:shape>
        </w:pict>
      </w:r>
    </w:p>
    <w:p w:rsidP="00CB6152" w:rsidR="00CB6152" w:rsidRDefault="00EA3F40" w:rsidRPr="00CB6152">
      <w:pPr>
        <w:snapToGrid w:val="0"/>
        <w:spacing w:before="312" w:beforeLines="100" w:line="360" w:lineRule="auto"/>
        <w:rPr>
          <w:rFonts w:hAnsi="宋体"/>
          <w:color w:val="000000"/>
          <w:sz w:val="24"/>
        </w:rPr>
      </w:pPr>
      <w:r w:rsidRPr="00613409">
        <w:rPr>
          <w:color w:val="000000"/>
          <w:kern w:val="0"/>
          <w:sz w:val="24"/>
        </w:rPr>
        <w:t>易方达财富快线货币Y</w:t>
      </w:r>
    </w:p>
    <w:p w:rsidP="00CB6152" w:rsidR="00EA3F40" w:rsidRDefault="00CB6152" w:rsidRPr="00CB6152">
      <w:pPr>
        <w:pStyle w:val="a6"/>
        <w:snapToGrid w:val="0"/>
        <w:spacing w:line="360" w:lineRule="auto"/>
        <w:jc w:val="center"/>
        <w:rPr>
          <w:rFonts w:ascii="Times New Roman" w:hAnsi="Times New Roman"/>
          <w:sz w:val="24"/>
          <w:szCs w:val="24"/>
        </w:rPr>
      </w:pPr>
      <w:r w:rsidRPr="00CB6152">
        <w:rPr>
          <w:rFonts w:ascii="Times New Roman" w:hAnsi="Times New Roman"/>
          <w:sz w:val="24"/>
          <w:szCs w:val="24"/>
        </w:rPr>
        <w:t>（2014年12月5日至2020年6月30日）</w:t>
      </w:r>
    </w:p>
    <w:p w:rsidP="00220437" w:rsidR="00EA3F40" w:rsidRDefault="00B261EB" w:rsidRPr="000A39AB">
      <w:pPr>
        <w:autoSpaceDE w:val="0"/>
        <w:autoSpaceDN w:val="0"/>
        <w:adjustRightInd w:val="0"/>
        <w:spacing w:line="360" w:lineRule="auto"/>
        <w:jc w:val="center"/>
        <w:rPr>
          <w:rFonts w:ascii="宋体"/>
          <w:color w:val="000000"/>
          <w:sz w:val="24"/>
        </w:rPr>
      </w:pPr>
      <w:r>
        <w:rPr>
          <w:rFonts w:ascii="宋体"/>
          <w:noProof/>
          <w:color w:val="000000"/>
          <w:sz w:val="24"/>
        </w:rPr>
        <w:pict>
          <v:shape id="图片 6" o:spid="_x0000_i1027" style="width:452.25pt;height:267pt;visibility:visible" type="#_x0000_t75">
            <v:imagedata o:title="" r:id="rId12"/>
          </v:shape>
        </w:pict>
      </w:r>
    </w:p>
    <w:p>
      <w:pPr>
        <w:adjustRightInd w:val="0"/>
        <w:spacing w:line="360" w:lineRule="auto"/>
        <w:ind w:firstLine="480" w:firstLineChars="200"/>
        <w:rPr>
          <w:color w:val="000000"/>
          <w:sz w:val="24"/>
        </w:rPr>
      </w:pPr>
      <w:r>
        <w:rPr>
          <w:color w:val="000000"/>
          <w:sz w:val="24"/>
        </w:rPr>
        <w:t>注：1.自2014年12月3日起，本基金增设Y类份额类别，份额首次确认日为2014年12月5日，增设当期的相关数据和指标按实际存续期计算。</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lastRenderedPageBreak/>
        <w:t>2.自基金合同生效至报告期末，A类基金份额净值收益率为22.5508%，B类基金份额净值收益率为24.3383%，同期业绩比较基准收益率为8.6241%。Y类基金份额净值收益率为20.2321%，同期业绩比较基准收益率为7.9298%。</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4  </w:t>
      </w:r>
      <w:r w:rsidRPr="0097021E">
        <w:rPr>
          <w:rFonts w:ascii="宋体" w:cs="Arial" w:hAnsi="宋体" w:hint="eastAsia"/>
          <w:color w:val="000000"/>
          <w:kern w:val="0"/>
          <w:sz w:val="24"/>
          <w:szCs w:val="24"/>
        </w:rPr>
        <w:t>管理人报告</w:t>
      </w:r>
    </w:p>
    <w:p w:rsidP="00E23C1B" w:rsidR="00E23C1B" w:rsidRDefault="00EA3F40" w:rsidRPr="0078105B">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4.1 </w:t>
      </w:r>
      <w:r w:rsidRPr="0097021E">
        <w:rPr>
          <w:rFonts w:ascii="宋体" w:cs="Arial" w:hAnsi="宋体" w:hint="eastAsia"/>
          <w:b/>
          <w:color w:val="000000"/>
          <w:kern w:val="0"/>
          <w:sz w:val="24"/>
        </w:rPr>
        <w:t>基金经理</w:t>
      </w:r>
      <w:r w:rsidR="007C3671">
        <w:rPr>
          <w:rFonts w:ascii="宋体" w:cs="Arial" w:hAnsi="宋体" w:hint="eastAsia"/>
          <w:b/>
          <w:color w:val="000000"/>
          <w:kern w:val="0"/>
          <w:sz w:val="24"/>
        </w:rPr>
        <w:t>（</w:t>
      </w:r>
      <w:r w:rsidR="007C3671" w:rsidRPr="0097021E">
        <w:rPr>
          <w:rFonts w:ascii="宋体" w:cs="Arial" w:hAnsi="宋体" w:hint="eastAsia"/>
          <w:b/>
          <w:color w:val="000000"/>
          <w:kern w:val="0"/>
          <w:sz w:val="24"/>
        </w:rPr>
        <w:t>或基金经理小组</w:t>
      </w:r>
      <w:r w:rsidR="007C3671">
        <w:rPr>
          <w:rFonts w:ascii="宋体" w:cs="Arial" w:hAnsi="宋体" w:hint="eastAsia"/>
          <w:b/>
          <w:color w:val="000000"/>
          <w:kern w:val="0"/>
          <w:sz w:val="24"/>
        </w:rPr>
        <w:t>）</w:t>
      </w:r>
      <w:r w:rsidRPr="0097021E">
        <w:rPr>
          <w:rFonts w:ascii="宋体" w:cs="Arial" w:hAnsi="宋体" w:hint="eastAsia"/>
          <w:b/>
          <w:color w:val="000000"/>
          <w:kern w:val="0"/>
          <w:sz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E23C1B" w:rsidRPr="0078105B" w:rsidTr="002E41BD">
        <w:trPr>
          <w:cantSplit/>
        </w:trPr>
        <w:tc>
          <w:tcPr>
            <w:tcW w:type="dxa" w:w="56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E23C1B" w:rsidRPr="0078105B" w:rsidTr="002E41BD">
        <w:trPr>
          <w:cantSplit/>
        </w:trPr>
        <w:tc>
          <w:tcPr>
            <w:tcW w:type="dxa" w:w="56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835"/>
            <w:vMerge/>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2E41BD" w:rsidR="00E23C1B" w:rsidRDefault="00E23C1B"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石大怿</w:t>
            </w:r>
          </w:p>
        </w:tc>
        <w:tc>
          <w:tcPr>
            <w:vAlign w:val="center"/>
          </w:tcPr>
          <w:p>
            <w:pPr>
              <w:jc w:val="left"/>
            </w:pPr>
            <w:r>
              <w:rPr>
                <w:color w:val="000000"/>
                <w:sz w:val="24"/>
              </w:rPr>
              <w:t>本基金的基金经理、易方达月月利理财债券型证券投资基金的基金经理、易方达天天理财货币市场基金的基金经理、易方达保证金收益货币市场基金的基金经理、易方达货币市场基金的基金经理、易方达易理财货币市场基金的基金经理、易方达天天增利货币市场基金的基金经理、易方达龙宝货币市场基金的基金经理、易方达现金增利货币市场基金的基金经理、易方达天天发货币市场基金的基金经理、易方达掌柜季季盈理财债券型证券投资基金的基金经理、易方达安瑞短债债券型证券投资基金的基金经理、易方达恒安定期开放债券型发起式证券投资基金的基金经理助理</w:t>
            </w:r>
          </w:p>
        </w:tc>
        <w:tc>
          <w:tcPr>
            <w:vAlign w:val="center"/>
          </w:tcPr>
          <w:p>
            <w:pPr>
              <w:jc w:val="center"/>
            </w:pPr>
            <w:r>
              <w:rPr>
                <w:color w:val="000000"/>
                <w:sz w:val="24"/>
              </w:rPr>
              <w:t>2014-06-17</w:t>
            </w:r>
          </w:p>
        </w:tc>
        <w:tc>
          <w:tcPr>
            <w:vAlign w:val="center"/>
          </w:tcPr>
          <w:p>
            <w:pPr>
              <w:jc w:val="center"/>
            </w:pPr>
            <w:r>
              <w:rPr>
                <w:color w:val="000000"/>
                <w:sz w:val="24"/>
              </w:rPr>
              <w:t>-</w:t>
            </w:r>
          </w:p>
        </w:tc>
        <w:tc>
          <w:tcPr>
            <w:vAlign w:val="center"/>
          </w:tcPr>
          <w:p>
            <w:pPr>
              <w:jc w:val="center"/>
            </w:pPr>
            <w:r>
              <w:rPr>
                <w:color w:val="000000"/>
                <w:sz w:val="24"/>
              </w:rPr>
              <w:t>11年</w:t>
            </w:r>
          </w:p>
        </w:tc>
        <w:tc>
          <w:tcPr>
            <w:vAlign w:val="center"/>
          </w:tcPr>
          <w:p>
            <w:pPr>
              <w:jc w:val="both"/>
            </w:pPr>
            <w:r>
              <w:rPr>
                <w:color w:val="000000"/>
                <w:sz w:val="24"/>
              </w:rPr>
              <w:t>硕士研究生，具有基金从业资格。曾任南方基金管理有限公司交易管理部交易员，易方达基金管理有限公司集中交易室债券交易员、固定收益部基金经理助理、易方达双月利理财债券型证券投资基金基金经理、易方达新鑫灵活配置混合型证券投资基金基金经理助理。</w:t>
            </w:r>
          </w:p>
        </w:tc>
      </w:tr>
      <w:tr>
        <w:tc>
          <w:tcPr>
            <w:vAlign w:val="center"/>
          </w:tcPr>
          <w:p>
            <w:pPr>
              <w:jc w:val="center"/>
            </w:pPr>
            <w:r>
              <w:rPr>
                <w:color w:val="000000"/>
                <w:sz w:val="24"/>
              </w:rPr>
              <w:t>梁莹</w:t>
            </w:r>
          </w:p>
        </w:tc>
        <w:tc>
          <w:tcPr>
            <w:vAlign w:val="center"/>
          </w:tcPr>
          <w:p>
            <w:pPr>
              <w:jc w:val="left"/>
            </w:pPr>
            <w:r>
              <w:rPr>
                <w:color w:val="000000"/>
                <w:sz w:val="24"/>
              </w:rPr>
              <w:t>本基金的基金经理、易方达月月利理财债券型证券投资基金的基金经理、易方达增金宝货币市场基金的基金经理、易方达天天增利货币市场基金的基金经理、易方达龙宝货币市场基金的基金经理、易方达现金增利货币市场基金的基金经理、易方达掌柜季季盈理财债券型证券投资基金的基金经理、易方达保证金收益货币市场基金的基金经理、易方达安悦超短债债券型证券投资基金的基金经理、易方达货币市场基金的基金经理助理、易方达天天理财货币市场基金的基金经理助理、易方达易理财货币市场基金的基金经理助理、易方达天天发货币市场基金的基金经理助理、投资经理</w:t>
            </w:r>
          </w:p>
        </w:tc>
        <w:tc>
          <w:tcPr>
            <w:vAlign w:val="center"/>
          </w:tcPr>
          <w:p>
            <w:pPr>
              <w:jc w:val="center"/>
            </w:pPr>
            <w:r>
              <w:rPr>
                <w:color w:val="000000"/>
                <w:sz w:val="24"/>
              </w:rPr>
              <w:t>2015-03-17</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证券股份有限公司债券销售交易部交易员，易方达基金管理有限公司固定收益交易员、易方达保证金收益货币市场基金基金经理助理、易方达双月利理财债券型证券投资基金基金经理。</w:t>
            </w:r>
          </w:p>
        </w:tc>
      </w:tr>
      <w:tr>
        <w:tc>
          <w:tcPr>
            <w:vAlign w:val="center"/>
          </w:tcPr>
          <w:p>
            <w:pPr>
              <w:jc w:val="center"/>
            </w:pPr>
            <w:r>
              <w:rPr>
                <w:color w:val="000000"/>
                <w:sz w:val="24"/>
              </w:rPr>
              <w:t>刘朝阳</w:t>
            </w:r>
          </w:p>
        </w:tc>
        <w:tc>
          <w:tcPr>
            <w:vAlign w:val="center"/>
          </w:tcPr>
          <w:p>
            <w:pPr>
              <w:jc w:val="left"/>
            </w:pPr>
            <w:r>
              <w:rPr>
                <w:color w:val="000000"/>
                <w:sz w:val="24"/>
              </w:rPr>
              <w:t>本基金的基金经理、易方达易理财货币市场基金的基金经理、易方达天天理财货币市场基金的基金经理、易方达安悦超短债债券型证券投资基金的基金经理、现金管理部总经理</w:t>
            </w:r>
          </w:p>
        </w:tc>
        <w:tc>
          <w:tcPr>
            <w:vAlign w:val="center"/>
          </w:tcPr>
          <w:p>
            <w:pPr>
              <w:jc w:val="center"/>
            </w:pPr>
            <w:r>
              <w:rPr>
                <w:color w:val="000000"/>
                <w:sz w:val="24"/>
              </w:rPr>
              <w:t>2016-01-30</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硕士研究生，具有基金从业资格。曾任南方基金管理有限公司固定收益部研究员、债券交易员、宏观策略高级研究员、基金经理。</w:t>
            </w:r>
          </w:p>
        </w:tc>
      </w:tr>
    </w:tbl>
    <w:p>
      <w:pPr>
        <w:autoSpaceDE w:val="0"/>
        <w:autoSpaceDN w:val="0"/>
        <w:adjustRightInd w:val="0"/>
        <w:spacing w:line="360" w:lineRule="auto"/>
        <w:ind w:firstLine="480" w:firstLineChars="200"/>
        <w:jc w:val="left"/>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E23C1B" w:rsidR="00EA3F40" w:rsidRDefault="00E23C1B" w:rsidRPr="00613409">
      <w:pPr>
        <w:autoSpaceDE w:val="0"/>
        <w:autoSpaceDN w:val="0"/>
        <w:adjustRightInd w:val="0"/>
        <w:spacing w:line="360" w:lineRule="auto"/>
        <w:ind w:firstLine="480" w:firstLineChars="200"/>
        <w:jc w:val="left"/>
        <w:rPr>
          <w:color w:val="000000"/>
          <w:sz w:val="24"/>
        </w:rPr>
      </w:pPr>
      <w:r w:rsidRPr="00DF18FE">
        <w:rPr>
          <w:color w:val="000000"/>
          <w:sz w:val="24"/>
        </w:rPr>
        <w:t>2.证券从业的含义遵从《证券业从业人员资格管理办法》的相关规定。</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4.2 </w:t>
      </w:r>
      <w:r w:rsidRPr="0044342F">
        <w:rPr>
          <w:rFonts w:ascii="宋体" w:cs="Arial" w:hAnsi="宋体" w:hint="eastAsia"/>
          <w:b/>
          <w:color w:val="000000"/>
          <w:kern w:val="0"/>
          <w:sz w:val="24"/>
        </w:rPr>
        <w:t>管理人对报告期内本基金运作遵规守信情况的说明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A755D" w:rsidR="00EA3F40" w:rsidRDefault="00EA3F40" w:rsidRPr="0097021E">
      <w:pPr>
        <w:autoSpaceDE w:val="0"/>
        <w:autoSpaceDN w:val="0"/>
        <w:adjustRightInd w:val="0"/>
        <w:spacing w:line="360" w:lineRule="auto"/>
        <w:jc w:val="left"/>
        <w:rPr>
          <w:rFonts w:ascii="宋体" w:cs="Arial"/>
          <w:b/>
          <w:color w:val="000000"/>
          <w:kern w:val="0"/>
          <w:sz w:val="24"/>
        </w:rPr>
      </w:pPr>
      <w:r w:rsidRPr="0097021E">
        <w:rPr>
          <w:rFonts w:ascii="宋体" w:cs="Arial" w:hAnsi="宋体"/>
          <w:b/>
          <w:color w:val="000000"/>
          <w:kern w:val="0"/>
          <w:sz w:val="24"/>
        </w:rPr>
        <w:t xml:space="preserve">4.3 </w:t>
      </w:r>
      <w:r w:rsidRPr="0097021E">
        <w:rPr>
          <w:rFonts w:ascii="宋体" w:cs="Arial" w:hAnsi="宋体" w:hint="eastAsia"/>
          <w:b/>
          <w:color w:val="000000"/>
          <w:kern w:val="0"/>
          <w:sz w:val="24"/>
        </w:rPr>
        <w:t>公平交易专项说明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4.3.1</w:t>
        </w:r>
      </w:smartTag>
      <w:r w:rsidRPr="0097021E">
        <w:rPr>
          <w:rFonts w:ascii="宋体" w:hAnsi="宋体"/>
          <w:sz w:val="24"/>
        </w:rPr>
        <w:t xml:space="preserve"> </w:t>
      </w:r>
      <w:r w:rsidRPr="0097021E">
        <w:rPr>
          <w:rFonts w:ascii="宋体" w:hAnsi="宋体" w:hint="eastAsia"/>
          <w:sz w:val="24"/>
        </w:rPr>
        <w:t>公平交易制度的执行情况</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4.3.2</w:t>
        </w:r>
      </w:smartTag>
      <w:r w:rsidRPr="0097021E">
        <w:rPr>
          <w:rFonts w:ascii="宋体" w:hAnsi="宋体"/>
          <w:sz w:val="24"/>
        </w:rPr>
        <w:t xml:space="preserve"> </w:t>
      </w:r>
      <w:r w:rsidRPr="0097021E">
        <w:rPr>
          <w:rFonts w:ascii="宋体" w:hAnsi="宋体" w:hint="eastAsia"/>
          <w:sz w:val="24"/>
        </w:rPr>
        <w:t>异常交易行为的专项说明</w:t>
      </w:r>
    </w:p>
    <w:p>
      <w:pPr>
        <w:adjustRightInd w:val="0"/>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本报告期内，未发现本基金有可能导致不公平交易和利益输送的异常交易。</w:t>
      </w:r>
    </w:p>
    <w:p w:rsidP="009A755D"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4.4 </w:t>
      </w:r>
      <w:r w:rsidRPr="0097021E">
        <w:rPr>
          <w:rFonts w:ascii="宋体" w:cs="Arial" w:hAnsi="宋体" w:hint="eastAsia"/>
          <w:b/>
          <w:color w:val="000000"/>
          <w:kern w:val="0"/>
          <w:sz w:val="24"/>
        </w:rPr>
        <w:t>报告期内基金的投资策略和业绩表现说明</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4.4.1</w:t>
        </w:r>
      </w:smartTag>
      <w:r w:rsidRPr="0097021E">
        <w:rPr>
          <w:rFonts w:ascii="宋体" w:hAnsi="宋体" w:hint="eastAsia"/>
          <w:sz w:val="24"/>
        </w:rPr>
        <w:t>报告期内基金投资策略和运作分析</w:t>
      </w:r>
    </w:p>
    <w:p>
      <w:pPr>
        <w:adjustRightInd w:val="0"/>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adjustRightInd w:val="0"/>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隔夜利率更是跌破1%，带动了短端和长端收益率震荡下行。5月上旬，货币政策进一步宽松不及预期叠加经济修复延续，长端收益率开始上行。随后，社融放量强化经济修复预期，收益率进一步大幅上行，且短端上行幅度更大，曲线呈现出熊平趋势。货币市场收益率从大幅低于政策利率向政策操作利率开始靠拢。进入6月，货币环境仍然保持中性，叠加首批1000亿元特别国债发行但央行无配套动作，降准预期屡次落空，市场情绪进一步悲观，继续推动收益率上行。半年末，央行适时开启逆回购呵护半年末流动性，市场情绪有所恢复，短端和长端收益率趋于稳定。全季来看市场收益率先下后上，货币基金收益率整体保持稳定。</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操作方面，报告期内基金以同业存单、同业存款、短期逆回购为主要配置资产。根据市场情况的变化，本基金逐步增加了回购资产的配置，6月中下旬加大了跨季配置力度，维持了适当的剩余期限和杠杆率。总体来看，组合在二季度保持了较好的流动性和稳定的收益率。</w:t>
      </w:r>
    </w:p>
    <w:p w:rsidP="009A755D" w:rsidR="00EA3F40" w:rsidRDefault="00EA3F40" w:rsidRPr="0097021E">
      <w:pPr>
        <w:spacing w:line="360" w:lineRule="auto"/>
        <w:rPr>
          <w:rFonts w:ascii="宋体"/>
          <w:sz w:val="24"/>
        </w:rPr>
      </w:pPr>
      <w:smartTag w:element="chsdate" w:uri="urn:schemas-microsoft-com:office:smarttags">
        <w:smartTagPr>
          <w:attr w:name="IsROCDate" w:val="False"/>
          <w:attr w:name="IsLunarDate" w:val="False"/>
          <w:attr w:name="Day" w:val="30"/>
          <w:attr w:name="Month" w:val="12"/>
          <w:attr w:name="Year" w:val="1899"/>
        </w:smartTagPr>
        <w:r w:rsidRPr="0097021E">
          <w:rPr>
            <w:rFonts w:ascii="宋体" w:hAnsi="宋体"/>
            <w:sz w:val="24"/>
          </w:rPr>
          <w:t>4.4.2</w:t>
        </w:r>
      </w:smartTag>
      <w:r w:rsidRPr="0097021E">
        <w:rPr>
          <w:rFonts w:ascii="宋体" w:hAnsi="宋体" w:hint="eastAsia"/>
          <w:sz w:val="24"/>
        </w:rPr>
        <w:t>报告期内基金的业绩表现</w:t>
      </w:r>
    </w:p>
    <w:p w:rsidP="00613409" w:rsidR="00EA3F40" w:rsidRDefault="00EA3F40" w:rsidRPr="00613409">
      <w:pPr>
        <w:adjustRightInd w:val="0"/>
        <w:spacing w:line="360" w:lineRule="auto"/>
        <w:ind w:firstLine="480" w:firstLineChars="200"/>
        <w:rPr>
          <w:color w:val="000000"/>
          <w:sz w:val="24"/>
        </w:rPr>
      </w:pPr>
      <w:bookmarkStart w:id="0" w:name="_Toc255486598"/>
      <w:bookmarkStart w:id="1" w:name="_Toc245193825"/>
      <w:r w:rsidRPr="001752C7">
        <w:rPr>
          <w:color w:val="000000"/>
          <w:sz w:val="24"/>
        </w:rPr>
        <w:t>本基金本报告期内A类基金份额净值收益率为0.4915%，同期业绩比较基准收益率为0.3418%；B类基金份额净值收益率为0.5510%，同期业绩比较基准收益率为0.3418%；Y类基金份额净值收益率为0.4910%，同期业绩比较基准收益率为0.3418%。</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hAnsi="宋体"/>
          <w:color w:val="000000"/>
          <w:kern w:val="0"/>
          <w:sz w:val="24"/>
          <w:szCs w:val="24"/>
        </w:rPr>
        <w:t xml:space="preserve">5  </w:t>
      </w:r>
      <w:r w:rsidRPr="0097021E">
        <w:rPr>
          <w:rFonts w:ascii="宋体" w:cs="Arial" w:hAnsi="宋体" w:hint="eastAsia"/>
          <w:color w:val="000000"/>
          <w:kern w:val="0"/>
          <w:sz w:val="24"/>
          <w:szCs w:val="24"/>
        </w:rPr>
        <w:t>投资组合报告</w:t>
      </w:r>
    </w:p>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5.1 </w:t>
      </w:r>
      <w:r w:rsidRPr="0097021E">
        <w:rPr>
          <w:rFonts w:ascii="宋体" w:cs="Arial" w:hAnsi="宋体" w:hint="eastAsia"/>
          <w:b/>
          <w:color w:val="000000"/>
          <w:kern w:val="0"/>
          <w:sz w:val="24"/>
        </w:rPr>
        <w:t>报告期末基金资产组合情况</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3119"/>
        <w:gridCol w:w="1843"/>
      </w:tblGrid>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序号</w:t>
            </w:r>
          </w:p>
        </w:tc>
        <w:tc>
          <w:tcPr>
            <w:tcW w:type="dxa" w:w="3357"/>
            <w:vAlign w:val="center"/>
          </w:tcPr>
          <w:p w:rsidP="00196812" w:rsidR="00EA3F40" w:rsidRDefault="00EA3F40" w:rsidRPr="00613409">
            <w:pPr>
              <w:spacing w:before="29" w:line="360" w:lineRule="auto"/>
              <w:ind w:left="17"/>
              <w:jc w:val="center"/>
              <w:rPr>
                <w:color w:val="000000"/>
                <w:sz w:val="24"/>
              </w:rPr>
            </w:pPr>
            <w:r w:rsidRPr="00613409">
              <w:rPr>
                <w:color w:val="000000"/>
                <w:sz w:val="24"/>
              </w:rPr>
              <w:t>项目</w:t>
            </w:r>
          </w:p>
        </w:tc>
        <w:tc>
          <w:tcPr>
            <w:tcW w:type="dxa" w:w="3119"/>
            <w:vAlign w:val="center"/>
          </w:tcPr>
          <w:p w:rsidP="007C3671" w:rsidR="00EA3F40" w:rsidRDefault="00EA3F40" w:rsidRPr="00613409">
            <w:pPr>
              <w:spacing w:before="29" w:line="360" w:lineRule="auto"/>
              <w:ind w:left="17"/>
              <w:jc w:val="center"/>
              <w:rPr>
                <w:color w:val="000000"/>
                <w:sz w:val="24"/>
              </w:rPr>
            </w:pPr>
            <w:r w:rsidRPr="00613409">
              <w:rPr>
                <w:color w:val="000000"/>
                <w:sz w:val="24"/>
              </w:rPr>
              <w:t>金额</w:t>
            </w:r>
            <w:r w:rsidR="007C3671" w:rsidRPr="00613409">
              <w:rPr>
                <w:color w:val="000000"/>
                <w:sz w:val="24"/>
              </w:rPr>
              <w:t>（元）</w:t>
            </w:r>
          </w:p>
        </w:tc>
        <w:tc>
          <w:tcPr>
            <w:tcW w:type="dxa" w:w="1843"/>
            <w:vAlign w:val="center"/>
          </w:tcPr>
          <w:p w:rsidP="007C3671" w:rsidR="00EA3F40" w:rsidRDefault="00EA3F40" w:rsidRPr="00613409">
            <w:pPr>
              <w:spacing w:before="29" w:line="360" w:lineRule="auto"/>
              <w:ind w:left="17"/>
              <w:jc w:val="center"/>
              <w:rPr>
                <w:color w:val="000000"/>
                <w:sz w:val="24"/>
              </w:rPr>
            </w:pPr>
            <w:r w:rsidRPr="00613409">
              <w:rPr>
                <w:color w:val="000000"/>
                <w:sz w:val="24"/>
              </w:rPr>
              <w:t>占基金总资产的比例</w:t>
            </w:r>
            <w:r w:rsidR="007C3671" w:rsidRPr="00613409">
              <w:rPr>
                <w:color w:val="000000"/>
                <w:sz w:val="24"/>
              </w:rPr>
              <w:t>（</w:t>
            </w:r>
            <w:r w:rsidR="007C3671" w:rsidRPr="00613409">
              <w:rPr>
                <w:color w:val="000000"/>
                <w:sz w:val="24"/>
              </w:rPr>
              <w:t>%</w:t>
            </w:r>
            <w:r w:rsidR="007C3671"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1</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固定收益投资</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11,005,643,860.50</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47.27</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其中：债券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10,424,385,124.46</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44.78</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9216A0" w:rsidR="00EA3F40" w:rsidRDefault="00EA3F40" w:rsidRPr="00613409">
            <w:pPr>
              <w:autoSpaceDE w:val="0"/>
              <w:autoSpaceDN w:val="0"/>
              <w:adjustRightInd w:val="0"/>
              <w:spacing w:before="29" w:line="360" w:lineRule="auto"/>
              <w:ind w:firstLine="720" w:firstLineChars="300" w:left="17"/>
              <w:jc w:val="left"/>
              <w:rPr>
                <w:color w:val="000000"/>
                <w:sz w:val="24"/>
              </w:rPr>
            </w:pPr>
            <w:r w:rsidRPr="00613409">
              <w:rPr>
                <w:color w:val="000000"/>
                <w:sz w:val="24"/>
              </w:rPr>
              <w:t>资产支持证券</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581,258,736.04</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2.50</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2</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7,385,124,026.25</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
            </w:r>
            <w:r w:rsidRPr="00613409">
              <w:rPr>
                <w:color w:val="000000"/>
                <w:sz w:val="24"/>
              </w:rPr>
              <w:lastRenderedPageBreak/>
              <w:t>31.72</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其中：买断式回购的买入返售金融资产</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3</w:t>
            </w:r>
          </w:p>
        </w:tc>
        <w:tc>
          <w:tcPr>
            <w:tcW w:type="dxa" w:w="3357"/>
            <w:vAlign w:val="center"/>
          </w:tcPr>
          <w:p w:rsidP="00196812" w:rsidR="00EA3F40" w:rsidRDefault="00EA3F40" w:rsidRPr="00613409">
            <w:pPr>
              <w:spacing w:before="29" w:line="360" w:lineRule="auto"/>
              <w:ind w:left="17"/>
              <w:jc w:val="left"/>
              <w:rPr>
                <w:sz w:val="24"/>
              </w:rPr>
            </w:pPr>
            <w:r w:rsidRPr="00613409">
              <w:rPr>
                <w:color w:val="000000"/>
                <w:sz w:val="24"/>
              </w:rPr>
              <w:t>银行存款和结算备付金合计</w:t>
            </w:r>
          </w:p>
        </w:tc>
        <w:tc>
          <w:tcPr>
            <w:tcW w:type="dxa" w:w="3119"/>
            <w:vAlign w:val="center"/>
          </w:tcPr>
          <w:p w:rsidP="00196812" w:rsidR="00EA3F40" w:rsidRDefault="00EA3F40" w:rsidRPr="00613409">
            <w:pPr>
              <w:spacing w:before="29" w:line="360" w:lineRule="auto"/>
              <w:ind w:left="17"/>
              <w:jc w:val="right"/>
              <w:rPr>
                <w:color w:val="000000"/>
                <w:sz w:val="24"/>
              </w:rPr>
            </w:pPr>
            <w:r w:rsidRPr="00613409">
              <w:rPr>
                <w:color w:val="000000"/>
                <w:sz w:val="24"/>
              </w:rPr>
              <w:t>4,475,238,165.29</w:t>
            </w:r>
          </w:p>
        </w:tc>
        <w:tc>
          <w:tcPr>
            <w:tcW w:type="dxa" w:w="1843"/>
            <w:vAlign w:val="center"/>
          </w:tcPr>
          <w:p w:rsidP="00196812" w:rsidR="00EA3F40" w:rsidRDefault="00EA3F40" w:rsidRPr="00613409">
            <w:pPr>
              <w:spacing w:before="29" w:line="360" w:lineRule="auto"/>
              <w:ind w:left="17"/>
              <w:jc w:val="right"/>
              <w:rPr>
                <w:color w:val="000000"/>
                <w:sz w:val="24"/>
              </w:rPr>
            </w:pPr>
            <w:r w:rsidRPr="00613409">
              <w:rPr>
                <w:color w:val="000000"/>
                <w:sz w:val="24"/>
              </w:rPr>
              <w:t>19.22</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t>4</w:t>
            </w:r>
          </w:p>
        </w:tc>
        <w:tc>
          <w:tcPr>
            <w:tcW w:type="dxa" w:w="3357"/>
            <w:vAlign w:val="center"/>
          </w:tcPr>
          <w:p w:rsidP="00196812" w:rsidR="00EA3F40" w:rsidRDefault="00EA3F40" w:rsidRPr="00613409">
            <w:pPr>
              <w:spacing w:line="360" w:lineRule="auto"/>
              <w:jc w:val="left"/>
              <w:rPr>
                <w:sz w:val="24"/>
              </w:rPr>
            </w:pPr>
            <w:r w:rsidRPr="00613409">
              <w:rPr>
                <w:color w:val="000000"/>
                <w:sz w:val="24"/>
              </w:rPr>
              <w:t>其他资产</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415,421,525.54</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
            </w:r>
            <w:r w:rsidRPr="00613409">
              <w:rPr>
                <w:color w:val="000000"/>
                <w:sz w:val="24"/>
              </w:rPr>
              <w:lastRenderedPageBreak/>
              <w:t>1.78</w:t>
            </w:r>
          </w:p>
        </w:tc>
      </w:tr>
      <w:tr w:rsidR="00EA3F40" w:rsidRPr="0097021E" w:rsidTr="00340456">
        <w:tc>
          <w:tcPr>
            <w:tcW w:type="dxa" w:w="720"/>
            <w:vAlign w:val="center"/>
          </w:tcPr>
          <w:p w:rsidP="00196812" w:rsidR="00EA3F40" w:rsidRDefault="00EA3F40" w:rsidRPr="00613409">
            <w:pPr>
              <w:spacing w:before="29" w:line="360" w:lineRule="auto"/>
              <w:ind w:left="17"/>
              <w:jc w:val="center"/>
              <w:rPr>
                <w:color w:val="000000"/>
                <w:sz w:val="24"/>
              </w:rPr>
            </w:pPr>
            <w:r w:rsidRPr="00613409">
              <w:rPr>
                <w:color w:val="000000"/>
                <w:sz w:val="24"/>
              </w:rPr>
              <w:lastRenderedPageBreak/>
              <w:t>5</w:t>
            </w:r>
          </w:p>
        </w:tc>
        <w:tc>
          <w:tcPr>
            <w:tcW w:type="dxa" w:w="3357"/>
            <w:vAlign w:val="center"/>
          </w:tcPr>
          <w:p w:rsidP="00196812" w:rsidR="00EA3F40" w:rsidRDefault="00EA3F40" w:rsidRPr="00613409">
            <w:pPr>
              <w:spacing w:line="360" w:lineRule="auto"/>
              <w:jc w:val="left"/>
              <w:rPr>
                <w:sz w:val="24"/>
              </w:rPr>
            </w:pPr>
            <w:r w:rsidRPr="00613409">
              <w:rPr>
                <w:color w:val="000000"/>
                <w:sz w:val="24"/>
              </w:rPr>
              <w:t>合计</w:t>
            </w:r>
          </w:p>
        </w:tc>
        <w:tc>
          <w:tcPr>
            <w:tcW w:type="dxa" w:w="3119"/>
            <w:vAlign w:val="center"/>
          </w:tcPr>
          <w:p w:rsidP="00196812" w:rsidR="00EA3F40" w:rsidRDefault="00EA3F40" w:rsidRPr="00613409">
            <w:pPr>
              <w:spacing w:line="360" w:lineRule="auto"/>
              <w:jc w:val="right"/>
              <w:rPr>
                <w:color w:val="000000"/>
                <w:sz w:val="24"/>
              </w:rPr>
            </w:pPr>
            <w:r w:rsidRPr="00613409">
              <w:rPr>
                <w:color w:val="000000"/>
                <w:sz w:val="24"/>
              </w:rPr>
              <w:t>23,281,427,577.58</w:t>
            </w:r>
          </w:p>
        </w:tc>
        <w:tc>
          <w:tcPr>
            <w:tcW w:type="dxa" w:w="1843"/>
            <w:vAlign w:val="center"/>
          </w:tcPr>
          <w:p w:rsidP="00196812" w:rsidR="00EA3F40" w:rsidRDefault="00EA3F40" w:rsidRPr="00613409">
            <w:pPr>
              <w:spacing w:line="360" w:lineRule="auto"/>
              <w:jc w:val="right"/>
              <w:rPr>
                <w:color w:val="000000"/>
                <w:sz w:val="24"/>
              </w:rPr>
            </w:pPr>
            <w:r w:rsidRPr="00613409">
              <w:rPr>
                <w:color w:val="000000"/>
                <w:sz w:val="24"/>
              </w:rPr>
              <w:t>100.00</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5.2 </w:t>
      </w:r>
      <w:r w:rsidRPr="0097021E">
        <w:rPr>
          <w:rFonts w:ascii="宋体" w:cs="Arial" w:hAnsi="宋体" w:hint="eastAsia"/>
          <w:b/>
          <w:color w:val="000000"/>
          <w:kern w:val="0"/>
          <w:sz w:val="24"/>
        </w:rPr>
        <w:t>报告期债券回购融资情况</w:t>
      </w:r>
    </w:p>
    <w:tbl>
      <w:tblPr>
        <w:tblW w:type="auto" w:w="0"/>
        <w:tblInd w:type="dxa" w:w="108"/>
        <w:tblLayout w:type="fixed"/>
        <w:tblLook w:firstColumn="0" w:firstRow="0" w:lastColumn="0" w:lastRow="0" w:noHBand="0" w:noVBand="0" w:val="0000"/>
      </w:tblPr>
      <w:tblGrid>
        <w:gridCol w:w="861"/>
        <w:gridCol w:w="3108"/>
        <w:gridCol w:w="2977"/>
        <w:gridCol w:w="2126"/>
      </w:tblGrid>
      <w:tr w:rsidR="00EA3F40" w:rsidRPr="0097021E" w:rsidTr="00F11244">
        <w:tc>
          <w:tcPr>
            <w:tcW w:type="dxa" w:w="861"/>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项目</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占基金资产净值的比例（％）</w:t>
            </w:r>
          </w:p>
        </w:tc>
      </w:tr>
      <w:tr w:rsidR="00EA3F40" w:rsidRPr="0097021E" w:rsidTr="00F11244">
        <w:tc>
          <w:tcPr>
            <w:tcW w:type="dxa" w:w="861"/>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kern w:val="0"/>
                <w:sz w:val="24"/>
              </w:rPr>
            </w:pPr>
            <w:r w:rsidRPr="00613409">
              <w:rPr>
                <w:color w:val="000000"/>
                <w:kern w:val="0"/>
                <w:sz w:val="24"/>
              </w:rPr>
              <w:t>1</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报告期内债券回购融资余额</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9.45</w:t>
            </w:r>
          </w:p>
        </w:tc>
      </w:tr>
      <w:tr w:rsidR="00EA3F40" w:rsidRPr="0097021E" w:rsidTr="00F11244">
        <w:trPr>
          <w:trHeight w:val="712"/>
        </w:trPr>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5103"/>
            <w:gridSpan w:val="2"/>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r w:rsidR="00EA3F40" w:rsidRPr="0097021E" w:rsidTr="00F11244">
        <w:tc>
          <w:tcPr>
            <w:tcW w:type="dxa" w:w="861"/>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kern w:val="0"/>
                <w:sz w:val="24"/>
              </w:rPr>
              <w:t>序号</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项目</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金额</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color w:val="000000"/>
                <w:kern w:val="0"/>
                <w:sz w:val="24"/>
              </w:rPr>
              <w:t>占基金资产净值的比例（％）</w:t>
            </w:r>
          </w:p>
        </w:tc>
      </w:tr>
      <w:tr w:rsidR="00EA3F40" w:rsidRPr="0097021E" w:rsidTr="00F11244">
        <w:tc>
          <w:tcPr>
            <w:tcW w:type="dxa" w:w="861"/>
            <w:vMerge w:val="restart"/>
            <w:tcBorders>
              <w:top w:color="000000" w:space="0" w:sz="8" w:val="single"/>
              <w:left w:color="000000" w:space="0" w:sz="8" w:val="single"/>
              <w:right w:color="000000" w:space="0" w:sz="8" w:val="single"/>
            </w:tcBorders>
            <w:vAlign w:val="center"/>
          </w:tcPr>
          <w:p w:rsidP="00196812" w:rsidR="00EA3F40" w:rsidRDefault="00EA3F40" w:rsidRPr="00613409">
            <w:pPr>
              <w:spacing w:line="360" w:lineRule="auto"/>
              <w:rPr>
                <w:color w:val="000000"/>
                <w:sz w:val="24"/>
              </w:rPr>
            </w:pPr>
            <w:r w:rsidRPr="00613409">
              <w:rPr>
                <w:color w:val="000000"/>
                <w:sz w:val="24"/>
              </w:rPr>
              <w:t>2</w:t>
            </w: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报告期末债券回购融资余额</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1,585,004,607.50</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7.36</w:t>
            </w:r>
          </w:p>
        </w:tc>
      </w:tr>
      <w:tr w:rsidR="00EA3F40" w:rsidRPr="0097021E" w:rsidTr="00F11244">
        <w:tc>
          <w:tcPr>
            <w:tcW w:type="dxa" w:w="861"/>
            <w:vMerge/>
            <w:tcBorders>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color w:val="000000"/>
                <w:sz w:val="24"/>
              </w:rPr>
            </w:pPr>
          </w:p>
        </w:tc>
        <w:tc>
          <w:tcPr>
            <w:tcW w:type="dxa" w:w="3108"/>
            <w:tcBorders>
              <w:top w:color="000000" w:space="0" w:sz="8" w:val="single"/>
              <w:left w:color="000000" w:space="0" w:sz="8" w:val="single"/>
              <w:bottom w:color="000000" w:space="0" w:sz="8" w:val="single"/>
              <w:right w:color="000000" w:space="0" w:sz="8" w:val="single"/>
            </w:tcBorders>
          </w:tcPr>
          <w:p w:rsidP="00196812" w:rsidR="00EA3F40" w:rsidRDefault="00EA3F40" w:rsidRPr="00613409">
            <w:pPr>
              <w:spacing w:line="360" w:lineRule="auto"/>
              <w:rPr>
                <w:sz w:val="24"/>
              </w:rPr>
            </w:pPr>
            <w:r w:rsidRPr="00613409">
              <w:rPr>
                <w:sz w:val="24"/>
              </w:rPr>
              <w:t>其中：买断式回购融资</w:t>
            </w:r>
          </w:p>
        </w:tc>
        <w:tc>
          <w:tcPr>
            <w:tcW w:type="dxa" w:w="2977"/>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c>
          <w:tcPr>
            <w:tcW w:type="dxa" w:w="2126"/>
            <w:tcBorders>
              <w:top w:color="000000" w:space="0" w:sz="8" w:val="single"/>
              <w:left w:color="000000" w:space="0" w:sz="8" w:val="single"/>
              <w:bottom w:color="000000" w:space="0" w:sz="8" w:val="single"/>
              <w:right w:color="000000" w:space="0" w:sz="8" w:val="single"/>
            </w:tcBorders>
            <w:vAlign w:val="center"/>
          </w:tcPr>
          <w:p w:rsidP="00196812" w:rsidR="00EA3F40" w:rsidRDefault="00EA3F40" w:rsidRPr="00613409">
            <w:pPr>
              <w:spacing w:line="360" w:lineRule="auto"/>
              <w:rPr>
                <w:sz w:val="24"/>
              </w:rPr>
            </w:pPr>
            <w:r w:rsidRPr="00613409">
              <w:rPr>
                <w:sz w:val="24"/>
              </w:rPr>
              <w:t>-</w:t>
            </w:r>
          </w:p>
        </w:tc>
      </w:tr>
    </w:tbl>
    <w:p w:rsidP="00613409" w:rsidR="00EA3F40" w:rsidRDefault="00EA3F40" w:rsidRPr="00613409">
      <w:pPr>
        <w:adjustRightInd w:val="0"/>
        <w:spacing w:line="360" w:lineRule="auto"/>
        <w:ind w:firstLine="480" w:firstLineChars="200"/>
        <w:rPr>
          <w:color w:val="000000"/>
          <w:sz w:val="24"/>
        </w:rPr>
      </w:pPr>
      <w:r w:rsidRPr="001752C7">
        <w:rPr>
          <w:color w:val="000000"/>
          <w:sz w:val="24"/>
        </w:rPr>
        <w:t>注：上表中报告期内债券回购融资余额占基金资产净值的比例为报告期内每个交易日融资余额占基金资产净值比例的简单平均值。</w:t>
      </w:r>
    </w:p>
    <w:p w:rsidP="00196812" w:rsidR="00EA3F40" w:rsidRDefault="00EA3F40" w:rsidRPr="003A0EC1">
      <w:pPr>
        <w:spacing w:line="360" w:lineRule="auto"/>
        <w:rPr>
          <w:rFonts w:ascii="宋体" w:cs="Arial"/>
          <w:b/>
          <w:color w:val="000000"/>
          <w:kern w:val="0"/>
          <w:sz w:val="24"/>
        </w:rPr>
      </w:pPr>
      <w:r w:rsidRPr="003A0EC1">
        <w:rPr>
          <w:rFonts w:ascii="宋体" w:cs="Arial"/>
          <w:b/>
          <w:color w:val="000000"/>
          <w:kern w:val="0"/>
          <w:sz w:val="24"/>
        </w:rPr>
        <w:t/>
      </w:r>
      <w:r w:rsidRPr="003A0EC1">
        <w:rPr>
          <w:rFonts w:ascii="宋体" w:cs="Arial" w:hAnsi="宋体"/>
          <w:b/>
          <w:color w:val="000000"/>
          <w:kern w:val="0"/>
          <w:sz w:val="24"/>
        </w:rPr>
        <w:t/>
      </w:r>
      <w:r w:rsidRPr="003A0EC1">
        <w:rPr>
          <w:rFonts w:ascii="宋体" w:cs="Arial" w:hAnsi="宋体" w:hint="eastAsia"/>
          <w:b/>
          <w:color w:val="000000"/>
          <w:kern w:val="0"/>
          <w:sz w:val="24"/>
        </w:rPr>
        <w:t>债券正回购的资金余额超过基金资产净值的</w:t>
      </w:r>
      <w:r w:rsidRPr="003A0EC1">
        <w:rPr>
          <w:rFonts w:ascii="宋体" w:cs="Arial" w:hAnsi="宋体"/>
          <w:b/>
          <w:color w:val="000000"/>
          <w:kern w:val="0"/>
          <w:sz w:val="24"/>
        </w:rPr>
        <w:t>20</w:t>
      </w:r>
      <w:r w:rsidRPr="003A0EC1">
        <w:rPr>
          <w:rFonts w:ascii="宋体" w:cs="Arial" w:hAnsi="宋体" w:hint="eastAsia"/>
          <w:b/>
          <w:color w:val="000000"/>
          <w:kern w:val="0"/>
          <w:sz w:val="24"/>
        </w:rPr>
        <w:t>％的说明</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在本报告期内本货币市场基金债券正回购的资金余额未超过资产净值的20%。</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 </w:t>
      </w:r>
      <w:r w:rsidRPr="0097021E">
        <w:rPr>
          <w:rFonts w:ascii="宋体" w:cs="Arial" w:hAnsi="宋体" w:hint="eastAsia"/>
          <w:b/>
          <w:color w:val="000000"/>
          <w:kern w:val="0"/>
          <w:sz w:val="24"/>
        </w:rPr>
        <w:t>基金投资组合平均剩余期限</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5.3.1 </w:t>
      </w:r>
      <w:r w:rsidRPr="0097021E">
        <w:rPr>
          <w:rFonts w:ascii="宋体" w:cs="Arial" w:hAnsi="宋体" w:hint="eastAsia"/>
          <w:b/>
          <w:color w:val="000000"/>
          <w:kern w:val="0"/>
          <w:sz w:val="24"/>
        </w:rPr>
        <w:t>投资组合平均剩余期限基本情况</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056"/>
        <w:gridCol w:w="5016"/>
      </w:tblGrid>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5016"/>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天数</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报告期末投资组合平均剩余期限</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98</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报告期内投资组合平均剩余期限最高值</w:t>
            </w:r>
          </w:p>
        </w:tc>
        <w:tc>
          <w:tcPr>
            <w:tcW w:type="dxa" w:w="5016"/>
            <w:vAlign w:val="center"/>
          </w:tcPr>
          <w:p w:rsidP="00196812" w:rsidR="00EA3F40" w:rsidRDefault="00EA3F40" w:rsidRPr="00613409">
            <w:pPr>
              <w:spacing w:line="360" w:lineRule="auto"/>
              <w:jc w:val="right"/>
              <w:rPr>
                <w:sz w:val="24"/>
              </w:rPr>
            </w:pPr>
            <w:r w:rsidRPr="00613409">
              <w:rPr>
                <w:color w:val="000000"/>
                <w:sz w:val="24"/>
              </w:rPr>
              <w:t/>
            </w:r>
            <w:r w:rsidRPr="00613409">
              <w:rPr>
                <w:sz w:val="24"/>
              </w:rPr>
              <w:t>111</w:t>
            </w:r>
          </w:p>
        </w:tc>
      </w:tr>
      <w:tr w:rsidR="00EA3F40" w:rsidRPr="0097021E" w:rsidTr="00C526E2">
        <w:tc>
          <w:tcPr>
            <w:tcW w:type="dxa" w:w="4056"/>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报告期内投资组合平均剩余期限最低值</w:t>
            </w:r>
          </w:p>
        </w:tc>
        <w:tc>
          <w:tcPr>
            <w:tcW w:type="dxa" w:w="5016"/>
            <w:vAlign w:val="center"/>
          </w:tcPr>
          <w:p w:rsidP="00196812" w:rsidR="00EA3F40" w:rsidRDefault="00EA3F40" w:rsidRPr="00613409">
            <w:pPr>
              <w:spacing w:line="360" w:lineRule="auto"/>
              <w:ind w:right="120"/>
              <w:jc w:val="right"/>
              <w:rPr>
                <w:sz w:val="24"/>
              </w:rPr>
            </w:pPr>
            <w:r w:rsidRPr="00613409">
              <w:rPr>
                <w:color w:val="000000"/>
                <w:sz w:val="24"/>
              </w:rPr>
              <w:t/>
            </w:r>
            <w:r w:rsidRPr="00613409">
              <w:rPr>
                <w:sz w:val="24"/>
              </w:rPr>
              <w:t>69</w:t>
            </w:r>
          </w:p>
        </w:tc>
      </w:tr>
    </w:tbl>
    <w:p w:rsidP="00546492" w:rsidR="00546492" w:rsidRDefault="00546492" w:rsidRPr="00546492">
      <w:pPr>
        <w:spacing w:line="360" w:lineRule="auto"/>
        <w:rPr>
          <w:rFonts w:ascii="宋体" w:cs="Arial" w:hAnsi="宋体"/>
          <w:b/>
          <w:color w:val="000000"/>
          <w:kern w:val="0"/>
          <w:sz w:val="24"/>
        </w:rPr>
      </w:pPr>
      <w:r w:rsidRPr="00546492">
        <w:rPr>
          <w:rFonts w:ascii="宋体" w:cs="Arial" w:hAnsi="宋体" w:hint="eastAsia"/>
          <w:b/>
          <w:color w:val="000000"/>
          <w:kern w:val="0"/>
          <w:sz w:val="24"/>
        </w:rPr>
        <w:t>报告期内投资组合平均剩余期限超过</w:t>
      </w:r>
      <w:r w:rsidRPr="00546492">
        <w:rPr>
          <w:rFonts w:ascii="宋体" w:cs="Arial" w:hAnsi="宋体"/>
          <w:b/>
          <w:color w:val="000000"/>
          <w:kern w:val="0"/>
          <w:sz w:val="24"/>
        </w:rPr>
        <w:t>1</w:t>
      </w:r>
      <w:r w:rsidRPr="00546492">
        <w:rPr>
          <w:rFonts w:ascii="宋体" w:cs="Arial" w:hAnsi="宋体" w:hint="eastAsia"/>
          <w:b/>
          <w:color w:val="000000"/>
          <w:kern w:val="0"/>
          <w:sz w:val="24"/>
        </w:rPr>
        <w:t>20天情况说明</w:t>
      </w:r>
    </w:p>
    <w:p w:rsidP="00613409" w:rsidR="00546492" w:rsidRDefault="00546492" w:rsidRPr="00546492">
      <w:pPr>
        <w:adjustRightInd w:val="0"/>
        <w:spacing w:line="360" w:lineRule="auto"/>
        <w:ind w:firstLine="480" w:firstLineChars="200"/>
        <w:rPr>
          <w:color w:val="000000"/>
          <w:sz w:val="24"/>
        </w:rPr>
      </w:pPr>
      <w:r w:rsidRPr="00546492">
        <w:rPr>
          <w:color w:val="000000"/>
          <w:sz w:val="24"/>
        </w:rPr>
        <w:lastRenderedPageBreak/>
        <w:t>本报告期内本货币市场基金投资组合平均剩余期限未超过120天。</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 xml:space="preserve">5.3.2 </w:t>
      </w:r>
      <w:r w:rsidRPr="0097021E">
        <w:rPr>
          <w:rFonts w:ascii="宋体" w:cs="Arial" w:hAnsi="宋体" w:hint="eastAsia"/>
          <w:b/>
          <w:color w:val="000000"/>
          <w:kern w:val="0"/>
          <w:sz w:val="24"/>
        </w:rPr>
        <w:t>报告期末投资组合平均剩余期限分布比例</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851"/>
        <w:gridCol w:w="3351"/>
        <w:gridCol w:w="2529"/>
        <w:gridCol w:w="2431"/>
      </w:tblGrid>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序号</w:t>
            </w:r>
          </w:p>
        </w:tc>
        <w:tc>
          <w:tcPr>
            <w:tcW w:type="dxa" w:w="33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平均剩余期限</w:t>
            </w:r>
            <w:r w:rsidRPr="007A1ACF">
              <w:rPr>
                <w:color w:val="000000"/>
                <w:kern w:val="0"/>
                <w:sz w:val="24"/>
              </w:rPr>
              <w:t/>
            </w:r>
          </w:p>
        </w:tc>
        <w:tc>
          <w:tcPr>
            <w:tcW w:type="dxa" w:w="2529"/>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各期限资产占基金资产净值的比例（</w:t>
            </w:r>
            <w:r w:rsidRPr="007A1ACF">
              <w:rPr>
                <w:color w:val="000000"/>
                <w:kern w:val="0"/>
                <w:sz w:val="24"/>
              </w:rPr>
              <w:t>%</w:t>
            </w:r>
            <w:r w:rsidRPr="007A1ACF">
              <w:rPr>
                <w:color w:val="000000"/>
                <w:kern w:val="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kern w:val="0"/>
                <w:sz w:val="24"/>
              </w:rPr>
              <w:t>各期限负债占基金资产净值的比例（％）</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kern w:val="0"/>
                <w:sz w:val="24"/>
              </w:rPr>
            </w:pPr>
            <w:r w:rsidRPr="007A1ACF">
              <w:rPr>
                <w:color w:val="000000"/>
                <w:sz w:val="24"/>
              </w:rPr>
              <w:t>1</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天以内</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32.30</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8.04</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
            </w:r>
            <w:r w:rsidRPr="007A1ACF">
              <w:rPr>
                <w:color w:val="000000"/>
                <w:sz w:val="24"/>
              </w:rPr>
              <w:lastRenderedPageBreak/>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lastRenderedPageBreak/>
              <w:t/>
            </w:r>
            <w:r w:rsidRPr="007A1ACF">
              <w:rPr>
                <w:color w:val="000000"/>
                <w:sz w:val="24"/>
              </w:rPr>
              <w:lastRenderedPageBreak/>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2</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30</w:t>
            </w:r>
            <w:r w:rsidRPr="007A1ACF">
              <w:rPr>
                <w:color w:val="000000"/>
                <w:sz w:val="24"/>
              </w:rPr>
              <w:t>天（含）</w:t>
            </w:r>
            <w:r w:rsidRPr="007A1ACF">
              <w:rPr>
                <w:color w:val="000000"/>
                <w:sz w:val="24"/>
              </w:rPr>
              <w:t>—60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9.94</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kern w:val="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r w:rsidRPr="007A1ACF">
              <w:rPr>
                <w:color w:val="000000"/>
                <w:sz w:val="24"/>
              </w:rPr>
              <w:t>3</w:t>
            </w: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60</w:t>
            </w:r>
            <w:r w:rsidRPr="007A1ACF">
              <w:rPr>
                <w:color w:val="000000"/>
                <w:sz w:val="24"/>
              </w:rPr>
              <w:t>天（含）</w:t>
            </w:r>
            <w:r w:rsidRPr="007A1ACF">
              <w:rPr>
                <w:color w:val="000000"/>
                <w:sz w:val="24"/>
              </w:rPr>
              <w:t>—90</w:t>
            </w:r>
            <w:r w:rsidRPr="007A1ACF">
              <w:rPr>
                <w:color w:val="000000"/>
                <w:sz w:val="24"/>
              </w:rPr>
              <w:t>天</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22.94</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EA3F40" w:rsidRPr="0097021E" w:rsidTr="00C526E2">
        <w:tc>
          <w:tcPr>
            <w:tcW w:type="dxa" w:w="851"/>
            <w:vAlign w:val="center"/>
          </w:tcPr>
          <w:p w:rsidP="00196812" w:rsidR="00EA3F40" w:rsidRDefault="00EA3F40" w:rsidRPr="007A1ACF">
            <w:pPr>
              <w:autoSpaceDE w:val="0"/>
              <w:autoSpaceDN w:val="0"/>
              <w:adjustRightInd w:val="0"/>
              <w:spacing w:before="29" w:line="360" w:lineRule="auto"/>
              <w:ind w:left="15"/>
              <w:jc w:val="center"/>
              <w:rPr>
                <w:color w:val="000000"/>
                <w:sz w:val="24"/>
              </w:rPr>
            </w:pPr>
          </w:p>
        </w:tc>
        <w:tc>
          <w:tcPr>
            <w:tcW w:type="dxa" w:w="3351"/>
            <w:vAlign w:val="center"/>
          </w:tcPr>
          <w:p w:rsidP="00196812" w:rsidR="00EA3F40" w:rsidRDefault="00EA3F40" w:rsidRPr="007A1ACF">
            <w:pPr>
              <w:autoSpaceDE w:val="0"/>
              <w:autoSpaceDN w:val="0"/>
              <w:adjustRightInd w:val="0"/>
              <w:spacing w:before="29" w:line="360" w:lineRule="auto"/>
              <w:ind w:left="15"/>
              <w:jc w:val="left"/>
              <w:rPr>
                <w:color w:val="000000"/>
                <w:sz w:val="24"/>
              </w:rPr>
            </w:pPr>
            <w:r w:rsidRPr="007A1ACF">
              <w:rPr>
                <w:color w:val="000000"/>
                <w:sz w:val="24"/>
              </w:rPr>
              <w:t>其中：剩余存续期超过</w:t>
            </w:r>
            <w:r w:rsidRPr="007A1ACF">
              <w:rPr>
                <w:color w:val="000000"/>
                <w:sz w:val="24"/>
              </w:rPr>
              <w:t>397</w:t>
            </w:r>
            <w:r w:rsidRPr="007A1ACF">
              <w:rPr>
                <w:color w:val="000000"/>
                <w:sz w:val="24"/>
              </w:rPr>
              <w:t>天的浮动利率债</w:t>
            </w:r>
          </w:p>
        </w:tc>
        <w:tc>
          <w:tcPr>
            <w:tcW w:type="dxa" w:w="2529"/>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c>
          <w:tcPr>
            <w:tcW w:type="dxa" w:w="2431"/>
            <w:vAlign w:val="center"/>
          </w:tcPr>
          <w:p w:rsidP="00196812" w:rsidR="00EA3F40" w:rsidRDefault="00EA3F40" w:rsidRPr="007A1ACF">
            <w:pPr>
              <w:autoSpaceDE w:val="0"/>
              <w:autoSpaceDN w:val="0"/>
              <w:adjustRightInd w:val="0"/>
              <w:spacing w:before="29" w:line="360" w:lineRule="auto"/>
              <w:ind w:left="15"/>
              <w:jc w:val="right"/>
              <w:rPr>
                <w:color w:val="000000"/>
                <w:kern w:val="0"/>
                <w:sz w:val="24"/>
              </w:rPr>
            </w:pPr>
            <w:r w:rsidRPr="007A1ACF">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4</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90</w:t>
            </w:r>
            <w:r w:rsidRPr="009F2322">
              <w:rPr>
                <w:color w:val="000000"/>
                <w:sz w:val="24"/>
              </w:rPr>
              <w:t>天（含）</w:t>
            </w:r>
            <w:r w:rsidRPr="009F2322">
              <w:rPr>
                <w:color w:val="000000"/>
                <w:sz w:val="24"/>
              </w:rPr>
              <w:t>—120</w:t>
            </w:r>
            <w:r w:rsidRPr="009F2322">
              <w:rPr>
                <w:color w:val="000000"/>
                <w:sz w:val="24"/>
              </w:rPr>
              <w:t>天</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8.56</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
            </w:r>
            <w:r w:rsidRPr="009F2322">
              <w:rPr>
                <w:color w:val="000000"/>
                <w:sz w:val="24"/>
              </w:rPr>
              <w:lastRenderedPageBreak/>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lastRenderedPageBreak/>
              <w:t/>
            </w:r>
            <w:r w:rsidRPr="009F2322">
              <w:rPr>
                <w:color w:val="000000"/>
                <w:sz w:val="24"/>
              </w:rPr>
              <w:lastRenderedPageBreak/>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lastRenderedPageBreak/>
              <w:t>5</w:t>
            </w: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120</w:t>
            </w:r>
            <w:r w:rsidRPr="009F2322">
              <w:rPr>
                <w:color w:val="000000"/>
                <w:sz w:val="24"/>
              </w:rPr>
              <w:t>天（含）</w:t>
            </w:r>
            <w:r w:rsidRPr="009F2322">
              <w:rPr>
                <w:color w:val="000000"/>
                <w:sz w:val="24"/>
              </w:rPr>
              <w:t>—397</w:t>
            </w:r>
            <w:r w:rsidRPr="009F2322">
              <w:rPr>
                <w:color w:val="000000"/>
                <w:sz w:val="24"/>
              </w:rPr>
              <w:t>天（含）</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32.87</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851"/>
            <w:vAlign w:val="center"/>
          </w:tcPr>
          <w:p w:rsidP="00196812" w:rsidR="00546492" w:rsidRDefault="00546492" w:rsidRPr="007A1ACF">
            <w:pPr>
              <w:autoSpaceDE w:val="0"/>
              <w:autoSpaceDN w:val="0"/>
              <w:adjustRightInd w:val="0"/>
              <w:spacing w:before="29" w:line="360" w:lineRule="auto"/>
              <w:ind w:left="15"/>
              <w:jc w:val="center"/>
              <w:rPr>
                <w:color w:val="000000"/>
                <w:sz w:val="24"/>
              </w:rPr>
            </w:pPr>
          </w:p>
        </w:tc>
        <w:tc>
          <w:tcPr>
            <w:tcW w:type="dxa" w:w="3351"/>
            <w:vAlign w:val="center"/>
          </w:tcPr>
          <w:p w:rsidP="00546492" w:rsidR="00546492" w:rsidRDefault="00546492" w:rsidRPr="009F2322">
            <w:pPr>
              <w:autoSpaceDE w:val="0"/>
              <w:autoSpaceDN w:val="0"/>
              <w:adjustRightInd w:val="0"/>
              <w:spacing w:before="29" w:line="360" w:lineRule="auto"/>
              <w:ind w:left="15"/>
              <w:jc w:val="left"/>
              <w:rPr>
                <w:color w:val="000000"/>
                <w:sz w:val="24"/>
              </w:rPr>
            </w:pPr>
            <w:r w:rsidRPr="009F2322">
              <w:rPr>
                <w:color w:val="000000"/>
                <w:sz w:val="24"/>
              </w:rPr>
              <w:t>其中：剩余存续期超过</w:t>
            </w:r>
            <w:r w:rsidRPr="009F2322">
              <w:rPr>
                <w:color w:val="000000"/>
                <w:sz w:val="24"/>
              </w:rPr>
              <w:t>397</w:t>
            </w:r>
            <w:r w:rsidRPr="009F2322">
              <w:rPr>
                <w:color w:val="000000"/>
                <w:sz w:val="24"/>
              </w:rPr>
              <w:t>天的浮动利率债</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w:t>
            </w:r>
          </w:p>
        </w:tc>
      </w:tr>
      <w:tr w:rsidR="00546492" w:rsidRPr="0097021E" w:rsidTr="00C526E2">
        <w:tc>
          <w:tcPr>
            <w:tcW w:type="dxa" w:w="4202"/>
            <w:gridSpan w:val="2"/>
            <w:vAlign w:val="center"/>
          </w:tcPr>
          <w:p w:rsidP="00196812" w:rsidR="00546492" w:rsidRDefault="00546492" w:rsidRPr="007A1ACF">
            <w:pPr>
              <w:autoSpaceDE w:val="0"/>
              <w:autoSpaceDN w:val="0"/>
              <w:adjustRightInd w:val="0"/>
              <w:spacing w:before="29" w:line="360" w:lineRule="auto"/>
              <w:ind w:left="15"/>
              <w:jc w:val="center"/>
              <w:rPr>
                <w:color w:val="000000"/>
                <w:sz w:val="24"/>
              </w:rPr>
            </w:pPr>
            <w:r w:rsidRPr="007A1ACF">
              <w:rPr>
                <w:color w:val="000000"/>
                <w:sz w:val="24"/>
              </w:rPr>
              <w:t>合计</w:t>
            </w:r>
          </w:p>
        </w:tc>
        <w:tc>
          <w:tcPr>
            <w:tcW w:type="dxa" w:w="2529"/>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106.61</w:t>
            </w:r>
          </w:p>
        </w:tc>
        <w:tc>
          <w:tcPr>
            <w:tcW w:type="dxa" w:w="2431"/>
            <w:vAlign w:val="center"/>
          </w:tcPr>
          <w:p w:rsidP="00546492" w:rsidR="00546492" w:rsidRDefault="00546492" w:rsidRPr="009F2322">
            <w:pPr>
              <w:autoSpaceDE w:val="0"/>
              <w:autoSpaceDN w:val="0"/>
              <w:adjustRightInd w:val="0"/>
              <w:spacing w:before="29" w:line="360" w:lineRule="auto"/>
              <w:ind w:left="15"/>
              <w:jc w:val="right"/>
              <w:rPr>
                <w:color w:val="000000"/>
                <w:kern w:val="0"/>
                <w:sz w:val="24"/>
              </w:rPr>
            </w:pPr>
            <w:r w:rsidRPr="009F2322">
              <w:rPr>
                <w:color w:val="000000"/>
                <w:sz w:val="24"/>
              </w:rPr>
              <w:t>8.04</w:t>
            </w:r>
          </w:p>
        </w:tc>
      </w:tr>
    </w:tbl>
    <w:p w:rsidP="007A1ACF" w:rsidR="007A1ACF" w:rsidRDefault="007A1ACF" w:rsidRPr="007A1ACF">
      <w:pPr>
        <w:spacing w:line="360" w:lineRule="auto"/>
        <w:rPr>
          <w:rFonts w:ascii="宋体" w:cs="Arial" w:hAnsi="宋体"/>
          <w:b/>
          <w:color w:val="000000"/>
          <w:kern w:val="0"/>
          <w:sz w:val="24"/>
        </w:rPr>
      </w:pPr>
      <w:r w:rsidRPr="007A1ACF">
        <w:rPr>
          <w:rFonts w:ascii="宋体" w:cs="Arial" w:hAnsi="宋体" w:hint="eastAsia"/>
          <w:b/>
          <w:color w:val="000000"/>
          <w:kern w:val="0"/>
          <w:sz w:val="24"/>
        </w:rPr>
        <w:t>5.4</w:t>
      </w:r>
      <w:r>
        <w:rPr>
          <w:rFonts w:ascii="宋体" w:hAnsi="宋体" w:hint="eastAsia"/>
          <w:b/>
          <w:color w:val="000000"/>
          <w:sz w:val="24"/>
        </w:rPr>
        <w:t>报告期内投资组合平均剩余存续期超过240天情况说明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本报告期内本货币市场基金投资组合平均剩余存续期未超过240天。</w:t>
      </w:r>
    </w:p>
    <w:p w:rsidP="00710B11" w:rsidR="00710B11" w:rsidRDefault="00EA3F40" w:rsidRPr="00675D72">
      <w:pPr>
        <w:spacing w:line="360" w:lineRule="auto"/>
        <w:rPr>
          <w:b/>
          <w:color w:val="000000"/>
          <w:kern w:val="0"/>
          <w:sz w:val="24"/>
        </w:rPr>
      </w:pPr>
      <w:r w:rsidRPr="0097021E">
        <w:rPr>
          <w:rFonts w:ascii="宋体" w:cs="Arial" w:hAnsi="宋体"/>
          <w:b/>
          <w:color w:val="000000"/>
          <w:kern w:val="0"/>
          <w:sz w:val="24"/>
        </w:rPr>
        <w:lastRenderedPageBreak/>
        <w:t>5.</w:t>
      </w:r>
      <w:r w:rsidR="007A1ACF">
        <w:rPr>
          <w:rFonts w:ascii="宋体" w:cs="Arial" w:hAnsi="宋体" w:hint="eastAsia"/>
          <w:b/>
          <w:color w:val="000000"/>
          <w:kern w:val="0"/>
          <w:sz w:val="24"/>
        </w:rPr>
        <w:t>5</w:t>
      </w:r>
      <w:r w:rsidRPr="0097021E">
        <w:rPr>
          <w:rFonts w:ascii="宋体" w:cs="Arial" w:hAnsi="宋体"/>
          <w:b/>
          <w:color w:val="000000"/>
          <w:kern w:val="0"/>
          <w:sz w:val="24"/>
        </w:rPr>
        <w:t xml:space="preserve"> </w:t>
      </w:r>
      <w:r w:rsidRPr="0097021E">
        <w:rPr>
          <w:rFonts w:ascii="宋体" w:cs="Arial" w:hAnsi="宋体" w:hint="eastAsia"/>
          <w:b/>
          <w:color w:val="000000"/>
          <w:kern w:val="0"/>
          <w:sz w:val="24"/>
        </w:rPr>
        <w:t>报告期末按债券品种分类的债券投资组合</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3119"/>
        <w:gridCol w:w="1984"/>
      </w:tblGrid>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序号</w:t>
            </w:r>
          </w:p>
        </w:tc>
        <w:tc>
          <w:tcPr>
            <w:tcW w:type="dxa" w:w="3260"/>
            <w:vAlign w:val="center"/>
          </w:tcPr>
          <w:p w:rsidP="00546492" w:rsidR="00710B11" w:rsidRDefault="00710B11" w:rsidRPr="00675D72">
            <w:pPr>
              <w:spacing w:before="29" w:line="360" w:lineRule="auto"/>
              <w:ind w:left="17"/>
              <w:jc w:val="center"/>
              <w:rPr>
                <w:color w:val="000000"/>
                <w:sz w:val="24"/>
              </w:rPr>
            </w:pPr>
            <w:r w:rsidRPr="00675D72">
              <w:rPr>
                <w:color w:val="000000"/>
                <w:sz w:val="24"/>
              </w:rPr>
              <w:t>债券品种</w:t>
            </w:r>
            <w:r w:rsidRPr="00675D72">
              <w:rPr>
                <w:color w:val="000000"/>
                <w:sz w:val="24"/>
              </w:rPr>
              <w:t/>
            </w:r>
          </w:p>
        </w:tc>
        <w:tc>
          <w:tcPr>
            <w:tcW w:type="dxa" w:w="3119"/>
            <w:vAlign w:val="center"/>
          </w:tcPr>
          <w:p w:rsidP="00546492" w:rsidR="00710B11" w:rsidRDefault="00710B11" w:rsidRPr="00675D72">
            <w:pPr>
              <w:spacing w:before="29" w:line="360" w:lineRule="auto"/>
              <w:ind w:left="17"/>
              <w:jc w:val="center"/>
              <w:rPr>
                <w:color w:val="000000"/>
                <w:sz w:val="24"/>
              </w:rPr>
            </w:pPr>
            <w:r w:rsidRPr="00675D72">
              <w:rPr>
                <w:color w:val="000000"/>
                <w:sz w:val="24"/>
              </w:rPr>
              <w:t>摊余成本（元）</w:t>
            </w:r>
          </w:p>
        </w:tc>
        <w:tc>
          <w:tcPr>
            <w:tcW w:type="dxa" w:w="1984"/>
            <w:vAlign w:val="center"/>
          </w:tcPr>
          <w:p w:rsidP="00546492" w:rsidR="00710B11" w:rsidRDefault="00710B11" w:rsidRPr="00675D72">
            <w:pPr>
              <w:spacing w:before="29" w:line="360" w:lineRule="auto"/>
              <w:ind w:left="17"/>
              <w:jc w:val="center"/>
              <w:rPr>
                <w:color w:val="000000"/>
                <w:sz w:val="24"/>
              </w:rPr>
            </w:pPr>
            <w:r w:rsidRPr="00675D72">
              <w:rPr>
                <w:color w:val="000000"/>
                <w:sz w:val="24"/>
              </w:rPr>
              <w:t>占基金资产净值比例</w:t>
            </w:r>
            <w:r w:rsidRPr="00675D72">
              <w:rPr>
                <w:color w:val="000000"/>
                <w:sz w:val="24"/>
              </w:rPr>
              <w:t>(</w:t>
            </w:r>
            <w:r w:rsidRPr="00675D72">
              <w:rPr>
                <w:color w:val="000000"/>
                <w:sz w:val="24"/>
              </w:rPr>
              <w:t>％</w:t>
            </w: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国家债券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99,753,561.62</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0.46</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2</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央行票据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3</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金融债券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1,521,707,108.36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7.07</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其中：政策性金融债</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1,041,700,354.32</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4.84</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4</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
            </w:r>
            <w:r w:rsidRPr="00675D72">
              <w:rPr>
                <w:color w:val="000000"/>
                <w:sz w:val="24"/>
              </w:rPr>
              <w:lastRenderedPageBreak/>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5</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企业短期融资券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1,160,202,687.26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5.39</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6</w:t>
            </w:r>
          </w:p>
        </w:tc>
        <w:tc>
          <w:tcPr>
            <w:tcW w:type="dxa" w:w="3260"/>
            <w:vAlign w:val="center"/>
          </w:tcPr>
          <w:p w:rsidP="00C91200" w:rsidR="00710B11" w:rsidRDefault="00710B11" w:rsidRPr="00675D72">
            <w:pPr>
              <w:spacing w:before="29" w:line="360" w:lineRule="auto"/>
              <w:ind w:left="17"/>
              <w:jc w:val="left"/>
              <w:rPr>
                <w:color w:val="000000"/>
                <w:sz w:val="24"/>
              </w:rPr>
            </w:pPr>
            <w:r w:rsidRPr="00675D72">
              <w:rPr>
                <w:color w:val="000000"/>
                <w:sz w:val="24"/>
              </w:rPr>
              <w:t>中期票据</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170,789,423.02</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0.79</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7</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同业存单</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7,471,932,344.20</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34.69</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8</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其他</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lastRenderedPageBreak/>
              <w:t>9</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合计</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10,424,385,124.46</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48.40</w:t>
            </w:r>
          </w:p>
        </w:tc>
      </w:tr>
      <w:tr w:rsidR="00710B11" w:rsidRPr="00675D72" w:rsidTr="00546492">
        <w:tc>
          <w:tcPr>
            <w:tcW w:type="dxa" w:w="817"/>
            <w:vAlign w:val="center"/>
          </w:tcPr>
          <w:p w:rsidP="00546492" w:rsidR="00710B11" w:rsidRDefault="00710B11" w:rsidRPr="00675D72">
            <w:pPr>
              <w:spacing w:before="29" w:line="360" w:lineRule="auto"/>
              <w:ind w:left="17"/>
              <w:jc w:val="center"/>
              <w:rPr>
                <w:color w:val="000000"/>
                <w:sz w:val="24"/>
              </w:rPr>
            </w:pPr>
            <w:r w:rsidRPr="00675D72">
              <w:rPr>
                <w:color w:val="000000"/>
                <w:sz w:val="24"/>
              </w:rPr>
              <w:t>10</w:t>
            </w:r>
          </w:p>
        </w:tc>
        <w:tc>
          <w:tcPr>
            <w:tcW w:type="dxa" w:w="3260"/>
            <w:vAlign w:val="center"/>
          </w:tcPr>
          <w:p w:rsidP="00546492" w:rsidR="00710B11" w:rsidRDefault="00710B11" w:rsidRPr="00675D72">
            <w:pPr>
              <w:spacing w:before="29" w:line="360" w:lineRule="auto"/>
              <w:ind w:left="17"/>
              <w:jc w:val="left"/>
              <w:rPr>
                <w:color w:val="000000"/>
                <w:sz w:val="24"/>
              </w:rPr>
            </w:pPr>
            <w:r w:rsidRPr="00675D72">
              <w:rPr>
                <w:color w:val="000000"/>
                <w:sz w:val="24"/>
              </w:rPr>
              <w:t>剩余存续期超过</w:t>
            </w:r>
            <w:r w:rsidRPr="00675D72">
              <w:rPr>
                <w:color w:val="000000"/>
                <w:sz w:val="24"/>
              </w:rPr>
              <w:t>397</w:t>
            </w:r>
            <w:r w:rsidRPr="00675D72">
              <w:rPr>
                <w:color w:val="000000"/>
                <w:sz w:val="24"/>
              </w:rPr>
              <w:t>天的浮动利率债券</w:t>
            </w:r>
          </w:p>
        </w:tc>
        <w:tc>
          <w:tcPr>
            <w:tcW w:type="dxa" w:w="3119"/>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c>
          <w:tcPr>
            <w:tcW w:type="dxa" w:w="1984"/>
            <w:vAlign w:val="center"/>
          </w:tcPr>
          <w:p w:rsidP="00546492" w:rsidR="00710B11" w:rsidRDefault="00710B11" w:rsidRPr="00675D72">
            <w:pPr>
              <w:spacing w:before="29" w:line="360" w:lineRule="auto"/>
              <w:ind w:left="17"/>
              <w:jc w:val="right"/>
              <w:rPr>
                <w:color w:val="000000"/>
                <w:sz w:val="24"/>
              </w:rPr>
            </w:pPr>
            <w:r w:rsidRPr="00675D72">
              <w:rPr>
                <w:color w:val="000000"/>
                <w:sz w:val="24"/>
              </w:rPr>
              <w:t>-</w:t>
            </w:r>
          </w:p>
        </w:tc>
      </w:tr>
    </w:tbl>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6</w:t>
      </w:r>
      <w:r w:rsidRPr="0097021E">
        <w:rPr>
          <w:rFonts w:ascii="宋体" w:cs="Arial" w:hAnsi="宋体"/>
          <w:b/>
          <w:color w:val="000000"/>
          <w:kern w:val="0"/>
          <w:sz w:val="24"/>
        </w:rPr>
        <w:t xml:space="preserve"> </w:t>
      </w:r>
      <w:r w:rsidR="00AD6777">
        <w:rPr>
          <w:rFonts w:ascii="宋体" w:cs="Arial" w:hAnsi="宋体" w:hint="eastAsia"/>
          <w:b/>
          <w:color w:val="000000"/>
          <w:kern w:val="0"/>
          <w:sz w:val="24"/>
        </w:rPr>
        <w:t>报告期末按摊余成本占基金资产净值比例大小排名</w:t>
      </w:r>
      <w:r w:rsidRPr="0097021E">
        <w:rPr>
          <w:rFonts w:ascii="宋体" w:cs="Arial" w:hAnsi="宋体" w:hint="eastAsia"/>
          <w:b/>
          <w:color w:val="000000"/>
          <w:kern w:val="0"/>
          <w:sz w:val="24"/>
        </w:rPr>
        <w:t>的前十名债券投资明细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227"/>
        <w:gridCol w:w="1226"/>
        <w:gridCol w:w="1226"/>
        <w:gridCol w:w="2047"/>
        <w:gridCol w:w="1840"/>
        <w:gridCol w:w="1721"/>
      </w:tblGrid>
      <w:tr w:rsidR="00EA3F40" w:rsidRPr="0097021E" w:rsidTr="00053472">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债券代码</w:t>
            </w:r>
          </w:p>
        </w:tc>
        <w:tc>
          <w:tcPr>
            <w:tcW w:type="dxa" w:w="126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债券名称</w:t>
            </w:r>
          </w:p>
        </w:tc>
        <w:tc>
          <w:tcPr>
            <w:tcW w:type="dxa" w:w="2119"/>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债券数量</w:t>
            </w:r>
          </w:p>
          <w:p w:rsidP="007C3671" w:rsidR="00EA3F40" w:rsidRDefault="007C3671"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（张）</w:t>
            </w:r>
          </w:p>
        </w:tc>
        <w:tc>
          <w:tcPr>
            <w:tcW w:type="dxa" w:w="1787"/>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摊余成本</w:t>
            </w:r>
            <w:r w:rsidR="007C3671" w:rsidRPr="00613409">
              <w:rPr>
                <w:color w:val="000000"/>
                <w:kern w:val="0"/>
                <w:sz w:val="24"/>
              </w:rPr>
              <w:t>（元）</w:t>
            </w:r>
          </w:p>
        </w:tc>
        <w:tc>
          <w:tcPr>
            <w:tcW w:type="dxa" w:w="1595"/>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112017133</w:t>
            </w:r>
          </w:p>
        </w:tc>
        <w:tc>
          <w:tcPr>
            <w:vAlign w:val="center"/>
          </w:tcPr>
          <w:p>
            <w:pPr>
              <w:jc w:val="center"/>
            </w:pPr>
            <w:r>
              <w:rPr>
                <w:color w:val="000000"/>
                <w:sz w:val="24"/>
              </w:rPr>
              <w:t>20光大银行CD133</w:t>
            </w:r>
          </w:p>
        </w:tc>
        <w:tc>
          <w:tcPr>
            <w:vAlign w:val="center"/>
          </w:tcPr>
          <w:p>
            <w:pPr>
              <w:jc w:val="right"/>
            </w:pPr>
            <w:r>
              <w:rPr>
                <w:color w:val="000000"/>
                <w:sz w:val="24"/>
              </w:rPr>
              <w:t>5,000,000</w:t>
            </w:r>
          </w:p>
        </w:tc>
        <w:tc>
          <w:tcPr>
            <w:vAlign w:val="center"/>
          </w:tcPr>
          <w:p>
            <w:pPr>
              <w:jc w:val="right"/>
            </w:pPr>
            <w:r>
              <w:rPr>
                <w:color w:val="000000"/>
                <w:sz w:val="24"/>
              </w:rPr>
              <w:t>497,396,039.49</w:t>
            </w:r>
          </w:p>
        </w:tc>
        <w:tc>
          <w:tcPr>
            <w:vAlign w:val="center"/>
          </w:tcPr>
          <w:p>
            <w:pPr>
              <w:jc w:val="right"/>
            </w:pPr>
            <w:r>
              <w:rPr>
                <w:color w:val="000000"/>
                <w:sz w:val="24"/>
              </w:rPr>
              <w:t>2.31</w:t>
            </w:r>
          </w:p>
        </w:tc>
      </w:tr>
      <w:tr>
        <w:tc>
          <w:tcPr>
            <w:vAlign w:val="center"/>
          </w:tcPr>
          <w:p>
            <w:pPr>
              <w:jc w:val="center"/>
            </w:pPr>
            <w:r>
              <w:rPr>
                <w:color w:val="000000"/>
                <w:sz w:val="24"/>
              </w:rPr>
              <w:t>2</w:t>
            </w:r>
          </w:p>
        </w:tc>
        <w:tc>
          <w:tcPr>
            <w:vAlign w:val="center"/>
          </w:tcPr>
          <w:p>
            <w:pPr>
              <w:jc w:val="center"/>
            </w:pPr>
            <w:r>
              <w:rPr>
                <w:color w:val="000000"/>
                <w:sz w:val="24"/>
              </w:rPr>
              <w:t>112008107</w:t>
            </w:r>
          </w:p>
        </w:tc>
        <w:tc>
          <w:tcPr>
            <w:vAlign w:val="center"/>
          </w:tcPr>
          <w:p>
            <w:pPr>
              <w:jc w:val="center"/>
            </w:pPr>
            <w:r>
              <w:rPr>
                <w:color w:val="000000"/>
                <w:sz w:val="24"/>
              </w:rPr>
              <w:t>20中信银行CD107</w:t>
            </w:r>
          </w:p>
        </w:tc>
        <w:tc>
          <w:tcPr>
            <w:vAlign w:val="center"/>
          </w:tcPr>
          <w:p>
            <w:pPr>
              <w:jc w:val="right"/>
            </w:pPr>
            <w:r>
              <w:rPr>
                <w:color w:val="000000"/>
                <w:sz w:val="24"/>
              </w:rPr>
              <w:t>5,000,000</w:t>
            </w:r>
          </w:p>
        </w:tc>
        <w:tc>
          <w:tcPr>
            <w:vAlign w:val="center"/>
          </w:tcPr>
          <w:p>
            <w:pPr>
              <w:jc w:val="right"/>
            </w:pPr>
            <w:r>
              <w:rPr>
                <w:color w:val="000000"/>
                <w:sz w:val="24"/>
              </w:rPr>
              <w:t>497,364,647.02</w:t>
            </w:r>
          </w:p>
        </w:tc>
        <w:tc>
          <w:tcPr>
            <w:vAlign w:val="center"/>
          </w:tcPr>
          <w:p>
            <w:pPr>
              <w:jc w:val="right"/>
            </w:pPr>
            <w:r>
              <w:rPr>
                <w:color w:val="000000"/>
                <w:sz w:val="24"/>
              </w:rPr>
              <w:t>2.31</w:t>
            </w:r>
          </w:p>
        </w:tc>
      </w:tr>
      <w:tr>
        <w:tc>
          <w:tcPr>
            <w:vAlign w:val="center"/>
          </w:tcPr>
          <w:p>
            <w:pPr>
              <w:jc w:val="center"/>
            </w:pPr>
            <w:r>
              <w:rPr>
                <w:color w:val="000000"/>
                <w:sz w:val="24"/>
              </w:rPr>
              <w:t>3</w:t>
            </w:r>
          </w:p>
        </w:tc>
        <w:tc>
          <w:tcPr>
            <w:vAlign w:val="center"/>
          </w:tcPr>
          <w:p>
            <w:pPr>
              <w:jc w:val="center"/>
            </w:pPr>
            <w:r>
              <w:rPr>
                <w:color w:val="000000"/>
                <w:sz w:val="24"/>
              </w:rPr>
              <w:t>180203</w:t>
            </w:r>
          </w:p>
        </w:tc>
        <w:tc>
          <w:tcPr>
            <w:vAlign w:val="center"/>
          </w:tcPr>
          <w:p>
            <w:pPr>
              <w:jc w:val="center"/>
            </w:pPr>
            <w:r>
              <w:rPr>
                <w:color w:val="000000"/>
                <w:sz w:val="24"/>
              </w:rPr>
              <w:t>18国开03</w:t>
            </w:r>
          </w:p>
        </w:tc>
        <w:tc>
          <w:tcPr>
            <w:vAlign w:val="center"/>
          </w:tcPr>
          <w:p>
            <w:pPr>
              <w:jc w:val="right"/>
            </w:pPr>
            <w:r>
              <w:rPr>
                <w:color w:val="000000"/>
                <w:sz w:val="24"/>
              </w:rPr>
              <w:t>3,700,000</w:t>
            </w:r>
          </w:p>
        </w:tc>
        <w:tc>
          <w:tcPr>
            <w:vAlign w:val="center"/>
          </w:tcPr>
          <w:p>
            <w:pPr>
              <w:jc w:val="right"/>
            </w:pPr>
            <w:r>
              <w:rPr>
                <w:color w:val="000000"/>
                <w:sz w:val="24"/>
              </w:rPr>
              <w:t>376,361,444.99</w:t>
            </w:r>
          </w:p>
        </w:tc>
        <w:tc>
          <w:tcPr>
            <w:vAlign w:val="center"/>
          </w:tcPr>
          <w:p>
            <w:pPr>
              <w:jc w:val="right"/>
            </w:pPr>
            <w:r>
              <w:rPr>
                <w:color w:val="000000"/>
                <w:sz w:val="24"/>
              </w:rPr>
              <w:t>1.75</w:t>
            </w:r>
          </w:p>
        </w:tc>
      </w:tr>
      <w:tr>
        <w:tc>
          <w:tcPr>
            <w:vAlign w:val="center"/>
          </w:tcPr>
          <w:p>
            <w:pPr>
              <w:jc w:val="center"/>
            </w:pPr>
            <w:r>
              <w:rPr>
                <w:color w:val="000000"/>
                <w:sz w:val="24"/>
              </w:rPr>
              <w:t>4</w:t>
            </w:r>
          </w:p>
        </w:tc>
        <w:tc>
          <w:tcPr>
            <w:vAlign w:val="center"/>
          </w:tcPr>
          <w:p>
            <w:pPr>
              <w:jc w:val="center"/>
            </w:pPr>
            <w:r>
              <w:rPr>
                <w:color w:val="000000"/>
                <w:sz w:val="24"/>
              </w:rPr>
              <w:t>111904089</w:t>
            </w:r>
          </w:p>
        </w:tc>
        <w:tc>
          <w:tcPr>
            <w:vAlign w:val="center"/>
          </w:tcPr>
          <w:p>
            <w:pPr>
              <w:jc w:val="center"/>
            </w:pPr>
            <w:r>
              <w:rPr>
                <w:color w:val="000000"/>
                <w:sz w:val="24"/>
              </w:rPr>
              <w:t>19中国银行CD089</w:t>
            </w:r>
          </w:p>
        </w:tc>
        <w:tc>
          <w:tcPr>
            <w:vAlign w:val="center"/>
          </w:tcPr>
          <w:p>
            <w:pPr>
              <w:jc w:val="right"/>
            </w:pPr>
            <w:r>
              <w:rPr>
                <w:color w:val="000000"/>
                <w:sz w:val="24"/>
              </w:rPr>
              <w:t>3,000,000</w:t>
            </w:r>
          </w:p>
        </w:tc>
        <w:tc>
          <w:tcPr>
            <w:vAlign w:val="center"/>
          </w:tcPr>
          <w:p>
            <w:pPr>
              <w:jc w:val="right"/>
            </w:pPr>
            <w:r>
              <w:rPr>
                <w:color w:val="000000"/>
                <w:sz w:val="24"/>
              </w:rPr>
              <w:t>297,978,555.35</w:t>
            </w:r>
          </w:p>
        </w:tc>
        <w:tc>
          <w:tcPr>
            <w:vAlign w:val="center"/>
          </w:tcPr>
          <w:p>
            <w:pPr>
              <w:jc w:val="right"/>
            </w:pPr>
            <w:r>
              <w:rPr>
                <w:color w:val="000000"/>
                <w:sz w:val="24"/>
              </w:rPr>
              <w:t>1.38</w:t>
            </w:r>
          </w:p>
        </w:tc>
      </w:tr>
      <w:tr>
        <w:tc>
          <w:tcPr>
            <w:vAlign w:val="center"/>
          </w:tcPr>
          <w:p>
            <w:pPr>
              <w:jc w:val="center"/>
            </w:pPr>
            <w:r>
              <w:rPr>
                <w:color w:val="000000"/>
                <w:sz w:val="24"/>
              </w:rPr>
              <w:t>5</w:t>
            </w:r>
          </w:p>
        </w:tc>
        <w:tc>
          <w:tcPr>
            <w:vAlign w:val="center"/>
          </w:tcPr>
          <w:p>
            <w:pPr>
              <w:jc w:val="center"/>
            </w:pPr>
            <w:r>
              <w:rPr>
                <w:color w:val="000000"/>
                <w:sz w:val="24"/>
              </w:rPr>
              <w:t>112011061</w:t>
            </w:r>
          </w:p>
        </w:tc>
        <w:tc>
          <w:tcPr>
            <w:vAlign w:val="center"/>
          </w:tcPr>
          <w:p>
            <w:pPr>
              <w:jc w:val="center"/>
            </w:pPr>
            <w:r>
              <w:rPr>
                <w:color w:val="000000"/>
                <w:sz w:val="24"/>
              </w:rPr>
              <w:t>20平安银行CD061</w:t>
            </w:r>
          </w:p>
        </w:tc>
        <w:tc>
          <w:tcPr>
            <w:vAlign w:val="center"/>
          </w:tcPr>
          <w:p>
            <w:pPr>
              <w:jc w:val="right"/>
            </w:pPr>
            <w:r>
              <w:rPr>
                <w:color w:val="000000"/>
                <w:sz w:val="24"/>
              </w:rPr>
              <w:t>3,000,000</w:t>
            </w:r>
          </w:p>
        </w:tc>
        <w:tc>
          <w:tcPr>
            <w:vAlign w:val="center"/>
          </w:tcPr>
          <w:p>
            <w:pPr>
              <w:jc w:val="right"/>
            </w:pPr>
            <w:r>
              <w:rPr>
                <w:color w:val="000000"/>
                <w:sz w:val="24"/>
              </w:rPr>
              <w:t>294,748,126.09</w:t>
            </w:r>
          </w:p>
        </w:tc>
        <w:tc>
          <w:tcPr>
            <w:vAlign w:val="center"/>
          </w:tcPr>
          <w:p>
            <w:pPr>
              <w:jc w:val="right"/>
            </w:pPr>
            <w:r>
              <w:rPr>
                <w:color w:val="000000"/>
                <w:sz w:val="24"/>
              </w:rPr>
              <w:t>1.37</w:t>
            </w:r>
          </w:p>
        </w:tc>
      </w:tr>
      <w:tr>
        <w:tc>
          <w:tcPr>
            <w:vAlign w:val="center"/>
          </w:tcPr>
          <w:p>
            <w:pPr>
              <w:jc w:val="center"/>
            </w:pPr>
            <w:r>
              <w:rPr>
                <w:color w:val="000000"/>
                <w:sz w:val="24"/>
              </w:rPr>
              <w:t>6</w:t>
            </w:r>
          </w:p>
        </w:tc>
        <w:tc>
          <w:tcPr>
            <w:vAlign w:val="center"/>
          </w:tcPr>
          <w:p>
            <w:pPr>
              <w:jc w:val="center"/>
            </w:pPr>
            <w:r>
              <w:rPr>
                <w:color w:val="000000"/>
                <w:sz w:val="24"/>
              </w:rPr>
              <w:t>111918246</w:t>
            </w:r>
          </w:p>
        </w:tc>
        <w:tc>
          <w:tcPr>
            <w:vAlign w:val="center"/>
          </w:tcPr>
          <w:p>
            <w:pPr>
              <w:jc w:val="center"/>
            </w:pPr>
            <w:r>
              <w:rPr>
                <w:color w:val="000000"/>
                <w:sz w:val="24"/>
              </w:rPr>
              <w:t>19华夏银行CD246</w:t>
            </w:r>
          </w:p>
        </w:tc>
        <w:tc>
          <w:tcPr>
            <w:vAlign w:val="center"/>
          </w:tcPr>
          <w:p>
            <w:pPr>
              <w:jc w:val="right"/>
            </w:pPr>
            <w:r>
              <w:rPr>
                <w:color w:val="000000"/>
                <w:sz w:val="24"/>
              </w:rPr>
              <w:t>2,000,000</w:t>
            </w:r>
          </w:p>
        </w:tc>
        <w:tc>
          <w:tcPr>
            <w:vAlign w:val="center"/>
          </w:tcPr>
          <w:p>
            <w:pPr>
              <w:jc w:val="right"/>
            </w:pPr>
            <w:r>
              <w:rPr>
                <w:color w:val="000000"/>
                <w:sz w:val="24"/>
              </w:rPr>
              <w:t>199,636,946.98</w:t>
            </w:r>
          </w:p>
        </w:tc>
        <w:tc>
          <w:tcPr>
            <w:vAlign w:val="center"/>
          </w:tcPr>
          <w:p>
            <w:pPr>
              <w:jc w:val="right"/>
            </w:pPr>
            <w:r>
              <w:rPr>
                <w:color w:val="000000"/>
                <w:sz w:val="24"/>
              </w:rPr>
              <w:t>0.93</w:t>
            </w:r>
          </w:p>
        </w:tc>
      </w:tr>
      <w:tr>
        <w:tc>
          <w:tcPr>
            <w:vAlign w:val="center"/>
          </w:tcPr>
          <w:p>
            <w:pPr>
              <w:jc w:val="center"/>
            </w:pPr>
            <w:r>
              <w:rPr>
                <w:color w:val="000000"/>
                <w:sz w:val="24"/>
              </w:rPr>
              <w:t>7</w:t>
            </w:r>
          </w:p>
        </w:tc>
        <w:tc>
          <w:tcPr>
            <w:vAlign w:val="center"/>
          </w:tcPr>
          <w:p>
            <w:pPr>
              <w:jc w:val="center"/>
            </w:pPr>
            <w:r>
              <w:rPr>
                <w:color w:val="000000"/>
                <w:sz w:val="24"/>
              </w:rPr>
              <w:t>111903112</w:t>
            </w:r>
          </w:p>
        </w:tc>
        <w:tc>
          <w:tcPr>
            <w:vAlign w:val="center"/>
          </w:tcPr>
          <w:p>
            <w:pPr>
              <w:jc w:val="center"/>
            </w:pPr>
            <w:r>
              <w:rPr>
                <w:color w:val="000000"/>
                <w:sz w:val="24"/>
              </w:rPr>
              <w:t>19农业银行CD112</w:t>
            </w:r>
          </w:p>
        </w:tc>
        <w:tc>
          <w:tcPr>
            <w:vAlign w:val="center"/>
          </w:tcPr>
          <w:p>
            <w:pPr>
              <w:jc w:val="right"/>
            </w:pPr>
            <w:r>
              <w:rPr>
                <w:color w:val="000000"/>
                <w:sz w:val="24"/>
              </w:rPr>
              <w:t>2,000,000</w:t>
            </w:r>
          </w:p>
        </w:tc>
        <w:tc>
          <w:tcPr>
            <w:vAlign w:val="center"/>
          </w:tcPr>
          <w:p>
            <w:pPr>
              <w:jc w:val="right"/>
            </w:pPr>
            <w:r>
              <w:rPr>
                <w:color w:val="000000"/>
                <w:sz w:val="24"/>
              </w:rPr>
              <w:t>199,520,999.65</w:t>
            </w:r>
          </w:p>
        </w:tc>
        <w:tc>
          <w:tcPr>
            <w:vAlign w:val="center"/>
          </w:tcPr>
          <w:p>
            <w:pPr>
              <w:jc w:val="right"/>
            </w:pPr>
            <w:r>
              <w:rPr>
                <w:color w:val="000000"/>
                <w:sz w:val="24"/>
              </w:rPr>
              <w:t>0.93</w:t>
            </w:r>
          </w:p>
        </w:tc>
      </w:tr>
      <w:tr>
        <w:tc>
          <w:tcPr>
            <w:vAlign w:val="center"/>
          </w:tcPr>
          <w:p>
            <w:pPr>
              <w:jc w:val="center"/>
            </w:pPr>
            <w:r>
              <w:rPr>
                <w:color w:val="000000"/>
                <w:sz w:val="24"/>
              </w:rPr>
              <w:t>8</w:t>
            </w:r>
          </w:p>
        </w:tc>
        <w:tc>
          <w:tcPr>
            <w:vAlign w:val="center"/>
          </w:tcPr>
          <w:p>
            <w:pPr>
              <w:jc w:val="center"/>
            </w:pPr>
            <w:r>
              <w:rPr>
                <w:color w:val="000000"/>
                <w:sz w:val="24"/>
              </w:rPr>
              <w:t>112011064</w:t>
            </w:r>
          </w:p>
        </w:tc>
        <w:tc>
          <w:tcPr>
            <w:vAlign w:val="center"/>
          </w:tcPr>
          <w:p>
            <w:pPr>
              <w:jc w:val="center"/>
            </w:pPr>
            <w:r>
              <w:rPr>
                <w:color w:val="000000"/>
                <w:sz w:val="24"/>
              </w:rPr>
              <w:t>20平安银行CD064</w:t>
            </w:r>
          </w:p>
        </w:tc>
        <w:tc>
          <w:tcPr>
            <w:vAlign w:val="center"/>
          </w:tcPr>
          <w:p>
            <w:pPr>
              <w:jc w:val="right"/>
            </w:pPr>
            <w:r>
              <w:rPr>
                <w:color w:val="000000"/>
                <w:sz w:val="24"/>
              </w:rPr>
              <w:t>2,000,000</w:t>
            </w:r>
          </w:p>
        </w:tc>
        <w:tc>
          <w:tcPr>
            <w:vAlign w:val="center"/>
          </w:tcPr>
          <w:p>
            <w:pPr>
              <w:jc w:val="right"/>
            </w:pPr>
            <w:r>
              <w:rPr>
                <w:color w:val="000000"/>
                <w:sz w:val="24"/>
              </w:rPr>
              <w:t>199,214,086.05</w:t>
            </w:r>
          </w:p>
        </w:tc>
        <w:tc>
          <w:tcPr>
            <w:vAlign w:val="center"/>
          </w:tcPr>
          <w:p>
            <w:pPr>
              <w:jc w:val="right"/>
            </w:pPr>
            <w:r>
              <w:rPr>
                <w:color w:val="000000"/>
                <w:sz w:val="24"/>
              </w:rPr>
              <w:t>0.92</w:t>
            </w:r>
          </w:p>
        </w:tc>
      </w:tr>
      <w:tr>
        <w:tc>
          <w:tcPr>
            <w:vAlign w:val="center"/>
          </w:tcPr>
          <w:p>
            <w:pPr>
              <w:jc w:val="center"/>
            </w:pPr>
            <w:r>
              <w:rPr>
                <w:color w:val="000000"/>
                <w:sz w:val="24"/>
              </w:rPr>
              <w:t>9</w:t>
            </w:r>
          </w:p>
        </w:tc>
        <w:tc>
          <w:tcPr>
            <w:vAlign w:val="center"/>
          </w:tcPr>
          <w:p>
            <w:pPr>
              <w:jc w:val="center"/>
            </w:pPr>
            <w:r>
              <w:rPr>
                <w:color w:val="000000"/>
                <w:sz w:val="24"/>
              </w:rPr>
              <w:t>111904091</w:t>
            </w:r>
          </w:p>
        </w:tc>
        <w:tc>
          <w:tcPr>
            <w:vAlign w:val="center"/>
          </w:tcPr>
          <w:p>
            <w:pPr>
              <w:jc w:val="center"/>
            </w:pPr>
            <w:r>
              <w:rPr>
                <w:color w:val="000000"/>
                <w:sz w:val="24"/>
              </w:rPr>
              <w:t>19中国银行CD091</w:t>
            </w:r>
          </w:p>
        </w:tc>
        <w:tc>
          <w:tcPr>
            <w:vAlign w:val="center"/>
          </w:tcPr>
          <w:p>
            <w:pPr>
              <w:jc w:val="right"/>
            </w:pPr>
            <w:r>
              <w:rPr>
                <w:color w:val="000000"/>
                <w:sz w:val="24"/>
              </w:rPr>
              <w:t>2,000,000</w:t>
            </w:r>
          </w:p>
        </w:tc>
        <w:tc>
          <w:tcPr>
            <w:vAlign w:val="center"/>
          </w:tcPr>
          <w:p>
            <w:pPr>
              <w:jc w:val="right"/>
            </w:pPr>
            <w:r>
              <w:rPr>
                <w:color w:val="000000"/>
                <w:sz w:val="24"/>
              </w:rPr>
              <w:t>199,203,584.24</w:t>
            </w:r>
          </w:p>
        </w:tc>
        <w:tc>
          <w:tcPr>
            <w:vAlign w:val="center"/>
          </w:tcPr>
          <w:p>
            <w:pPr>
              <w:jc w:val="right"/>
            </w:pPr>
            <w:r>
              <w:rPr>
                <w:color w:val="000000"/>
                <w:sz w:val="24"/>
              </w:rPr>
              <w:t>0.92</w:t>
            </w:r>
          </w:p>
        </w:tc>
      </w:tr>
      <w:tr>
        <w:tc>
          <w:tcPr>
            <w:vAlign w:val="center"/>
          </w:tcPr>
          <w:p>
            <w:pPr>
              <w:jc w:val="center"/>
            </w:pPr>
            <w:r>
              <w:rPr>
                <w:color w:val="000000"/>
                <w:sz w:val="24"/>
              </w:rPr>
              <w:t>10</w:t>
            </w:r>
          </w:p>
        </w:tc>
        <w:tc>
          <w:tcPr>
            <w:vAlign w:val="center"/>
          </w:tcPr>
          <w:p>
            <w:pPr>
              <w:jc w:val="center"/>
            </w:pPr>
            <w:r>
              <w:rPr>
                <w:color w:val="000000"/>
                <w:sz w:val="24"/>
              </w:rPr>
              <w:t>112006048</w:t>
            </w:r>
          </w:p>
        </w:tc>
        <w:tc>
          <w:tcPr>
            <w:vAlign w:val="center"/>
          </w:tcPr>
          <w:p>
            <w:pPr>
              <w:jc w:val="center"/>
            </w:pPr>
            <w:r>
              <w:rPr>
                <w:color w:val="000000"/>
                <w:sz w:val="24"/>
              </w:rPr>
              <w:t>20交通银行CD048</w:t>
            </w:r>
          </w:p>
        </w:tc>
        <w:tc>
          <w:tcPr>
            <w:vAlign w:val="center"/>
          </w:tcPr>
          <w:p>
            <w:pPr>
              <w:jc w:val="right"/>
            </w:pPr>
            <w:r>
              <w:rPr>
                <w:color w:val="000000"/>
                <w:sz w:val="24"/>
              </w:rPr>
              <w:t>2,000,000</w:t>
            </w:r>
          </w:p>
        </w:tc>
        <w:tc>
          <w:tcPr>
            <w:vAlign w:val="center"/>
          </w:tcPr>
          <w:p>
            <w:pPr>
              <w:jc w:val="right"/>
            </w:pPr>
            <w:r>
              <w:rPr>
                <w:color w:val="000000"/>
                <w:sz w:val="24"/>
              </w:rPr>
              <w:t>199,125,803.05</w:t>
            </w:r>
          </w:p>
        </w:tc>
        <w:tc>
          <w:tcPr>
            <w:vAlign w:val="center"/>
          </w:tcPr>
          <w:p>
            <w:pPr>
              <w:jc w:val="right"/>
            </w:pPr>
            <w:r>
              <w:rPr>
                <w:color w:val="000000"/>
                <w:sz w:val="24"/>
              </w:rPr>
              <w:t>0.92</w:t>
            </w:r>
          </w:p>
        </w:tc>
      </w:tr>
    </w:tbl>
    <w:p w:rsidP="003A0EC1"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7</w:t>
      </w:r>
      <w:r w:rsidRPr="0097021E">
        <w:rPr>
          <w:rFonts w:ascii="宋体" w:cs="Arial" w:hAnsi="宋体" w:hint="eastAsia"/>
          <w:b/>
          <w:color w:val="000000"/>
          <w:kern w:val="0"/>
          <w:sz w:val="24"/>
        </w:rPr>
        <w:t>“影子定价”与“摊余成本法”确定的基金资产净值的偏离</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5812"/>
        <w:gridCol w:w="3382"/>
      </w:tblGrid>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r w:rsidRPr="00613409">
              <w:rPr>
                <w:color w:val="000000"/>
                <w:kern w:val="0"/>
                <w:sz w:val="24"/>
              </w:rPr>
              <w:t/>
            </w:r>
          </w:p>
        </w:tc>
        <w:tc>
          <w:tcPr>
            <w:tcW w:type="dxa" w:w="3382"/>
            <w:vAlign w:val="center"/>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偏离情况</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报告期内偏离度的绝对值在</w:t>
            </w:r>
            <w:r w:rsidRPr="00613409">
              <w:rPr>
                <w:color w:val="000000"/>
                <w:kern w:val="0"/>
                <w:sz w:val="24"/>
              </w:rPr>
              <w:t>0.25(</w:t>
            </w:r>
            <w:r w:rsidRPr="00613409">
              <w:rPr>
                <w:color w:val="000000"/>
                <w:kern w:val="0"/>
                <w:sz w:val="24"/>
              </w:rPr>
              <w:t>含</w:t>
            </w:r>
            <w:r w:rsidRPr="00613409">
              <w:rPr>
                <w:color w:val="000000"/>
                <w:kern w:val="0"/>
                <w:sz w:val="24"/>
              </w:rPr>
              <w:t>)-0.5%</w:t>
            </w:r>
            <w:r w:rsidRPr="00613409">
              <w:rPr>
                <w:color w:val="000000"/>
                <w:kern w:val="0"/>
                <w:sz w:val="24"/>
              </w:rPr>
              <w:t>间的次数</w:t>
            </w:r>
          </w:p>
        </w:tc>
        <w:tc>
          <w:tcPr>
            <w:tcW w:type="dxa" w:w="3382"/>
            <w:vAlign w:val="bottom"/>
          </w:tcPr>
          <w:p w:rsidP="00196812" w:rsidR="00EA3F40" w:rsidRDefault="00EA3F40" w:rsidRPr="00613409">
            <w:pPr>
              <w:spacing w:line="360" w:lineRule="auto"/>
              <w:jc w:val="right"/>
              <w:rPr>
                <w:sz w:val="24"/>
              </w:rPr>
            </w:pPr>
            <w:r w:rsidRPr="00613409">
              <w:rPr>
                <w:color w:val="000000"/>
                <w:sz w:val="24"/>
              </w:rPr>
              <w:t/>
            </w:r>
            <w:r w:rsidRPr="00613409">
              <w:rPr>
                <w:color w:val="000000"/>
                <w:sz w:val="24"/>
              </w:rPr>
              <w:lastRenderedPageBreak/>
              <w:t>19</w:t>
            </w:r>
            <w:r w:rsidRPr="00613409">
              <w:rPr>
                <w:color w:val="000000"/>
                <w:sz w:val="24"/>
              </w:rPr>
              <w:t>次</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lastRenderedPageBreak/>
              <w:t>报告期内偏离度的最高值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0.3134%</w:t>
            </w:r>
          </w:p>
        </w:tc>
      </w:tr>
      <w:tr w:rsidR="00EA3F40" w:rsidRPr="0097021E" w:rsidTr="00C526E2">
        <w:tc>
          <w:tcPr>
            <w:tcW w:type="dxa" w:w="5812"/>
            <w:vAlign w:val="center"/>
          </w:tcPr>
          <w:p w:rsidP="0019681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报告期内偏离度的最低值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0.0255%</w:t>
            </w:r>
          </w:p>
        </w:tc>
      </w:tr>
      <w:tr w:rsidR="00EA3F40" w:rsidRPr="0097021E" w:rsidTr="00C526E2">
        <w:tc>
          <w:tcPr>
            <w:tcW w:type="dxa" w:w="5812"/>
            <w:vAlign w:val="center"/>
          </w:tcPr>
          <w:p w:rsidP="00BD0F36"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报告期内每个工作日偏离度的绝对值的简单平均值</w:t>
            </w:r>
          </w:p>
        </w:tc>
        <w:tc>
          <w:tcPr>
            <w:tcW w:type="dxa" w:w="3382"/>
            <w:vAlign w:val="bottom"/>
          </w:tcPr>
          <w:p w:rsidP="00196812" w:rsidR="00EA3F40" w:rsidRDefault="00EA3F40" w:rsidRPr="00613409">
            <w:pPr>
              <w:spacing w:line="360" w:lineRule="auto"/>
              <w:jc w:val="right"/>
              <w:rPr>
                <w:sz w:val="24"/>
              </w:rPr>
            </w:pPr>
            <w:r w:rsidRPr="00613409">
              <w:rPr>
                <w:color w:val="000000"/>
                <w:sz w:val="24"/>
              </w:rPr>
              <w:t>0.1758%</w:t>
            </w:r>
          </w:p>
        </w:tc>
      </w:tr>
    </w:tbl>
    <w:p w:rsidP="007A1ACF" w:rsidR="007A1ACF" w:rsidRDefault="007A1ACF" w:rsidRPr="007A1ACF">
      <w:pPr>
        <w:spacing w:line="360" w:lineRule="auto"/>
        <w:rPr>
          <w:b/>
          <w:color w:val="000000"/>
          <w:kern w:val="0"/>
          <w:sz w:val="24"/>
        </w:rPr>
      </w:pPr>
      <w:r w:rsidRPr="007A1ACF">
        <w:rPr>
          <w:b/>
          <w:color w:val="000000"/>
          <w:sz w:val="24"/>
        </w:rPr>
        <w:t>报告期内负偏离度的绝对值达到</w:t>
      </w:r>
      <w:r w:rsidRPr="007A1ACF">
        <w:rPr>
          <w:b/>
          <w:color w:val="000000"/>
          <w:sz w:val="24"/>
        </w:rPr>
        <w:t>0.25%</w:t>
      </w:r>
      <w:r w:rsidRPr="007A1ACF">
        <w:rPr>
          <w:b/>
          <w:color w:val="000000"/>
          <w:sz w:val="24"/>
        </w:rPr>
        <w:t>情况说明</w:t>
      </w:r>
    </w:p>
    <w:p w:rsidP="007A1ACF" w:rsidR="007A1ACF" w:rsidRDefault="007A1ACF" w:rsidRPr="007A1ACF">
      <w:pPr>
        <w:adjustRightInd w:val="0"/>
        <w:spacing w:line="360" w:lineRule="auto"/>
        <w:ind w:firstLine="480" w:firstLineChars="200"/>
        <w:rPr>
          <w:color w:val="000000"/>
          <w:sz w:val="24"/>
        </w:rPr>
      </w:pPr>
      <w:r w:rsidRPr="007A1ACF">
        <w:rPr>
          <w:color w:val="000000"/>
          <w:sz w:val="24"/>
        </w:rPr>
        <w:t/>
      </w:r>
      <w:r w:rsidRPr="007A1ACF">
        <w:rPr>
          <w:color w:val="000000"/>
          <w:sz w:val="24"/>
        </w:rPr>
        <w:lastRenderedPageBreak/>
        <w:t>本基金本报告期内不存在负偏离度的绝对值达到0.25%的情况。</w:t>
      </w:r>
    </w:p>
    <w:p w:rsidP="007A1ACF" w:rsidR="007A1ACF" w:rsidRDefault="007A1ACF" w:rsidRPr="007A1ACF">
      <w:pPr>
        <w:spacing w:line="360" w:lineRule="auto"/>
        <w:rPr>
          <w:b/>
          <w:color w:val="000000"/>
          <w:kern w:val="0"/>
          <w:sz w:val="24"/>
        </w:rPr>
      </w:pPr>
      <w:r w:rsidRPr="007A1ACF">
        <w:rPr>
          <w:b/>
          <w:color w:val="000000"/>
          <w:sz w:val="24"/>
        </w:rPr>
        <w:t>报告期内正偏离度的绝对值达到</w:t>
      </w:r>
      <w:r w:rsidRPr="007A1ACF">
        <w:rPr>
          <w:b/>
          <w:color w:val="000000"/>
          <w:sz w:val="24"/>
        </w:rPr>
        <w:t>0.5%</w:t>
      </w:r>
      <w:r w:rsidRPr="007A1ACF">
        <w:rPr>
          <w:b/>
          <w:color w:val="000000"/>
          <w:sz w:val="24"/>
        </w:rPr>
        <w:t>情况说明</w:t>
      </w:r>
    </w:p>
    <w:p w:rsidP="00613409" w:rsidR="007A1ACF" w:rsidRDefault="007A1ACF" w:rsidRPr="007A1ACF">
      <w:pPr>
        <w:adjustRightInd w:val="0"/>
        <w:spacing w:line="360" w:lineRule="auto"/>
        <w:ind w:firstLine="480" w:firstLineChars="200"/>
        <w:rPr>
          <w:color w:val="000000"/>
          <w:sz w:val="24"/>
        </w:rPr>
      </w:pPr>
      <w:r w:rsidRPr="007A1ACF">
        <w:rPr>
          <w:color w:val="000000"/>
          <w:sz w:val="24"/>
        </w:rPr>
        <w:t>本基金本报告期内不存在正偏离度的绝对值达到0.5%的情况。</w:t>
      </w:r>
    </w:p>
    <w:p w:rsidP="00196812" w:rsidR="00EA3F40" w:rsidRDefault="00EA3F40" w:rsidRPr="0097021E">
      <w:pPr>
        <w:spacing w:line="360" w:lineRule="auto"/>
        <w:rPr>
          <w:rFonts w:ascii="宋体" w:cs="Arial"/>
          <w:b/>
          <w:color w:val="000000"/>
          <w:kern w:val="0"/>
          <w:sz w:val="24"/>
        </w:rPr>
      </w:pPr>
      <w:r w:rsidRPr="0097021E">
        <w:rPr>
          <w:rFonts w:ascii="宋体" w:cs="Arial" w:hAnsi="宋体"/>
          <w:b/>
          <w:color w:val="000000"/>
          <w:kern w:val="0"/>
          <w:sz w:val="24"/>
        </w:rPr>
        <w:t>5.</w:t>
      </w:r>
      <w:r w:rsidR="007A1ACF">
        <w:rPr>
          <w:rFonts w:ascii="宋体" w:cs="Arial" w:hAnsi="宋体" w:hint="eastAsia"/>
          <w:b/>
          <w:color w:val="000000"/>
          <w:kern w:val="0"/>
          <w:sz w:val="24"/>
        </w:rPr>
        <w:t>8</w:t>
      </w:r>
      <w:r w:rsidR="00AD6777">
        <w:rPr>
          <w:rFonts w:ascii="宋体" w:cs="Arial" w:hAnsi="宋体" w:hint="eastAsia"/>
          <w:b/>
          <w:color w:val="000000"/>
          <w:kern w:val="0"/>
          <w:sz w:val="24"/>
        </w:rPr>
        <w:t>报告期末按公允价值占基金资产净值比例大小排名</w:t>
      </w:r>
      <w:r w:rsidRPr="0097021E">
        <w:rPr>
          <w:rFonts w:ascii="宋体" w:cs="Arial" w:hAnsi="宋体" w:hint="eastAsia"/>
          <w:b/>
          <w:color w:val="000000"/>
          <w:kern w:val="0"/>
          <w:sz w:val="24"/>
        </w:rPr>
        <w:t>的前十名资产支持证券投资明细</w:t>
      </w:r>
    </w:p>
    <w:tbl>
      <w:tblPr>
        <w:tblW w:type="auto" w:w="0"/>
        <w:tblInd w:type="dxa" w:w="15"/>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1" w:firstRow="1" w:lastColumn="0" w:lastRow="0" w:noHBand="0" w:noVBand="0" w:val="00A0"/>
      </w:tblPr>
      <w:tblGrid>
        <w:gridCol w:w="1411"/>
        <w:gridCol w:w="1410"/>
        <w:gridCol w:w="1410"/>
        <w:gridCol w:w="1685"/>
        <w:gridCol w:w="1685"/>
        <w:gridCol w:w="1686"/>
      </w:tblGrid>
      <w:tr w:rsidR="00EA3F40" w:rsidRPr="0097021E" w:rsidTr="00841A22">
        <w:tc>
          <w:tcPr>
            <w:tcW w:type="dxa" w:w="1547"/>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序号</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证券代码</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证券名称</w:t>
            </w:r>
          </w:p>
        </w:tc>
        <w:tc>
          <w:tcPr>
            <w:tcW w:type="dxa" w:w="1548"/>
            <w:vAlign w:val="center"/>
          </w:tcPr>
          <w:p w:rsidP="007C3671"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数量</w:t>
            </w:r>
            <w:r w:rsidR="007C3671" w:rsidRPr="00613409">
              <w:rPr>
                <w:color w:val="000000"/>
                <w:kern w:val="0"/>
                <w:sz w:val="24"/>
              </w:rPr>
              <w:t>（份）</w:t>
            </w:r>
          </w:p>
        </w:tc>
        <w:tc>
          <w:tcPr>
            <w:tcW w:type="dxa" w:w="1548"/>
            <w:vAlign w:val="center"/>
          </w:tcPr>
          <w:p w:rsidP="007C3671" w:rsidR="00EA3F40" w:rsidRDefault="00DE4550" w:rsidRPr="00613409">
            <w:pPr>
              <w:autoSpaceDE w:val="0"/>
              <w:autoSpaceDN w:val="0"/>
              <w:adjustRightInd w:val="0"/>
              <w:spacing w:before="29" w:line="360" w:lineRule="auto"/>
              <w:ind w:left="15"/>
              <w:jc w:val="center"/>
              <w:rPr>
                <w:color w:val="000000"/>
                <w:kern w:val="0"/>
                <w:sz w:val="24"/>
              </w:rPr>
            </w:pPr>
            <w:r w:rsidRPr="00DE4550">
              <w:rPr>
                <w:rFonts w:hint="eastAsia"/>
                <w:color w:val="000000"/>
                <w:kern w:val="0"/>
                <w:sz w:val="24"/>
              </w:rPr>
              <w:t>摊余成本</w:t>
            </w:r>
            <w:r w:rsidR="007C3671" w:rsidRPr="00613409">
              <w:rPr>
                <w:color w:val="000000"/>
                <w:kern w:val="0"/>
                <w:sz w:val="24"/>
              </w:rPr>
              <w:t>（元）</w:t>
            </w:r>
          </w:p>
        </w:tc>
        <w:tc>
          <w:tcPr>
            <w:tcW w:type="dxa" w:w="1548"/>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138159</w:t>
            </w:r>
          </w:p>
        </w:tc>
        <w:tc>
          <w:tcPr>
            <w:vAlign w:val="center"/>
          </w:tcPr>
          <w:p>
            <w:pPr>
              <w:jc w:val="center"/>
            </w:pPr>
            <w:r>
              <w:rPr>
                <w:color w:val="000000"/>
                <w:sz w:val="24"/>
              </w:rPr>
              <w:t>瑞新6A1</w:t>
            </w:r>
          </w:p>
        </w:tc>
        <w:tc>
          <w:tcPr>
            <w:vAlign w:val="center"/>
          </w:tcPr>
          <w:p>
            <w:pPr>
              <w:jc w:val="right"/>
            </w:pPr>
            <w:r>
              <w:rPr>
                <w:color w:val="000000"/>
                <w:sz w:val="24"/>
              </w:rPr>
              <w:t>410,000</w:t>
            </w:r>
          </w:p>
        </w:tc>
        <w:tc>
          <w:tcPr>
            <w:vAlign w:val="center"/>
          </w:tcPr>
          <w:p>
            <w:pPr>
              <w:jc w:val="right"/>
            </w:pPr>
            <w:r>
              <w:rPr>
                <w:color w:val="000000"/>
                <w:sz w:val="24"/>
              </w:rPr>
              <w:t>41,000,000.00</w:t>
            </w:r>
          </w:p>
        </w:tc>
        <w:tc>
          <w:tcPr>
            <w:vAlign w:val="center"/>
          </w:tcPr>
          <w:p>
            <w:pPr>
              <w:jc w:val="right"/>
            </w:pPr>
            <w:r>
              <w:rPr>
                <w:color w:val="000000"/>
                <w:sz w:val="24"/>
              </w:rPr>
              <w:t>0.19</w:t>
            </w:r>
          </w:p>
        </w:tc>
      </w:tr>
      <w:tr>
        <w:tc>
          <w:tcPr>
            <w:vAlign w:val="center"/>
          </w:tcPr>
          <w:p>
            <w:pPr>
              <w:jc w:val="center"/>
            </w:pPr>
            <w:r>
              <w:rPr>
                <w:color w:val="000000"/>
                <w:sz w:val="24"/>
              </w:rPr>
              <w:t>2</w:t>
            </w:r>
          </w:p>
        </w:tc>
        <w:tc>
          <w:tcPr>
            <w:vAlign w:val="center"/>
          </w:tcPr>
          <w:p>
            <w:pPr>
              <w:jc w:val="center"/>
            </w:pPr>
            <w:r>
              <w:rPr>
                <w:color w:val="000000"/>
                <w:sz w:val="24"/>
              </w:rPr>
              <w:t>138265</w:t>
            </w:r>
          </w:p>
        </w:tc>
        <w:tc>
          <w:tcPr>
            <w:vAlign w:val="center"/>
          </w:tcPr>
          <w:p>
            <w:pPr>
              <w:jc w:val="center"/>
            </w:pPr>
            <w:r>
              <w:rPr>
                <w:color w:val="000000"/>
                <w:sz w:val="24"/>
              </w:rPr>
              <w:t>国链16A1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0.14</w:t>
            </w:r>
          </w:p>
        </w:tc>
      </w:tr>
      <w:tr>
        <w:tc>
          <w:tcPr>
            <w:vAlign w:val="center"/>
          </w:tcPr>
          <w:p>
            <w:pPr>
              <w:jc w:val="center"/>
            </w:pPr>
            <w:r>
              <w:rPr>
                <w:color w:val="000000"/>
                <w:sz w:val="24"/>
              </w:rPr>
              <w:t>2</w:t>
            </w:r>
          </w:p>
        </w:tc>
        <w:tc>
          <w:tcPr>
            <w:vAlign w:val="center"/>
          </w:tcPr>
          <w:p>
            <w:pPr>
              <w:jc w:val="center"/>
            </w:pPr>
            <w:r>
              <w:rPr>
                <w:color w:val="000000"/>
                <w:sz w:val="24"/>
              </w:rPr>
              <w:t>138553</w:t>
            </w:r>
          </w:p>
        </w:tc>
        <w:tc>
          <w:tcPr>
            <w:vAlign w:val="center"/>
          </w:tcPr>
          <w:p>
            <w:pPr>
              <w:jc w:val="center"/>
            </w:pPr>
            <w:r>
              <w:rPr>
                <w:color w:val="000000"/>
                <w:sz w:val="24"/>
              </w:rPr>
              <w:t>厚德02A</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0.14</w:t>
            </w:r>
          </w:p>
        </w:tc>
      </w:tr>
      <w:tr>
        <w:tc>
          <w:tcPr>
            <w:vAlign w:val="center"/>
          </w:tcPr>
          <w:p>
            <w:pPr>
              <w:jc w:val="center"/>
            </w:pPr>
            <w:r>
              <w:rPr>
                <w:color w:val="000000"/>
                <w:sz w:val="24"/>
              </w:rPr>
              <w:t>2</w:t>
            </w:r>
          </w:p>
        </w:tc>
        <w:tc>
          <w:tcPr>
            <w:vAlign w:val="center"/>
          </w:tcPr>
          <w:p>
            <w:pPr>
              <w:jc w:val="center"/>
            </w:pPr>
            <w:r>
              <w:rPr>
                <w:color w:val="000000"/>
                <w:sz w:val="24"/>
              </w:rPr>
              <w:t>139926</w:t>
            </w:r>
          </w:p>
        </w:tc>
        <w:tc>
          <w:tcPr>
            <w:vAlign w:val="center"/>
          </w:tcPr>
          <w:p>
            <w:pPr>
              <w:jc w:val="center"/>
            </w:pPr>
            <w:r>
              <w:rPr>
                <w:color w:val="000000"/>
                <w:sz w:val="24"/>
              </w:rPr>
              <w:t>国链12A1</w:t>
            </w:r>
          </w:p>
        </w:tc>
        <w:tc>
          <w:tcPr>
            <w:vAlign w:val="center"/>
          </w:tcPr>
          <w:p>
            <w:pPr>
              <w:jc w:val="right"/>
            </w:pPr>
            <w:r>
              <w:rPr>
                <w:color w:val="000000"/>
                <w:sz w:val="24"/>
              </w:rPr>
              <w:t>300,000</w:t>
            </w:r>
          </w:p>
        </w:tc>
        <w:tc>
          <w:tcPr>
            <w:vAlign w:val="center"/>
          </w:tcPr>
          <w:p>
            <w:pPr>
              <w:jc w:val="right"/>
            </w:pPr>
            <w:r>
              <w:rPr>
                <w:color w:val="000000"/>
                <w:sz w:val="24"/>
              </w:rPr>
              <w:t>30,000,000.00</w:t>
            </w:r>
          </w:p>
        </w:tc>
        <w:tc>
          <w:tcPr>
            <w:vAlign w:val="center"/>
          </w:tcPr>
          <w:p>
            <w:pPr>
              <w:jc w:val="right"/>
            </w:pPr>
            <w:r>
              <w:rPr>
                <w:color w:val="000000"/>
                <w:sz w:val="24"/>
              </w:rPr>
              <w:t>0.14</w:t>
            </w:r>
          </w:p>
        </w:tc>
      </w:tr>
      <w:tr>
        <w:tc>
          <w:tcPr>
            <w:vAlign w:val="center"/>
          </w:tcPr>
          <w:p>
            <w:pPr>
              <w:jc w:val="center"/>
            </w:pPr>
            <w:r>
              <w:rPr>
                <w:color w:val="000000"/>
                <w:sz w:val="24"/>
              </w:rPr>
              <w:t>5</w:t>
            </w:r>
          </w:p>
        </w:tc>
        <w:tc>
          <w:tcPr>
            <w:vAlign w:val="center"/>
          </w:tcPr>
          <w:p>
            <w:pPr>
              <w:jc w:val="center"/>
            </w:pPr>
            <w:r>
              <w:rPr>
                <w:color w:val="000000"/>
                <w:sz w:val="24"/>
              </w:rPr>
              <w:t>138540</w:t>
            </w:r>
          </w:p>
        </w:tc>
        <w:tc>
          <w:tcPr>
            <w:vAlign w:val="center"/>
          </w:tcPr>
          <w:p>
            <w:pPr>
              <w:jc w:val="center"/>
            </w:pPr>
            <w:r>
              <w:rPr>
                <w:color w:val="000000"/>
                <w:sz w:val="24"/>
              </w:rPr>
              <w:t>厚德01A</w:t>
            </w:r>
          </w:p>
        </w:tc>
        <w:tc>
          <w:tcPr>
            <w:vAlign w:val="center"/>
          </w:tcPr>
          <w:p>
            <w:pPr>
              <w:jc w:val="right"/>
            </w:pPr>
            <w:r>
              <w:rPr>
                <w:color w:val="000000"/>
                <w:sz w:val="24"/>
              </w:rPr>
              <w:t>290,000</w:t>
            </w:r>
          </w:p>
        </w:tc>
        <w:tc>
          <w:tcPr>
            <w:vAlign w:val="center"/>
          </w:tcPr>
          <w:p>
            <w:pPr>
              <w:jc w:val="right"/>
            </w:pPr>
            <w:r>
              <w:rPr>
                <w:color w:val="000000"/>
                <w:sz w:val="24"/>
              </w:rPr>
              <w:t>29,000,000.00</w:t>
            </w:r>
          </w:p>
        </w:tc>
        <w:tc>
          <w:tcPr>
            <w:vAlign w:val="center"/>
          </w:tcPr>
          <w:p>
            <w:pPr>
              <w:jc w:val="right"/>
            </w:pPr>
            <w:r>
              <w:rPr>
                <w:color w:val="000000"/>
                <w:sz w:val="24"/>
              </w:rPr>
              <w:t>0.13</w:t>
            </w:r>
          </w:p>
        </w:tc>
      </w:tr>
      <w:tr>
        <w:tc>
          <w:tcPr>
            <w:vAlign w:val="center"/>
          </w:tcPr>
          <w:p>
            <w:pPr>
              <w:jc w:val="center"/>
            </w:pPr>
            <w:r>
              <w:rPr>
                <w:color w:val="000000"/>
                <w:sz w:val="24"/>
              </w:rPr>
              <w:t>5</w:t>
            </w:r>
          </w:p>
        </w:tc>
        <w:tc>
          <w:tcPr>
            <w:vAlign w:val="center"/>
          </w:tcPr>
          <w:p>
            <w:pPr>
              <w:jc w:val="center"/>
            </w:pPr>
            <w:r>
              <w:rPr>
                <w:color w:val="000000"/>
                <w:sz w:val="24"/>
              </w:rPr>
              <w:t>165762</w:t>
            </w:r>
          </w:p>
        </w:tc>
        <w:tc>
          <w:tcPr>
            <w:vAlign w:val="center"/>
          </w:tcPr>
          <w:p>
            <w:pPr>
              <w:jc w:val="center"/>
            </w:pPr>
            <w:r>
              <w:rPr>
                <w:color w:val="000000"/>
                <w:sz w:val="24"/>
              </w:rPr>
              <w:t>聚盈04A</w:t>
            </w:r>
          </w:p>
        </w:tc>
        <w:tc>
          <w:tcPr>
            <w:vAlign w:val="center"/>
          </w:tcPr>
          <w:p>
            <w:pPr>
              <w:jc w:val="right"/>
            </w:pPr>
            <w:r>
              <w:rPr>
                <w:color w:val="000000"/>
                <w:sz w:val="24"/>
              </w:rPr>
              <w:t>290,000</w:t>
            </w:r>
          </w:p>
        </w:tc>
        <w:tc>
          <w:tcPr>
            <w:vAlign w:val="center"/>
          </w:tcPr>
          <w:p>
            <w:pPr>
              <w:jc w:val="right"/>
            </w:pPr>
            <w:r>
              <w:rPr>
                <w:color w:val="000000"/>
                <w:sz w:val="24"/>
              </w:rPr>
              <w:t>29,000,000.00</w:t>
            </w:r>
          </w:p>
        </w:tc>
        <w:tc>
          <w:tcPr>
            <w:vAlign w:val="center"/>
          </w:tcPr>
          <w:p>
            <w:pPr>
              <w:jc w:val="right"/>
            </w:pPr>
            <w:r>
              <w:rPr>
                <w:color w:val="000000"/>
                <w:sz w:val="24"/>
              </w:rPr>
              <w:t>0.13</w:t>
            </w:r>
          </w:p>
        </w:tc>
      </w:tr>
      <w:tr>
        <w:tc>
          <w:tcPr>
            <w:vAlign w:val="center"/>
          </w:tcPr>
          <w:p>
            <w:pPr>
              <w:jc w:val="center"/>
            </w:pPr>
            <w:r>
              <w:rPr>
                <w:color w:val="000000"/>
                <w:sz w:val="24"/>
              </w:rPr>
              <w:t>7</w:t>
            </w:r>
          </w:p>
        </w:tc>
        <w:tc>
          <w:tcPr>
            <w:vAlign w:val="center"/>
          </w:tcPr>
          <w:p>
            <w:pPr>
              <w:jc w:val="center"/>
            </w:pPr>
            <w:r>
              <w:rPr>
                <w:color w:val="000000"/>
                <w:sz w:val="24"/>
              </w:rPr>
              <w:t>139886</w:t>
            </w:r>
          </w:p>
        </w:tc>
        <w:tc>
          <w:tcPr>
            <w:vAlign w:val="center"/>
          </w:tcPr>
          <w:p>
            <w:pPr>
              <w:jc w:val="center"/>
            </w:pPr>
            <w:r>
              <w:rPr>
                <w:color w:val="000000"/>
                <w:sz w:val="24"/>
              </w:rPr>
              <w:t>永熙优11</w:t>
            </w:r>
          </w:p>
        </w:tc>
        <w:tc>
          <w:tcPr>
            <w:vAlign w:val="center"/>
          </w:tcPr>
          <w:p>
            <w:pPr>
              <w:jc w:val="right"/>
            </w:pPr>
            <w:r>
              <w:rPr>
                <w:color w:val="000000"/>
                <w:sz w:val="24"/>
              </w:rPr>
              <w:t>270,000</w:t>
            </w:r>
          </w:p>
        </w:tc>
        <w:tc>
          <w:tcPr>
            <w:vAlign w:val="center"/>
          </w:tcPr>
          <w:p>
            <w:pPr>
              <w:jc w:val="right"/>
            </w:pPr>
            <w:r>
              <w:rPr>
                <w:color w:val="000000"/>
                <w:sz w:val="24"/>
              </w:rPr>
              <w:t>27,000,000.00</w:t>
            </w:r>
          </w:p>
        </w:tc>
        <w:tc>
          <w:tcPr>
            <w:vAlign w:val="center"/>
          </w:tcPr>
          <w:p>
            <w:pPr>
              <w:jc w:val="right"/>
            </w:pPr>
            <w:r>
              <w:rPr>
                <w:color w:val="000000"/>
                <w:sz w:val="24"/>
              </w:rPr>
              <w:t>0.13</w:t>
            </w:r>
          </w:p>
        </w:tc>
      </w:tr>
      <w:tr>
        <w:tc>
          <w:tcPr>
            <w:vAlign w:val="center"/>
          </w:tcPr>
          <w:p>
            <w:pPr>
              <w:jc w:val="center"/>
            </w:pPr>
            <w:r>
              <w:rPr>
                <w:color w:val="000000"/>
                <w:sz w:val="24"/>
              </w:rPr>
              <w:t>8</w:t>
            </w:r>
          </w:p>
        </w:tc>
        <w:tc>
          <w:tcPr>
            <w:vAlign w:val="center"/>
          </w:tcPr>
          <w:p>
            <w:pPr>
              <w:jc w:val="center"/>
            </w:pPr>
            <w:r>
              <w:rPr>
                <w:color w:val="000000"/>
                <w:sz w:val="24"/>
              </w:rPr>
              <w:t>138326</w:t>
            </w:r>
          </w:p>
        </w:tc>
        <w:tc>
          <w:tcPr>
            <w:vAlign w:val="center"/>
          </w:tcPr>
          <w:p>
            <w:pPr>
              <w:jc w:val="center"/>
            </w:pPr>
            <w:r>
              <w:rPr>
                <w:color w:val="000000"/>
                <w:sz w:val="24"/>
              </w:rPr>
              <w:t>链融20A1</w:t>
            </w:r>
          </w:p>
        </w:tc>
        <w:tc>
          <w:tcPr>
            <w:vAlign w:val="center"/>
          </w:tcPr>
          <w:p>
            <w:pPr>
              <w:jc w:val="right"/>
            </w:pPr>
            <w:r>
              <w:rPr>
                <w:color w:val="000000"/>
                <w:sz w:val="24"/>
              </w:rPr>
              <w:t>200,000</w:t>
            </w:r>
          </w:p>
        </w:tc>
        <w:tc>
          <w:tcPr>
            <w:vAlign w:val="center"/>
          </w:tcPr>
          <w:p>
            <w:pPr>
              <w:jc w:val="right"/>
            </w:pPr>
            <w:r>
              <w:rPr>
                <w:color w:val="000000"/>
                <w:sz w:val="24"/>
              </w:rPr>
              <w:t>20,005,895.20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138237</w:t>
            </w:r>
          </w:p>
        </w:tc>
        <w:tc>
          <w:tcPr>
            <w:vAlign w:val="center"/>
          </w:tcPr>
          <w:p>
            <w:pPr>
              <w:jc w:val="center"/>
            </w:pPr>
            <w:r>
              <w:rPr>
                <w:color w:val="000000"/>
                <w:sz w:val="24"/>
              </w:rPr>
              <w:t>国链15A1</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138260</w:t>
            </w:r>
          </w:p>
        </w:tc>
        <w:tc>
          <w:tcPr>
            <w:vAlign w:val="center"/>
          </w:tcPr>
          <w:p>
            <w:pPr>
              <w:jc w:val="center"/>
            </w:pPr>
            <w:r>
              <w:rPr>
                <w:color w:val="000000"/>
                <w:sz w:val="24"/>
              </w:rPr>
              <w:t>链融18A1</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138305</w:t>
            </w:r>
          </w:p>
        </w:tc>
        <w:tc>
          <w:tcPr>
            <w:vAlign w:val="center"/>
          </w:tcPr>
          <w:p>
            <w:pPr>
              <w:jc w:val="center"/>
            </w:pPr>
            <w:r>
              <w:rPr>
                <w:color w:val="000000"/>
                <w:sz w:val="24"/>
              </w:rPr>
              <w:t>瑞新9A1</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138351</w:t>
            </w:r>
          </w:p>
        </w:tc>
        <w:tc>
          <w:tcPr>
            <w:vAlign w:val="center"/>
          </w:tcPr>
          <w:p>
            <w:pPr>
              <w:jc w:val="center"/>
            </w:pPr>
            <w:r>
              <w:rPr>
                <w:color w:val="000000"/>
                <w:sz w:val="24"/>
              </w:rPr>
              <w:t>瑞新11A1</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138364</w:t>
            </w:r>
          </w:p>
        </w:tc>
        <w:tc>
          <w:tcPr>
            <w:vAlign w:val="center"/>
          </w:tcPr>
          <w:p>
            <w:pPr>
              <w:jc w:val="center"/>
            </w:pPr>
            <w:r>
              <w:rPr>
                <w:color w:val="000000"/>
                <w:sz w:val="24"/>
              </w:rPr>
              <w:t>南链优03</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138383</w:t>
            </w:r>
          </w:p>
        </w:tc>
        <w:tc>
          <w:tcPr>
            <w:vAlign w:val="center"/>
          </w:tcPr>
          <w:p>
            <w:pPr>
              <w:jc w:val="center"/>
            </w:pPr>
            <w:r>
              <w:rPr>
                <w:color w:val="000000"/>
                <w:sz w:val="24"/>
              </w:rPr>
              <w:t>中交6优A</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138426</w:t>
            </w:r>
          </w:p>
        </w:tc>
        <w:tc>
          <w:tcPr>
            <w:vAlign w:val="center"/>
          </w:tcPr>
          <w:p>
            <w:pPr>
              <w:jc w:val="center"/>
            </w:pPr>
            <w:r>
              <w:rPr>
                <w:color w:val="000000"/>
                <w:sz w:val="24"/>
              </w:rPr>
              <w:t>瑞新13A1</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r>
        <w:tc>
          <w:tcPr>
            <w:vAlign w:val="center"/>
          </w:tcPr>
          <w:p>
            <w:pPr>
              <w:jc w:val="center"/>
            </w:pPr>
            <w:r>
              <w:rPr>
                <w:color w:val="000000"/>
                <w:sz w:val="24"/>
              </w:rPr>
              <w:t>9</w:t>
            </w:r>
          </w:p>
        </w:tc>
        <w:tc>
          <w:tcPr>
            <w:vAlign w:val="center"/>
          </w:tcPr>
          <w:p>
            <w:pPr>
              <w:jc w:val="center"/>
            </w:pPr>
            <w:r>
              <w:rPr>
                <w:color w:val="000000"/>
                <w:sz w:val="24"/>
              </w:rPr>
              <w:t>139943</w:t>
            </w:r>
          </w:p>
        </w:tc>
        <w:tc>
          <w:tcPr>
            <w:vAlign w:val="center"/>
          </w:tcPr>
          <w:p>
            <w:pPr>
              <w:jc w:val="center"/>
            </w:pPr>
            <w:r>
              <w:rPr>
                <w:color w:val="000000"/>
                <w:sz w:val="24"/>
              </w:rPr>
              <w:t>永熙优13</w:t>
            </w:r>
          </w:p>
        </w:tc>
        <w:tc>
          <w:tcPr>
            <w:vAlign w:val="center"/>
          </w:tcPr>
          <w:p>
            <w:pPr>
              <w:jc w:val="right"/>
            </w:pPr>
            <w:r>
              <w:rPr>
                <w:color w:val="000000"/>
                <w:sz w:val="24"/>
              </w:rPr>
              <w:t>200,000</w:t>
            </w:r>
          </w:p>
        </w:tc>
        <w:tc>
          <w:tcPr>
            <w:vAlign w:val="center"/>
          </w:tcPr>
          <w:p>
            <w:pPr>
              <w:jc w:val="right"/>
            </w:pPr>
            <w:r>
              <w:rPr>
                <w:color w:val="000000"/>
                <w:sz w:val="24"/>
              </w:rPr>
              <w:t>20,000,000.00</w:t>
            </w:r>
          </w:p>
        </w:tc>
        <w:tc>
          <w:tcPr>
            <w:vAlign w:val="center"/>
          </w:tcPr>
          <w:p>
            <w:pPr>
              <w:jc w:val="right"/>
            </w:pPr>
            <w:r>
              <w:rPr>
                <w:color w:val="000000"/>
                <w:sz w:val="24"/>
              </w:rPr>
              <w:t>0.09</w:t>
            </w:r>
          </w:p>
        </w:tc>
      </w:tr>
    </w:tbl>
    <w:p w:rsidP="00976A1A" w:rsidR="00EA3F40" w:rsidRDefault="00EA3F40" w:rsidRPr="006662B2">
      <w:pPr>
        <w:spacing w:line="360" w:lineRule="auto"/>
        <w:rPr>
          <w:rFonts w:ascii="宋体" w:cs="Arial"/>
          <w:b/>
          <w:color w:val="000000"/>
          <w:kern w:val="0"/>
          <w:sz w:val="24"/>
        </w:rPr>
      </w:pPr>
      <w:r>
        <w:rPr>
          <w:rFonts w:ascii="宋体" w:cs="Arial"/>
          <w:b/>
          <w:color w:val="000000"/>
          <w:kern w:val="0"/>
          <w:sz w:val="24"/>
        </w:rPr>
        <w:t/>
      </w:r>
      <w:r>
        <w:rPr>
          <w:rFonts w:ascii="宋体" w:cs="Arial" w:hAnsi="宋体"/>
          <w:b/>
          <w:color w:val="000000"/>
          <w:kern w:val="0"/>
          <w:sz w:val="24"/>
        </w:rPr>
        <w:t>5</w:t>
      </w:r>
      <w:r w:rsidRPr="006662B2">
        <w:rPr>
          <w:rFonts w:ascii="宋体" w:cs="Arial" w:hAnsi="宋体"/>
          <w:b/>
          <w:color w:val="000000"/>
          <w:kern w:val="0"/>
          <w:sz w:val="24"/>
        </w:rPr>
        <w:t>.</w:t>
      </w:r>
      <w:r>
        <w:rPr>
          <w:rFonts w:ascii="宋体" w:cs="Arial"/>
          <w:b/>
          <w:color w:val="000000"/>
          <w:kern w:val="0"/>
          <w:sz w:val="24"/>
        </w:rPr>
        <w:t/>
      </w:r>
      <w:r>
        <w:rPr>
          <w:rFonts w:ascii="宋体" w:cs="Arial" w:hAnsi="宋体"/>
          <w:b/>
          <w:color w:val="000000"/>
          <w:kern w:val="0"/>
          <w:sz w:val="24"/>
        </w:rPr>
        <w:t/>
      </w:r>
      <w:r w:rsidR="007A1ACF">
        <w:rPr>
          <w:rFonts w:ascii="宋体" w:cs="Arial" w:hAnsi="宋体" w:hint="eastAsia"/>
          <w:b/>
          <w:color w:val="000000"/>
          <w:kern w:val="0"/>
          <w:sz w:val="24"/>
        </w:rPr>
        <w:t/>
      </w:r>
      <w:r>
        <w:rPr>
          <w:rFonts w:ascii="宋体" w:cs="Arial" w:hAnsi="宋体"/>
          <w:b/>
          <w:color w:val="000000"/>
          <w:kern w:val="0"/>
          <w:sz w:val="24"/>
        </w:rPr>
        <w:t>9</w:t>
      </w:r>
      <w:r w:rsidRPr="006662B2">
        <w:rPr>
          <w:rFonts w:ascii="宋体" w:cs="Arial" w:hAnsi="宋体"/>
          <w:b/>
          <w:color w:val="000000"/>
          <w:kern w:val="0"/>
          <w:sz w:val="24"/>
        </w:rPr>
        <w:t xml:space="preserve"> </w:t>
      </w:r>
      <w:r w:rsidRPr="006662B2">
        <w:rPr>
          <w:rFonts w:ascii="宋体" w:cs="Arial" w:hAnsi="宋体" w:hint="eastAsia"/>
          <w:b/>
          <w:color w:val="000000"/>
          <w:kern w:val="0"/>
          <w:sz w:val="24"/>
        </w:rPr>
        <w:t>投资组合报告附注</w:t>
      </w:r>
    </w:p>
    <w:p w:rsidP="007A1ACF" w:rsidR="007A1ACF" w:rsidRDefault="007A1ACF" w:rsidRPr="007A1ACF">
      <w:pPr>
        <w:spacing w:line="360" w:lineRule="auto"/>
        <w:rPr>
          <w:color w:val="000000"/>
          <w:sz w:val="24"/>
        </w:rPr>
      </w:pPr>
      <w:r w:rsidRPr="007A1ACF">
        <w:rPr>
          <w:color w:val="000000"/>
          <w:sz w:val="24"/>
        </w:rPr>
        <w:t>5.9.1</w:t>
      </w:r>
      <w:r w:rsidRPr="007A1ACF">
        <w:rPr>
          <w:color w:val="000000"/>
          <w:sz w:val="24"/>
        </w:rPr>
        <w:t>基金计价方法说明</w:t>
      </w:r>
    </w:p>
    <w:p>
      <w:pPr>
        <w:spacing w:line="360" w:lineRule="auto"/>
        <w:ind w:firstLine="480" w:firstLineChars="200"/>
        <w:rPr>
          <w:color w:val="000000"/>
          <w:sz w:val="24"/>
        </w:rPr>
      </w:pPr>
      <w:r>
        <w:rPr>
          <w:color w:val="000000"/>
          <w:sz w:val="24"/>
        </w:rPr>
        <w:t>本基金目前投资工具的估值方法如下：</w:t>
      </w:r>
    </w:p>
    <w:p>
      <w:pPr>
        <w:spacing w:line="360" w:lineRule="auto"/>
        <w:ind w:firstLine="480" w:firstLineChars="200"/>
        <w:rPr>
          <w:color w:val="000000"/>
          <w:sz w:val="24"/>
        </w:rPr>
      </w:pPr>
      <w:r>
        <w:rPr>
          <w:color w:val="000000"/>
          <w:sz w:val="24"/>
        </w:rPr>
        <w:t>（1）基金持有的债券（包括票据）购买时采用实际支付价款（包含交易费用）确定初始成本，按实际利率计算其摊余成本及各期利息收入，每日计提收益；</w:t>
      </w:r>
    </w:p>
    <w:p>
      <w:pPr>
        <w:spacing w:line="360" w:lineRule="auto"/>
        <w:ind w:firstLine="480" w:firstLineChars="200"/>
        <w:rPr>
          <w:color w:val="000000"/>
          <w:sz w:val="24"/>
        </w:rPr>
      </w:pPr>
      <w:r>
        <w:rPr>
          <w:color w:val="000000"/>
          <w:sz w:val="24"/>
        </w:rPr>
        <w:t>（2）基金持有的回购以成本列示，按实际利率在实际持有期间内逐日计提利息；合同利率与实际利率差异较小的，也可采用合同利率计算确定利息收入；</w:t>
      </w:r>
    </w:p>
    <w:p>
      <w:pPr>
        <w:spacing w:line="360" w:lineRule="auto"/>
        <w:ind w:firstLine="480" w:firstLineChars="200"/>
        <w:rPr>
          <w:color w:val="000000"/>
          <w:sz w:val="24"/>
        </w:rPr>
      </w:pPr>
      <w:r>
        <w:rPr>
          <w:color w:val="000000"/>
          <w:sz w:val="24"/>
        </w:rPr>
        <w:t>（3）基金持有的银行存款以本金列示，按实际协议利率逐日计提利息。</w:t>
      </w:r>
    </w:p>
    <w:p>
      <w:pPr>
        <w:spacing w:line="360" w:lineRule="auto"/>
        <w:ind w:firstLine="480" w:firstLineChars="200"/>
        <w:rPr>
          <w:color w:val="000000"/>
          <w:sz w:val="24"/>
        </w:rPr>
      </w:pPr>
      <w:r>
        <w:rPr>
          <w:color w:val="000000"/>
          <w:sz w:val="24"/>
        </w:rPr>
        <w:t>如有确凿证据表明按上述方法进行估值不能客观反映其公允价值的，基金管理人可根据具体情况与基金托管人商定后，按最能反映公允价值的方法估值。</w:t>
      </w:r>
    </w:p>
    <w:p w:rsidP="007A1ACF" w:rsidR="007A1ACF" w:rsidRDefault="007A1ACF" w:rsidRPr="007A1ACF">
      <w:pPr>
        <w:spacing w:line="360" w:lineRule="auto"/>
        <w:ind w:firstLine="480" w:firstLineChars="200"/>
        <w:rPr>
          <w:color w:val="000000"/>
          <w:sz w:val="24"/>
        </w:rPr>
      </w:pPr>
      <w:r w:rsidRPr="007A1ACF">
        <w:rPr>
          <w:color w:val="000000"/>
          <w:sz w:val="24"/>
        </w:rPr>
        <w:t>如有新增事项，按国家最新规定估值。</w:t>
      </w:r>
    </w:p>
    <w:p w:rsidP="00613409" w:rsidR="00EA3F40" w:rsidRDefault="007A1ACF" w:rsidRPr="007A1ACF">
      <w:pPr>
        <w:widowControl/>
        <w:spacing w:line="360" w:lineRule="auto"/>
        <w:rPr>
          <w:color w:val="000000"/>
          <w:sz w:val="24"/>
        </w:rPr>
      </w:pPr>
      <w:r w:rsidRPr="007A1ACF">
        <w:rPr>
          <w:color w:val="000000"/>
          <w:sz w:val="24"/>
        </w:rPr>
        <w:t>5.9.2</w:t>
      </w:r>
      <w:r w:rsidR="00D568AA">
        <w:rPr>
          <w:rFonts w:hint="eastAsia"/>
          <w:color w:val="000000"/>
          <w:sz w:val="24"/>
        </w:rPr>
        <w:t xml:space="preserve"> </w:t>
      </w:r>
      <w:r w:rsidRPr="007A1ACF">
        <w:rPr>
          <w:color w:val="000000"/>
          <w:sz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widowControl/>
        <w:spacing w:line="360" w:lineRule="auto"/>
        <w:rPr>
          <w:color w:val="000000"/>
          <w:sz w:val="24"/>
        </w:rPr>
      </w:pPr>
      <w:r>
        <w:rPr>
          <w:color w:val="000000"/>
          <w:sz w:val="24"/>
        </w:rPr>
        <w:t>2019年7月3日，中国银行保险监督管理委员会针对中信银行股份有限公司的如下违法违规行为，作出“没收违法所得33.6677万元，罚款2190万元，合计2223.6677万元”的行政处罚决定：（一）未按规定提供报表且逾期未改正;（二）错报、漏报银行业监管统计资料；（三）未向监管部门报告重要信息系统运营中断事件;（四）信息系统控制存在较大安全漏洞，未做到有效的安全控制;（五）未按企业划型标准将多家企业划分为小微型企业，报送监管数据不真实;（六）向关系人发放信用贷款、向关系人发放担保贷款的条件优于其他借款人同类贷款条件;（七）重大关联交易未按规定审查审批且未向监管部门报告;（八）贷后管理不到位导致贷款资金被挪用;（九）以流动资金贷款名义发放房地产开发贷款;（十）未将房地产企业贷款计入房地产开发贷款科目;（十一）投资同一家银行机构同期非保本理财产品采用风险权重不一致;（十二）购买非保本理财产品签订可提前赎回协议，未准确计量风险加权资产;（十三）未按规定计提资产支持证券业务的风险加权资产。2020年2月20日，北京银保监局对中信银行股份有限公司的如下违法违规行为，作出“责令中信银行股份有限公司改正，并给予合计2020万元罚款”的行政处罚决定：中信银行股份有限公司违规发放土地储备贷款；受托支付不符合监管规定；信托消费贷款业务开展不审慎；流动资金贷款被挪用于股权投资；信贷资金被挪用流入房地产开发公司；个人经营性贷款资金被挪用于购房；非真实转让不良信贷资产；未对融资人交易材料合理性进行必要的审查，资金被用于缴纳土地竞买保证金；违规为房地产开发企业发放流动资金性质融资；签署抽屉协议互投涉房信贷资产腾挪信贷规模；卖出回购信贷资产收益权，实现信贷规模阶段性出表；理财资金违规投向未上市房地产企业股权；理财资金被挪用于支付土地出让价款；违规向资本金不足的房地产开发项目提供融资；并购贷款真实性审核不足，借款人变相用于置换项目公司缴纳的土地出让价款；协助合作机构签署抽屉协议，规避相关监管规定；理财资金实际用于置换项目前期股东支付的土地出让金；违规为房地产企业支付土地购置费用提供融资；违规向四证不全的商业性房地产开发项目提供融资。2020年4月20日，中国银行保险监督管理委员会对中信银行股份有限公司的如下违法违规行为作出罚款160万元的行政处罚决定：中信银行监管标准化数据（EAST）系统数据质量及数据报送存在（一）理财产品数量漏报；（二）信贷资产转让业务漏报；（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2020年4月20日，中国银行保险监督管理委员会对中国银行股份有限公司的如下违法违规行为作出罚款270万元的行政处罚决定：中国银行监管标准化数据（EAST）系统数据质量及数据报送存在（一）理财产品数量漏报；（二）资金交易信息漏报严重；（三）贸易融资业务漏报；（四）分户账明细记录应报未报；（五）分户账账户数据应报未报；（六）关键且应报字段漏报或填报错误。</w:t>
      </w:r>
    </w:p>
    <w:p>
      <w:pPr>
        <w:widowControl/>
        <w:spacing w:line="360" w:lineRule="auto"/>
        <w:rPr>
          <w:color w:val="000000"/>
          <w:sz w:val="24"/>
        </w:rPr>
      </w:pPr>
      <w:r>
        <w:rPr>
          <w:color w:val="000000"/>
          <w:sz w:val="24"/>
        </w:rPr>
        <w:t>2019年8月12日，中国银行保险监督管理委员会上海监管局针对平安银行股份有限公司资金运营中心2017年末至2018年9月信息科技风险管理严重违反审慎经营规则的违法违规事实，作出“责令改正，并处罚款20万元”的行政处罚决定。2020年1 月20日，中国银保监会深圳监管局对平安银行股份有限公司的如下违法违规行为作出罚款720万元的行政处罚决定：1.汽车金融事业部将贷款调查的核心事项委托第三方完成；2.代理保险销售的人员为非商业银行人员；3.汽车消费贷款风险分类结果不能反映真实风险水平；4.个人消费贷款风险分类结果不能反映真实风险水平；5.个人经营性贷款分类结果不能反映真实风险水平；6.汽车消费贷款和汽车抵押贷款贷前调查存在缺失；7.汽车消费及经营贷款审查不到位；8.个人汽车贷款和汽车抵押贷款业务存在同一抵押物重复抵押；9.个别汽车消费贷款和汽车抵押贷款用途管控不力，贷款资金被挪用；10.个人消费贷款及个人经营性贷款用途管控不力，贷款资金被挪用；11.部分个人消费贷款未按要求进行受托支付；12.信用卡现金分期用途管控不力；13.代销产品风险评级结果与合作机构评级结果不一致，未采用较高风险评级的评级结果；14.代销产品底层资产涉及本行非标资产，没有实现代销业务与其他业务的风险隔离；15.“双录”管理审慎性不足，理财销售人员销售话术不当。</w:t>
      </w:r>
    </w:p>
    <w:p>
      <w:pPr>
        <w:widowControl/>
        <w:spacing w:line="360" w:lineRule="auto"/>
        <w:rPr>
          <w:color w:val="000000"/>
          <w:sz w:val="24"/>
        </w:rPr>
      </w:pPr>
      <w:r>
        <w:rPr>
          <w:color w:val="000000"/>
          <w:sz w:val="24"/>
        </w:rPr>
        <w:t>2019年7月25日，中国银行保险监督管理委员会上海监管局针对中国农业银行股份有限公司信用卡中心的如下违法违规行为作出“责令改正，并处罚款20万元”的行政处罚决定：2017年5月至2018年6月在办理部分客户信用卡业务时未遵守总授信额度管理制度的违法违规事实。2020年1月19日，国家税务总局北京市海淀区税务局对中国农业银行股份有限公司未按照规定期限办理纳税申报和报送纳税资料的违法违规事实，作出罚款50万元的行政处罚决定。2020年3月9日，中国银行保险监督管理委员会对中国农业银行股份有限公司的如下违法违规行为作出罚款50万元的行政处罚决定：可回溯制度执行不到位、可回溯基础管理不到位、部分可回溯视频质检结果未反馈给保险公司、可回溯资料不符合监管规定。2020年4月22日，中国银行保险监督管理委员会对中国农业银行股份有限公司的如下违法违规行为作出罚款230万元的行政处罚决定：农业银行监管标准化数据（EAST）系统数据质量及数据报送（一）资金交易信息漏报严重；（二）信贷资产转让业务漏报；（三）贸易融资业务漏报；（四）分户账明细记录应报未报；（五）分户账账户数据应报未报；（六）关键且应报字段漏报或填报错误。2020年4月22日，中国银行保险监督管理委员会对中国农业银行股份有限公司的如下违法违规行为作出罚款200万元的行政处罚决定：（一）“两会一层”境外机构管理履职不到位；（二）国别风险管理不满足监管要求；（三）信贷资金被挪用作保证金；（四）未将集团成员纳入集团客户统一授信管理。</w:t>
      </w:r>
    </w:p>
    <w:p>
      <w:pPr>
        <w:widowControl/>
        <w:spacing w:line="360" w:lineRule="auto"/>
        <w:rPr>
          <w:color w:val="000000"/>
          <w:sz w:val="24"/>
        </w:rPr>
      </w:pPr>
      <w:r>
        <w:rPr>
          <w:color w:val="000000"/>
          <w:sz w:val="24"/>
        </w:rPr>
        <w:t>2019年7月25日，中国银行保险监督管理委员会上海监管局对交通银行股份有限公司太平洋信用卡中心的如下违法违规行为作出“处以责令改正，并处罚款40万元”的行政处罚决定：2017年6月至10月期间在办理部分客户信用卡业务时未遵守总授信额度管理制度。2019年12月27日，中国银行保险监督管理委员会对交通银行股份有限公司如下违法违规行为作出“罚款150万元”的行政处罚：1、授信审批不审慎；2、总行对分支机构管控不力承担管理责任。2020年4月20日，中国银行保险监督管理委员会对交通银行股份有限公司如下违法违规行为作出“罚款260万元”的行政处罚：交通银行监管标准化数据（EAST）系统数据质量及数据报送存在（一）理财产品数量漏报；（二）资金交易信息漏报严重；（三）贸易融资业务漏报；（四）信贷业务担保合同漏报；（五）分户账明细记录应报未报；（六）分户账账户数据应报未报；（七）关键且应报字段漏报或填报错误。</w:t>
      </w:r>
    </w:p>
    <w:p>
      <w:pPr>
        <w:widowControl/>
        <w:spacing w:line="360" w:lineRule="auto"/>
        <w:rPr>
          <w:color w:val="000000"/>
          <w:sz w:val="24"/>
        </w:rPr>
      </w:pPr>
      <w:r>
        <w:rPr>
          <w:color w:val="000000"/>
          <w:sz w:val="24"/>
        </w:rPr>
        <w:t>本基金投资20光大银行CD133、20中信银行CD107、19中国银行CD089、20平安银行CD061、19农业银行CD112、20平安银行CD064、19中国银行CD091、20交通银行CD048的投资决策程序符合公司投资制度的规定。</w:t>
      </w:r>
    </w:p>
    <w:p>
      <w:pPr>
        <w:widowControl/>
        <w:spacing w:line="360" w:lineRule="auto"/>
        <w:rPr>
          <w:color w:val="000000"/>
          <w:sz w:val="24"/>
        </w:rPr>
      </w:pPr>
      <w:r>
        <w:rPr>
          <w:color w:val="000000"/>
          <w:sz w:val="24"/>
        </w:rPr>
        <w:t>除20光大银行CD133、20中信银行CD107、19中国银行CD089、20平安银行CD061、19农业银行CD112、20平安银行CD064、19中国银行CD091、20交通银行CD048外，本基金投资的前十名证券的发行主体本期没有出现被监管部门立案调查，或在报告编制日前一年内受到公开谴责、处罚的情形。</w:t>
      </w:r>
    </w:p>
    <w:p w:rsidP="00976A1A" w:rsidR="00EA3F40" w:rsidRDefault="00EA3F40" w:rsidRPr="007A1ACF">
      <w:pPr>
        <w:spacing w:line="360" w:lineRule="auto"/>
        <w:rPr>
          <w:bCs/>
          <w:sz w:val="24"/>
        </w:rPr>
      </w:pPr>
      <w:r w:rsidRPr="007A1ACF">
        <w:rPr>
          <w:sz w:val="24"/>
        </w:rPr>
        <w:t>5.9.3</w:t>
      </w:r>
      <w:r w:rsidR="00B261EB">
        <w:rPr>
          <w:sz w:val="24"/>
        </w:rPr>
        <w:t>其他</w:t>
      </w:r>
      <w:bookmarkStart w:id="2" w:name="_GoBack"/>
      <w:bookmarkEnd w:id="2"/>
      <w:r w:rsidRPr="007A1ACF">
        <w:rPr>
          <w:sz w:val="24"/>
        </w:rPr>
        <w:t>资产构成</w:t>
      </w:r>
    </w:p>
    <w:tbl>
      <w:tblPr>
        <w:tblW w:type="auto" w:w="0"/>
        <w:tblInd w:type="dxa" w:w="1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0" w:val="00A0"/>
      </w:tblPr>
      <w:tblGrid>
        <w:gridCol w:w="942"/>
        <w:gridCol w:w="3535"/>
        <w:gridCol w:w="4808"/>
      </w:tblGrid>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序号</w:t>
            </w:r>
          </w:p>
        </w:tc>
        <w:tc>
          <w:tcPr>
            <w:tcW w:type="dxa" w:w="3535"/>
            <w:vAlign w:val="center"/>
          </w:tcPr>
          <w:p w:rsidP="00841A22"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名称</w:t>
            </w:r>
          </w:p>
        </w:tc>
        <w:tc>
          <w:tcPr>
            <w:tcW w:type="dxa" w:w="4808"/>
            <w:vAlign w:val="center"/>
          </w:tcPr>
          <w:p w:rsidP="007C3671" w:rsidR="00EA3F40" w:rsidRDefault="00EA3F40" w:rsidRPr="00613409">
            <w:pPr>
              <w:autoSpaceDE w:val="0"/>
              <w:autoSpaceDN w:val="0"/>
              <w:adjustRightInd w:val="0"/>
              <w:spacing w:before="29" w:line="360" w:lineRule="auto"/>
              <w:ind w:left="17"/>
              <w:jc w:val="center"/>
              <w:rPr>
                <w:color w:val="000000"/>
                <w:kern w:val="0"/>
                <w:sz w:val="24"/>
              </w:rPr>
            </w:pPr>
            <w:r w:rsidRPr="00613409">
              <w:rPr>
                <w:color w:val="000000"/>
                <w:kern w:val="0"/>
                <w:sz w:val="24"/>
              </w:rPr>
              <w:t>金额</w:t>
            </w:r>
            <w:r w:rsidR="007C3671" w:rsidRPr="00613409">
              <w:rPr>
                <w:color w:val="000000"/>
                <w:kern w:val="0"/>
                <w:sz w:val="24"/>
              </w:rPr>
              <w:t>（元）</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sz w:val="24"/>
              </w:rPr>
              <w:t>1</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存出保证金</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2</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应收证券清算款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96,399,808.21</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3</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应收利息</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67,968,463.51</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4</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应收申购款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251,053,253.82</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5</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其他应收款</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6</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待摊费用</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7</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其他</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w:t>
            </w:r>
          </w:p>
        </w:tc>
      </w:tr>
      <w:tr w:rsidR="00EA3F40" w:rsidRPr="006662B2" w:rsidTr="00841A22">
        <w:tc>
          <w:tcPr>
            <w:tcW w:type="dxa" w:w="942"/>
            <w:vAlign w:val="center"/>
          </w:tcPr>
          <w:p w:rsidP="00841A22" w:rsidR="00EA3F40" w:rsidRDefault="00EA3F40" w:rsidRPr="00613409">
            <w:pPr>
              <w:autoSpaceDE w:val="0"/>
              <w:autoSpaceDN w:val="0"/>
              <w:adjustRightInd w:val="0"/>
              <w:spacing w:before="29" w:line="360" w:lineRule="auto"/>
              <w:ind w:left="15"/>
              <w:jc w:val="center"/>
              <w:rPr>
                <w:color w:val="000000"/>
                <w:sz w:val="24"/>
              </w:rPr>
            </w:pPr>
            <w:r w:rsidRPr="00613409">
              <w:rPr>
                <w:color w:val="000000"/>
                <w:sz w:val="24"/>
              </w:rPr>
              <w:t>8</w:t>
            </w:r>
          </w:p>
        </w:tc>
        <w:tc>
          <w:tcPr>
            <w:tcW w:type="dxa" w:w="3535"/>
            <w:vAlign w:val="center"/>
          </w:tcPr>
          <w:p w:rsidP="00841A22" w:rsidR="00EA3F40" w:rsidRDefault="00EA3F40" w:rsidRPr="00613409">
            <w:pPr>
              <w:autoSpaceDE w:val="0"/>
              <w:autoSpaceDN w:val="0"/>
              <w:adjustRightInd w:val="0"/>
              <w:spacing w:before="29" w:line="360" w:lineRule="auto"/>
              <w:ind w:left="15"/>
              <w:jc w:val="left"/>
              <w:rPr>
                <w:color w:val="000000"/>
                <w:kern w:val="0"/>
                <w:sz w:val="24"/>
              </w:rPr>
            </w:pPr>
            <w:r w:rsidRPr="00613409">
              <w:rPr>
                <w:color w:val="000000"/>
                <w:kern w:val="0"/>
                <w:sz w:val="24"/>
              </w:rPr>
              <w:t>合计</w:t>
            </w:r>
          </w:p>
        </w:tc>
        <w:tc>
          <w:tcPr>
            <w:tcW w:type="dxa" w:w="4808"/>
            <w:vAlign w:val="center"/>
          </w:tcPr>
          <w:p w:rsidP="00841A22" w:rsidR="00EA3F40" w:rsidRDefault="00EA3F40" w:rsidRPr="00613409">
            <w:pPr>
              <w:autoSpaceDE w:val="0"/>
              <w:autoSpaceDN w:val="0"/>
              <w:adjustRightInd w:val="0"/>
              <w:spacing w:before="29" w:line="360" w:lineRule="auto"/>
              <w:ind w:left="15"/>
              <w:jc w:val="right"/>
              <w:rPr>
                <w:color w:val="000000"/>
                <w:kern w:val="0"/>
                <w:sz w:val="24"/>
              </w:rPr>
            </w:pPr>
            <w:r w:rsidRPr="00613409">
              <w:rPr>
                <w:color w:val="000000"/>
                <w:kern w:val="0"/>
                <w:sz w:val="24"/>
              </w:rPr>
              <w:t>415,421,525.54</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lastRenderedPageBreak/>
        <w:t>§</w:t>
      </w:r>
      <w:r w:rsidRPr="0097021E">
        <w:rPr>
          <w:rFonts w:ascii="宋体" w:cs="Arial" w:hAnsi="宋体"/>
          <w:color w:val="000000"/>
          <w:kern w:val="0"/>
          <w:sz w:val="24"/>
          <w:szCs w:val="24"/>
        </w:rPr>
        <w:t xml:space="preserve">6  </w:t>
      </w:r>
      <w:r w:rsidRPr="0097021E">
        <w:rPr>
          <w:rFonts w:ascii="宋体" w:cs="Arial" w:hAnsi="宋体" w:hint="eastAsia"/>
          <w:color w:val="000000"/>
          <w:kern w:val="0"/>
          <w:sz w:val="24"/>
          <w:szCs w:val="24"/>
        </w:rPr>
        <w:t>开放式基金份额变动</w:t>
      </w:r>
    </w:p>
    <w:p w:rsidP="00196812" w:rsidR="00EA3F40" w:rsidRDefault="00EA3F40" w:rsidRPr="0097021E">
      <w:pPr>
        <w:autoSpaceDE w:val="0"/>
        <w:autoSpaceDN w:val="0"/>
        <w:adjustRightInd w:val="0"/>
        <w:spacing w:before="29" w:line="360" w:lineRule="auto"/>
        <w:ind w:left="15"/>
        <w:jc w:val="right"/>
        <w:rPr>
          <w:rFonts w:ascii="宋体" w:cs="Arial"/>
          <w:color w:val="000000"/>
          <w:kern w:val="0"/>
          <w:sz w:val="24"/>
        </w:rPr>
      </w:pPr>
      <w:r w:rsidRPr="0097021E">
        <w:rPr>
          <w:rFonts w:ascii="宋体" w:cs="Arial" w:hAnsi="宋体" w:hint="eastAsia"/>
          <w:color w:val="000000"/>
          <w:kern w:val="0"/>
          <w:sz w:val="24"/>
        </w:rPr>
        <w:t>单位：份</w:t>
      </w:r>
    </w:p>
    <w:tbl>
      <w:tblPr>
        <w:tblW w:type="dxa" w:w="10084"/>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3279"/>
        <w:gridCol w:w="2268"/>
        <w:gridCol w:w="2268"/>
        <w:gridCol w:w="2269"/>
      </w:tblGrid>
      <w:tr w:rsidR="00EA3F40" w:rsidRPr="0097021E" w:rsidTr="00102307">
        <w:trPr>
          <w:jc w:val="center"/>
        </w:trPr>
        <w:tc>
          <w:tcPr>
            <w:tcW w:type="dxa" w:w="3279"/>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项目</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易方达财富快线货币A</w:t>
            </w:r>
          </w:p>
        </w:tc>
        <w:tc>
          <w:tcPr>
            <w:tcW w:type="dxa" w:w="2268"/>
          </w:tcPr>
          <w:p w:rsidP="00196812"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易方达财富快线货币B</w:t>
            </w:r>
          </w:p>
        </w:tc>
        <w:tc>
          <w:tcPr>
            <w:tcW w:type="dxa" w:w="2269"/>
          </w:tcPr>
          <w:p w:rsidP="003451F3" w:rsidR="00EA3F40" w:rsidRDefault="00EA3F40" w:rsidRPr="00613409">
            <w:pPr>
              <w:autoSpaceDE w:val="0"/>
              <w:autoSpaceDN w:val="0"/>
              <w:adjustRightInd w:val="0"/>
              <w:spacing w:before="29" w:line="360" w:lineRule="auto"/>
              <w:ind w:left="15"/>
              <w:jc w:val="center"/>
              <w:rPr>
                <w:color w:val="000000"/>
                <w:kern w:val="0"/>
                <w:sz w:val="24"/>
              </w:rPr>
            </w:pPr>
            <w:r w:rsidRPr="00613409">
              <w:rPr>
                <w:color w:val="000000"/>
                <w:kern w:val="0"/>
                <w:sz w:val="24"/>
              </w:rPr>
              <w:t/>
            </w:r>
            <w:r w:rsidRPr="00613409">
              <w:rPr>
                <w:sz w:val="24"/>
              </w:rPr>
              <w:t>易方达财富快线货币Y</w:t>
            </w:r>
          </w:p>
        </w:tc>
      </w:tr>
      <w:tr w:rsidR="00EA3F40" w:rsidRPr="0097021E" w:rsidTr="00F56FBC">
        <w:trPr>
          <w:jc w:val="center"/>
        </w:trPr>
        <w:tc>
          <w:tcPr>
            <w:tcW w:type="dxa" w:w="3279"/>
            <w:vAlign w:val="center"/>
          </w:tcPr>
          <w:p w:rsidP="00587524" w:rsidR="00EA3F40" w:rsidRDefault="00EA3F40" w:rsidRPr="00613409">
            <w:pPr>
              <w:autoSpaceDE w:val="0"/>
              <w:autoSpaceDN w:val="0"/>
              <w:adjustRightInd w:val="0"/>
              <w:spacing w:before="29" w:line="360" w:lineRule="auto"/>
              <w:ind w:left="17"/>
              <w:jc w:val="left"/>
              <w:rPr>
                <w:color w:val="000000"/>
                <w:kern w:val="0"/>
                <w:sz w:val="24"/>
              </w:rPr>
            </w:pPr>
            <w:r w:rsidRPr="00613409">
              <w:rPr>
                <w:color w:val="000000"/>
                <w:kern w:val="0"/>
                <w:sz w:val="24"/>
              </w:rPr>
              <w:t>报告期期初基金份额总额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3,175,946,230.63</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4,037,591,920.72</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12,495,780,211.56</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基金总申购份额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10,453,468,790.74</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1,214,616,381.58</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5,187,630,020.03</w:t>
            </w:r>
          </w:p>
        </w:tc>
      </w:tr>
      <w:tr w:rsidR="00EA3F40" w:rsidRPr="0097021E" w:rsidTr="00F56FBC">
        <w:trPr>
          <w:jc w:val="center"/>
        </w:trPr>
        <w:tc>
          <w:tcPr>
            <w:tcW w:type="dxa" w:w="3279"/>
          </w:tcPr>
          <w:p w:rsidP="006B56E1" w:rsidR="00EA3F40" w:rsidRDefault="00EA3F40" w:rsidRPr="00613409">
            <w:pPr>
              <w:adjustRightInd w:val="0"/>
              <w:snapToGrid w:val="0"/>
              <w:spacing w:line="340" w:lineRule="exact"/>
              <w:rPr>
                <w:color w:val="000000"/>
                <w:sz w:val="24"/>
              </w:rPr>
            </w:pPr>
            <w:r w:rsidRPr="00613409">
              <w:rPr>
                <w:color w:val="000000"/>
                <w:kern w:val="0"/>
                <w:sz w:val="24"/>
              </w:rPr>
              <w:t>报告期</w:t>
            </w:r>
            <w:r w:rsidRPr="00613409">
              <w:rPr>
                <w:color w:val="000000"/>
                <w:sz w:val="24"/>
              </w:rPr>
              <w:t>基金总赎回份额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7,490,899,257.14</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874,004,227.97</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6,661,920,213.29</w:t>
            </w:r>
          </w:p>
        </w:tc>
      </w:tr>
      <w:tr w:rsidR="00EA3F40" w:rsidRPr="0097021E" w:rsidTr="00A40052">
        <w:trPr>
          <w:jc w:val="center"/>
        </w:trPr>
        <w:tc>
          <w:tcPr>
            <w:tcW w:type="dxa" w:w="3279"/>
          </w:tcPr>
          <w:p w:rsidP="00587524" w:rsidR="00EA3F40" w:rsidRDefault="00EA3F40" w:rsidRPr="00613409">
            <w:pPr>
              <w:adjustRightInd w:val="0"/>
              <w:snapToGrid w:val="0"/>
              <w:spacing w:line="340" w:lineRule="exact"/>
              <w:rPr>
                <w:color w:val="000000"/>
                <w:sz w:val="24"/>
              </w:rPr>
            </w:pPr>
            <w:r w:rsidRPr="00613409">
              <w:rPr>
                <w:color w:val="000000"/>
                <w:sz w:val="24"/>
              </w:rPr>
              <w:t>报告期期末基金份额总额</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6,138,515,764.23</w:t>
            </w:r>
          </w:p>
        </w:tc>
        <w:tc>
          <w:tcPr>
            <w:tcW w:type="dxa" w:w="2268"/>
            <w:vAlign w:val="center"/>
          </w:tcPr>
          <w:p w:rsidP="00587524"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4,378,204,074.33</w:t>
            </w:r>
          </w:p>
        </w:tc>
        <w:tc>
          <w:tcPr>
            <w:tcW w:type="dxa" w:w="2269"/>
            <w:vAlign w:val="center"/>
          </w:tcPr>
          <w:p w:rsidP="003A1E1E" w:rsidR="00EA3F40" w:rsidRDefault="00EA3F40" w:rsidRPr="00613409">
            <w:pPr>
              <w:autoSpaceDE w:val="0"/>
              <w:autoSpaceDN w:val="0"/>
              <w:adjustRightInd w:val="0"/>
              <w:spacing w:before="29" w:line="360" w:lineRule="auto"/>
              <w:ind w:left="17"/>
              <w:jc w:val="right"/>
              <w:rPr>
                <w:color w:val="000000"/>
                <w:sz w:val="24"/>
              </w:rPr>
            </w:pPr>
            <w:r w:rsidRPr="00613409">
              <w:rPr>
                <w:color w:val="000000"/>
                <w:sz w:val="24"/>
              </w:rPr>
              <w:t>11,021,490,018.30</w:t>
            </w:r>
          </w:p>
        </w:tc>
      </w:tr>
    </w:tbl>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color w:val="000000"/>
          <w:kern w:val="0"/>
          <w:sz w:val="24"/>
          <w:szCs w:val="24"/>
        </w:rPr>
        <w:t/>
      </w:r>
      <w:r w:rsidRPr="0097021E">
        <w:rPr>
          <w:rFonts w:ascii="宋体" w:cs="Arial" w:hAnsi="宋体"/>
          <w:color w:val="000000"/>
          <w:kern w:val="0"/>
          <w:sz w:val="24"/>
          <w:szCs w:val="24"/>
        </w:rPr>
        <w:t/>
      </w:r>
      <w:r w:rsidRPr="0097021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97021E">
        <w:rPr>
          <w:rFonts w:ascii="宋体" w:cs="Arial"/>
          <w:color w:val="000000"/>
          <w:kern w:val="0"/>
          <w:sz w:val="24"/>
          <w:szCs w:val="24"/>
        </w:rPr>
        <w:t>7</w:t>
      </w:r>
      <w:r w:rsidRPr="0097021E">
        <w:rPr>
          <w:rFonts w:ascii="宋体" w:cs="Arial" w:hAnsi="宋体"/>
          <w:color w:val="000000"/>
          <w:kern w:val="0"/>
          <w:sz w:val="24"/>
          <w:szCs w:val="24"/>
        </w:rPr>
        <w:t xml:space="preserve">  </w:t>
      </w:r>
      <w:r w:rsidRPr="00877329">
        <w:rPr>
          <w:rFonts w:ascii="宋体" w:cs="Arial" w:hAnsi="宋体" w:hint="eastAsia"/>
          <w:color w:val="000000"/>
          <w:kern w:val="0"/>
          <w:sz w:val="24"/>
          <w:szCs w:val="24"/>
        </w:rPr>
        <w:t>基金管理人运用固有资金投资本基金交易明细</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本报告期内基金管理人未运用固有资金申购、赎回、买卖本基金份额。</w:t>
      </w:r>
    </w:p>
    <w:p w:rsidP="00E23C1B" w:rsidR="00EA3F40" w:rsidRDefault="00EA3F40" w:rsidRPr="0097021E">
      <w:pPr>
        <w:pStyle w:val="1"/>
        <w:spacing w:after="312" w:afterLines="100" w:before="312" w:beforeLines="100" w:line="360" w:lineRule="auto"/>
        <w:jc w:val="center"/>
        <w:rPr>
          <w:rFonts w:ascii="宋体" w:cs="Arial"/>
          <w:color w:val="000000"/>
          <w:kern w:val="0"/>
          <w:sz w:val="24"/>
          <w:szCs w:val="24"/>
        </w:rPr>
      </w:pPr>
      <w:r w:rsidRPr="0097021E">
        <w:rPr>
          <w:rFonts w:ascii="宋体" w:cs="Arial" w:hAnsi="宋体" w:hint="eastAsia"/>
          <w:color w:val="000000"/>
          <w:kern w:val="0"/>
          <w:sz w:val="24"/>
          <w:szCs w:val="24"/>
        </w:rPr>
        <w:t>§</w:t>
      </w:r>
      <w:r w:rsidRPr="0097021E">
        <w:rPr>
          <w:rFonts w:ascii="宋体" w:cs="Arial"/>
          <w:color w:val="000000"/>
          <w:kern w:val="0"/>
          <w:sz w:val="24"/>
          <w:szCs w:val="24"/>
        </w:rPr>
        <w:t/>
      </w:r>
      <w:r w:rsidRPr="0097021E">
        <w:rPr>
          <w:rFonts w:ascii="宋体" w:cs="Arial" w:hAnsi="宋体"/>
          <w:color w:val="000000"/>
          <w:kern w:val="0"/>
          <w:sz w:val="24"/>
          <w:szCs w:val="24"/>
        </w:rPr>
        <w:t xml:space="preserve">8  </w:t>
      </w:r>
      <w:r w:rsidRPr="0097021E">
        <w:rPr>
          <w:rFonts w:ascii="宋体" w:cs="Arial" w:hAnsi="宋体" w:hint="eastAsia"/>
          <w:color w:val="000000"/>
          <w:kern w:val="0"/>
          <w:sz w:val="24"/>
          <w:szCs w:val="24"/>
        </w:rPr>
        <w:t>备查文件目录</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.1 </w:t>
      </w:r>
      <w:r w:rsidRPr="0097021E">
        <w:rPr>
          <w:rFonts w:ascii="宋体" w:hAnsi="宋体" w:hint="eastAsia"/>
          <w:b/>
          <w:bCs/>
          <w:color w:val="000000"/>
          <w:kern w:val="0"/>
          <w:sz w:val="24"/>
        </w:rPr>
        <w:t>备查文件目录</w:t>
      </w:r>
    </w:p>
    <w:p>
      <w:pPr>
        <w:adjustRightInd w:val="0"/>
        <w:spacing w:line="360" w:lineRule="auto"/>
        <w:ind w:firstLine="480" w:firstLineChars="200"/>
        <w:rPr>
          <w:color w:val="000000"/>
          <w:sz w:val="24"/>
        </w:rPr>
      </w:pPr>
      <w:r>
        <w:rPr>
          <w:color w:val="000000"/>
          <w:sz w:val="24"/>
        </w:rPr>
        <w:t>1.中国证监会核准易方达财富快线货币市场基金募集的文件；</w:t>
      </w:r>
    </w:p>
    <w:p>
      <w:pPr>
        <w:adjustRightInd w:val="0"/>
        <w:spacing w:line="360" w:lineRule="auto"/>
        <w:ind w:firstLine="480" w:firstLineChars="200"/>
        <w:rPr>
          <w:color w:val="000000"/>
          <w:sz w:val="24"/>
        </w:rPr>
      </w:pPr>
      <w:r>
        <w:rPr>
          <w:color w:val="000000"/>
          <w:sz w:val="24"/>
        </w:rPr>
        <w:t>2.《易方达财富快线货币市场基金基金合同》；</w:t>
      </w:r>
    </w:p>
    <w:p>
      <w:pPr>
        <w:adjustRightInd w:val="0"/>
        <w:spacing w:line="360" w:lineRule="auto"/>
        <w:ind w:firstLine="480" w:firstLineChars="200"/>
        <w:rPr>
          <w:color w:val="000000"/>
          <w:sz w:val="24"/>
        </w:rPr>
      </w:pPr>
      <w:r>
        <w:rPr>
          <w:color w:val="000000"/>
          <w:sz w:val="24"/>
        </w:rPr>
        <w:t>3.《易方达财富快线货币市场基金托管协议》；</w:t>
      </w:r>
    </w:p>
    <w:p>
      <w:pPr>
        <w:adjustRightInd w:val="0"/>
        <w:spacing w:line="360" w:lineRule="auto"/>
        <w:ind w:firstLine="480" w:firstLineChars="200"/>
        <w:rPr>
          <w:color w:val="000000"/>
          <w:sz w:val="24"/>
        </w:rPr>
      </w:pPr>
      <w:r>
        <w:rPr>
          <w:color w:val="000000"/>
          <w:sz w:val="24"/>
        </w:rPr>
        <w:t>4.《易方达基金管理有限公司开放式基金业务规则》；</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5.基金管理人业务资格批件、营业执照。</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.2 </w:t>
      </w:r>
      <w:r w:rsidRPr="0097021E">
        <w:rPr>
          <w:rFonts w:ascii="宋体" w:hAnsi="宋体" w:hint="eastAsia"/>
          <w:b/>
          <w:bCs/>
          <w:color w:val="000000"/>
          <w:kern w:val="0"/>
          <w:sz w:val="24"/>
        </w:rPr>
        <w:t>存放地点</w:t>
      </w:r>
    </w:p>
    <w:p w:rsidP="00613409" w:rsidR="00EA3F40" w:rsidRDefault="00EA3F40" w:rsidRPr="00613409">
      <w:pPr>
        <w:adjustRightInd w:val="0"/>
        <w:spacing w:line="360" w:lineRule="auto"/>
        <w:ind w:firstLine="480" w:firstLineChars="200"/>
        <w:rPr>
          <w:color w:val="000000"/>
          <w:sz w:val="24"/>
        </w:rPr>
      </w:pPr>
      <w:r w:rsidRPr="001752C7">
        <w:rPr>
          <w:color w:val="000000"/>
          <w:sz w:val="24"/>
        </w:rPr>
        <w:t>广州市天河区珠江新城珠江东路30号广州银行大厦40-43楼。</w:t>
      </w:r>
    </w:p>
    <w:p w:rsidP="00394BC1" w:rsidR="00EA3F40" w:rsidRDefault="00EA3F40" w:rsidRPr="0097021E">
      <w:pPr>
        <w:autoSpaceDE w:val="0"/>
        <w:autoSpaceDN w:val="0"/>
        <w:adjustRightInd w:val="0"/>
        <w:spacing w:line="360" w:lineRule="auto"/>
        <w:jc w:val="left"/>
        <w:rPr>
          <w:rFonts w:ascii="宋体"/>
          <w:b/>
          <w:bCs/>
          <w:color w:val="000000"/>
          <w:kern w:val="0"/>
          <w:sz w:val="24"/>
        </w:rPr>
      </w:pPr>
      <w:r w:rsidRPr="0097021E">
        <w:rPr>
          <w:rFonts w:ascii="宋体" w:cs="Arial"/>
          <w:b/>
          <w:color w:val="000000"/>
          <w:kern w:val="0"/>
          <w:sz w:val="24"/>
        </w:rPr>
        <w:t/>
      </w:r>
      <w:r w:rsidRPr="0097021E">
        <w:rPr>
          <w:rFonts w:ascii="宋体" w:cs="Arial" w:hAnsi="宋体"/>
          <w:b/>
          <w:color w:val="000000"/>
          <w:kern w:val="0"/>
          <w:sz w:val="24"/>
        </w:rPr>
        <w:t>8</w:t>
      </w:r>
      <w:r w:rsidRPr="0097021E">
        <w:rPr>
          <w:rFonts w:ascii="宋体" w:hAnsi="宋体"/>
          <w:b/>
          <w:bCs/>
          <w:color w:val="000000"/>
          <w:kern w:val="0"/>
          <w:sz w:val="24"/>
        </w:rPr>
        <w:t xml:space="preserve">.3 </w:t>
      </w:r>
      <w:r w:rsidRPr="0097021E">
        <w:rPr>
          <w:rFonts w:ascii="宋体" w:hAnsi="宋体" w:hint="eastAsia"/>
          <w:b/>
          <w:bCs/>
          <w:color w:val="000000"/>
          <w:kern w:val="0"/>
          <w:sz w:val="24"/>
        </w:rPr>
        <w:t>查阅方式</w:t>
      </w:r>
    </w:p>
    <w:p w:rsidP="001752C7" w:rsidR="00EA3F40" w:rsidRDefault="00EA3F40" w:rsidRPr="001752C7">
      <w:pPr>
        <w:adjustRightInd w:val="0"/>
        <w:spacing w:line="360" w:lineRule="auto"/>
        <w:ind w:firstLine="480" w:firstLineChars="200"/>
        <w:rPr>
          <w:color w:val="000000"/>
          <w:sz w:val="24"/>
        </w:rPr>
      </w:pPr>
      <w:r w:rsidRPr="001752C7">
        <w:rPr>
          <w:color w:val="000000"/>
          <w:sz w:val="24"/>
        </w:rPr>
        <w:t>投资者可在营业时间免费查阅，也可按工本费购买复印件。</w:t>
      </w: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9216A0" w:rsidR="00EA3F40" w:rsidRDefault="00EA3F40">
      <w:pPr>
        <w:spacing w:line="360" w:lineRule="auto"/>
        <w:ind w:firstLine="480" w:firstLineChars="200"/>
        <w:rPr>
          <w:rFonts w:ascii="宋体"/>
          <w:color w:val="000000"/>
          <w:sz w:val="24"/>
        </w:rPr>
      </w:pPr>
    </w:p>
    <w:p w:rsidP="00196812" w:rsidR="00EA3F40" w:rsidRDefault="00EA3F40" w:rsidRPr="0097021E">
      <w:pPr>
        <w:spacing w:line="360" w:lineRule="auto"/>
        <w:ind w:left="840"/>
        <w:jc w:val="right"/>
        <w:rPr>
          <w:rFonts w:ascii="宋体"/>
          <w:color w:val="000000"/>
          <w:sz w:val="24"/>
        </w:rPr>
      </w:pPr>
    </w:p>
    <w:p w:rsidP="00394BC1" w:rsidR="00EA3F40" w:rsidRDefault="00EA3F40" w:rsidRPr="0097021E">
      <w:pPr>
        <w:spacing w:line="360" w:lineRule="auto"/>
        <w:jc w:val="right"/>
        <w:rPr>
          <w:rFonts w:ascii="宋体" w:hAnsi="宋体"/>
          <w:b/>
          <w:bCs/>
          <w:sz w:val="24"/>
        </w:rPr>
      </w:pPr>
      <w:r w:rsidRPr="0097021E">
        <w:rPr>
          <w:rFonts w:ascii="宋体"/>
          <w:b/>
          <w:bCs/>
          <w:sz w:val="24"/>
        </w:rPr>
        <w:t/>
      </w:r>
      <w:r w:rsidRPr="0097021E">
        <w:rPr>
          <w:rFonts w:ascii="宋体" w:hAnsi="宋体"/>
          <w:b/>
          <w:bCs/>
          <w:sz w:val="24"/>
        </w:rPr>
        <w:t>易方达基金管理有限公司</w:t>
      </w:r>
    </w:p>
    <w:p w:rsidP="00394BC1" w:rsidR="00EA3F40" w:rsidRDefault="00EA3F40" w:rsidRPr="0097021E">
      <w:pPr>
        <w:spacing w:line="360" w:lineRule="auto"/>
        <w:jc w:val="right"/>
        <w:rPr>
          <w:rFonts w:ascii="宋体" w:hAnsi="宋体"/>
          <w:b/>
          <w:bCs/>
          <w:sz w:val="24"/>
        </w:rPr>
      </w:pPr>
      <w:r w:rsidRPr="0097021E">
        <w:rPr>
          <w:rFonts w:ascii="宋体" w:hAnsi="宋体"/>
          <w:b/>
          <w:bCs/>
          <w:sz w:val="24"/>
        </w:rPr>
        <w:t>二〇二〇年七月二十一日</w:t>
      </w:r>
    </w:p>
    <w:sectPr w:rsidR="00EA3F40" w:rsidRPr="0097021E" w:rsidSect="00075BBB">
      <w:pgSz w:h="15840" w:w="11926"/>
      <w:pgMar w:bottom="852" w:footer="992" w:gutter="0" w:header="851" w:left="1420" w:right="1420" w:top="1420"/>
      <w:cols w:space="720"/>
      <w:noEndnote/>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95B" w:rsidRDefault="0038195B">
      <w:r>
        <w:separator/>
      </w:r>
    </w:p>
  </w:endnote>
  <w:endnote w:type="continuationSeparator" w:id="0">
    <w:p w:rsidR="0038195B" w:rsidRDefault="00381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D0DB0" w:rsidR="00FC1146" w:rsidRDefault="00FC1146" w:rsidRPr="001D0DB0">
    <w:pPr>
      <w:pStyle w:val="a5"/>
      <w:jc w:val="center"/>
    </w:pPr>
    <w:r>
      <w:rPr>
        <w:rFonts w:hint="eastAsia"/>
        <w:szCs w:val="21"/>
      </w:rPr>
      <w:t>第</w:t>
    </w:r>
    <w:r>
      <w:rPr>
        <w:szCs w:val="21"/>
      </w:rPr>
      <w:fldChar w:fldCharType="begin"/>
    </w:r>
    <w:r>
      <w:rPr>
        <w:szCs w:val="21"/>
      </w:rPr>
      <w:instrText xml:space="preserve"> PAGE </w:instrText>
    </w:r>
    <w:r>
      <w:rPr>
        <w:szCs w:val="21"/>
      </w:rPr>
      <w:fldChar w:fldCharType="separate"/>
    </w:r>
    <w:r w:rsidR="00B261EB">
      <w:rPr>
        <w:noProof/>
        <w:szCs w:val="21"/>
      </w:rPr>
      <w:t>21</w:t>
    </w:r>
    <w:r>
      <w:rPr>
        <w:szCs w:val="21"/>
      </w:rPr>
      <w:fldChar w:fldCharType="end"/>
    </w:r>
    <w:r>
      <w:rPr>
        <w:rFonts w:hint="eastAsia"/>
        <w:szCs w:val="21"/>
      </w:rPr>
      <w:t>页共</w:t>
    </w:r>
    <w:r>
      <w:rPr>
        <w:szCs w:val="21"/>
      </w:rPr>
      <w:fldChar w:fldCharType="begin"/>
    </w:r>
    <w:r>
      <w:rPr>
        <w:szCs w:val="21"/>
      </w:rPr>
      <w:instrText xml:space="preserve"> NUMPAGES </w:instrText>
    </w:r>
    <w:r>
      <w:rPr>
        <w:szCs w:val="21"/>
      </w:rPr>
      <w:fldChar w:fldCharType="separate"/>
    </w:r>
    <w:r w:rsidR="00B261EB">
      <w:rPr>
        <w:noProof/>
        <w:szCs w:val="21"/>
      </w:rPr>
      <w:t>28</w:t>
    </w:r>
    <w:r>
      <w:rPr>
        <w:szCs w:val="21"/>
      </w:rPr>
      <w:fldChar w:fldCharType="end"/>
    </w:r>
    <w:r>
      <w:rPr>
        <w:rFonts w:hint="eastAsia"/>
        <w:szCs w:val="21"/>
      </w:rPr>
      <w:t>页</w:t>
    </w: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38195B" w:rsidRDefault="0038195B">
      <w:r>
        <w:separator/>
      </w:r>
    </w:p>
  </w:footnote>
  <w:footnote w:id="0" w:type="continuationSeparator">
    <w:p w:rsidR="0038195B" w:rsidRDefault="0038195B">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8379E2" w:rsidR="00FC1146" w:rsidRDefault="00FC1146" w:rsidRPr="00936106">
    <w:pPr>
      <w:pStyle w:val="a4"/>
      <w:pBdr>
        <w:bottom w:color="auto" w:space="0" w:sz="6" w:val="single"/>
      </w:pBdr>
      <w:jc w:val="right"/>
      <w:rPr>
        <w:sz w:val="15"/>
      </w:rPr>
    </w:pPr>
    <w:r w:rsidRPr="00936106">
      <w:rPr>
        <w:szCs w:val="21"/>
      </w:rPr>
      <w:t>易方达财富快线货币市场基金2020年第2季度报告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E125ACF"/>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abstractNum w:abstractNumId="1">
    <w:nsid w:val="76E15721"/>
    <w:multiLevelType w:val="hybridMultilevel"/>
    <w:tmpl w:val="A1BADB72"/>
    <w:lvl w:ilvl="0" w:tplc="1694A2F2">
      <w:start w:val="1"/>
      <w:numFmt w:val="decimal"/>
      <w:lvlText w:val="%1、"/>
      <w:lvlJc w:val="left"/>
      <w:pPr>
        <w:tabs>
          <w:tab w:pos="830" w:val="num"/>
        </w:tabs>
        <w:ind w:hanging="360" w:left="830"/>
      </w:pPr>
      <w:rPr>
        <w:rFonts w:ascii="宋体" w:cs="Times New Roman" w:hint="default"/>
        <w:color w:val="auto"/>
      </w:rPr>
    </w:lvl>
    <w:lvl w:ilvl="1" w:tentative="1" w:tplc="04090019">
      <w:start w:val="1"/>
      <w:numFmt w:val="lowerLetter"/>
      <w:lvlText w:val="%2)"/>
      <w:lvlJc w:val="left"/>
      <w:pPr>
        <w:tabs>
          <w:tab w:pos="1310" w:val="num"/>
        </w:tabs>
        <w:ind w:hanging="420" w:left="1310"/>
      </w:pPr>
      <w:rPr>
        <w:rFonts w:cs="Times New Roman"/>
      </w:rPr>
    </w:lvl>
    <w:lvl w:ilvl="2" w:tentative="1" w:tplc="0409001B">
      <w:start w:val="1"/>
      <w:numFmt w:val="lowerRoman"/>
      <w:lvlText w:val="%3."/>
      <w:lvlJc w:val="right"/>
      <w:pPr>
        <w:tabs>
          <w:tab w:pos="1730" w:val="num"/>
        </w:tabs>
        <w:ind w:hanging="420" w:left="1730"/>
      </w:pPr>
      <w:rPr>
        <w:rFonts w:cs="Times New Roman"/>
      </w:rPr>
    </w:lvl>
    <w:lvl w:ilvl="3" w:tentative="1" w:tplc="0409000F">
      <w:start w:val="1"/>
      <w:numFmt w:val="decimal"/>
      <w:lvlText w:val="%4."/>
      <w:lvlJc w:val="left"/>
      <w:pPr>
        <w:tabs>
          <w:tab w:pos="2150" w:val="num"/>
        </w:tabs>
        <w:ind w:hanging="420" w:left="2150"/>
      </w:pPr>
      <w:rPr>
        <w:rFonts w:cs="Times New Roman"/>
      </w:rPr>
    </w:lvl>
    <w:lvl w:ilvl="4" w:tentative="1" w:tplc="04090019">
      <w:start w:val="1"/>
      <w:numFmt w:val="lowerLetter"/>
      <w:lvlText w:val="%5)"/>
      <w:lvlJc w:val="left"/>
      <w:pPr>
        <w:tabs>
          <w:tab w:pos="2570" w:val="num"/>
        </w:tabs>
        <w:ind w:hanging="420" w:left="2570"/>
      </w:pPr>
      <w:rPr>
        <w:rFonts w:cs="Times New Roman"/>
      </w:rPr>
    </w:lvl>
    <w:lvl w:ilvl="5" w:tentative="1" w:tplc="0409001B">
      <w:start w:val="1"/>
      <w:numFmt w:val="lowerRoman"/>
      <w:lvlText w:val="%6."/>
      <w:lvlJc w:val="right"/>
      <w:pPr>
        <w:tabs>
          <w:tab w:pos="2990" w:val="num"/>
        </w:tabs>
        <w:ind w:hanging="420" w:left="2990"/>
      </w:pPr>
      <w:rPr>
        <w:rFonts w:cs="Times New Roman"/>
      </w:rPr>
    </w:lvl>
    <w:lvl w:ilvl="6" w:tentative="1" w:tplc="0409000F">
      <w:start w:val="1"/>
      <w:numFmt w:val="decimal"/>
      <w:lvlText w:val="%7."/>
      <w:lvlJc w:val="left"/>
      <w:pPr>
        <w:tabs>
          <w:tab w:pos="3410" w:val="num"/>
        </w:tabs>
        <w:ind w:hanging="420" w:left="3410"/>
      </w:pPr>
      <w:rPr>
        <w:rFonts w:cs="Times New Roman"/>
      </w:rPr>
    </w:lvl>
    <w:lvl w:ilvl="7" w:tentative="1" w:tplc="04090019">
      <w:start w:val="1"/>
      <w:numFmt w:val="lowerLetter"/>
      <w:lvlText w:val="%8)"/>
      <w:lvlJc w:val="left"/>
      <w:pPr>
        <w:tabs>
          <w:tab w:pos="3830" w:val="num"/>
        </w:tabs>
        <w:ind w:hanging="420" w:left="3830"/>
      </w:pPr>
      <w:rPr>
        <w:rFonts w:cs="Times New Roman"/>
      </w:rPr>
    </w:lvl>
    <w:lvl w:ilvl="8" w:tentative="1" w:tplc="0409001B">
      <w:start w:val="1"/>
      <w:numFmt w:val="lowerRoman"/>
      <w:lvlText w:val="%9."/>
      <w:lvlJc w:val="right"/>
      <w:pPr>
        <w:tabs>
          <w:tab w:pos="4250" w:val="num"/>
        </w:tabs>
        <w:ind w:hanging="420" w:left="4250"/>
      </w:pPr>
      <w:rPr>
        <w:rFonts w:cs="Times New Roman"/>
      </w:rPr>
    </w:lvl>
  </w:abstractNum>
  <w:num w:numId="1">
    <w:abstractNumId w:val="0"/>
  </w:num>
  <w:num w:numId="2">
    <w:abstractNumId w:val="1"/>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embedSystemFonts/>
  <w:bordersDoNotSurroundHeader/>
  <w:bordersDoNotSurroundFooter/>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zh-CN" w:val="$([{£¥·‘“〈《「『【〔〖〝﹙﹛﹝＄（．［｛￡￥"/>
  <w:noLineBreaksBefore w:lang="zh-CN" w:val="!%),.:;&gt;?]}¢¨°·ˇˉ―‖’”…‰′″›℃∶、。〃〉》」』】〕〗〞︶︺︾﹀﹄﹚﹜﹞！＂％＇），．：；？］｀｜｝～￠"/>
  <w:doNotValidateAgainstSchema/>
  <w:doNotDemarcateInvalidXml/>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283"/>
    <w:rsid w:val="000028CE"/>
    <w:rsid w:val="00004DE7"/>
    <w:rsid w:val="00005433"/>
    <w:rsid w:val="0001552D"/>
    <w:rsid w:val="0001566B"/>
    <w:rsid w:val="000175F5"/>
    <w:rsid w:val="0002085F"/>
    <w:rsid w:val="00025C5D"/>
    <w:rsid w:val="000321E9"/>
    <w:rsid w:val="00034C31"/>
    <w:rsid w:val="00035596"/>
    <w:rsid w:val="000417E0"/>
    <w:rsid w:val="00044724"/>
    <w:rsid w:val="00047661"/>
    <w:rsid w:val="00052CA4"/>
    <w:rsid w:val="00053472"/>
    <w:rsid w:val="00054470"/>
    <w:rsid w:val="0005518A"/>
    <w:rsid w:val="00057D26"/>
    <w:rsid w:val="00063BA4"/>
    <w:rsid w:val="0006697D"/>
    <w:rsid w:val="00067A21"/>
    <w:rsid w:val="00070092"/>
    <w:rsid w:val="0007109E"/>
    <w:rsid w:val="00075BBB"/>
    <w:rsid w:val="00075CA2"/>
    <w:rsid w:val="0007770D"/>
    <w:rsid w:val="00086731"/>
    <w:rsid w:val="000A39AB"/>
    <w:rsid w:val="000A466F"/>
    <w:rsid w:val="000B2044"/>
    <w:rsid w:val="000B2266"/>
    <w:rsid w:val="000C469F"/>
    <w:rsid w:val="000D0F44"/>
    <w:rsid w:val="000D6294"/>
    <w:rsid w:val="000E0F6E"/>
    <w:rsid w:val="000F3C21"/>
    <w:rsid w:val="000F4826"/>
    <w:rsid w:val="000F5947"/>
    <w:rsid w:val="00101278"/>
    <w:rsid w:val="00102307"/>
    <w:rsid w:val="001038EF"/>
    <w:rsid w:val="00103B93"/>
    <w:rsid w:val="001074D6"/>
    <w:rsid w:val="001136E5"/>
    <w:rsid w:val="00113777"/>
    <w:rsid w:val="00114C97"/>
    <w:rsid w:val="00127B62"/>
    <w:rsid w:val="001302DB"/>
    <w:rsid w:val="00157B55"/>
    <w:rsid w:val="00162222"/>
    <w:rsid w:val="001635C7"/>
    <w:rsid w:val="001669F2"/>
    <w:rsid w:val="001752C7"/>
    <w:rsid w:val="0018401C"/>
    <w:rsid w:val="00185622"/>
    <w:rsid w:val="00186667"/>
    <w:rsid w:val="001878B0"/>
    <w:rsid w:val="00191B28"/>
    <w:rsid w:val="00192A36"/>
    <w:rsid w:val="00193BCF"/>
    <w:rsid w:val="00195C6F"/>
    <w:rsid w:val="00196812"/>
    <w:rsid w:val="00197ED0"/>
    <w:rsid w:val="001A2524"/>
    <w:rsid w:val="001B42BE"/>
    <w:rsid w:val="001B72D6"/>
    <w:rsid w:val="001B7CC6"/>
    <w:rsid w:val="001C5D80"/>
    <w:rsid w:val="001D0D4C"/>
    <w:rsid w:val="001D0DB0"/>
    <w:rsid w:val="001D3FAC"/>
    <w:rsid w:val="001D65C8"/>
    <w:rsid w:val="001D6ECD"/>
    <w:rsid w:val="001D75D9"/>
    <w:rsid w:val="001F0286"/>
    <w:rsid w:val="0020640F"/>
    <w:rsid w:val="0021251E"/>
    <w:rsid w:val="00220437"/>
    <w:rsid w:val="002315A5"/>
    <w:rsid w:val="00231F37"/>
    <w:rsid w:val="00232095"/>
    <w:rsid w:val="00233014"/>
    <w:rsid w:val="0024424F"/>
    <w:rsid w:val="002507FE"/>
    <w:rsid w:val="0025157E"/>
    <w:rsid w:val="002525C7"/>
    <w:rsid w:val="00255320"/>
    <w:rsid w:val="002611C3"/>
    <w:rsid w:val="002622E8"/>
    <w:rsid w:val="00264E55"/>
    <w:rsid w:val="00267283"/>
    <w:rsid w:val="00274FAC"/>
    <w:rsid w:val="0027576B"/>
    <w:rsid w:val="002767C1"/>
    <w:rsid w:val="00281E3B"/>
    <w:rsid w:val="00282892"/>
    <w:rsid w:val="00291428"/>
    <w:rsid w:val="002A4B7F"/>
    <w:rsid w:val="002B45A4"/>
    <w:rsid w:val="002B6EAF"/>
    <w:rsid w:val="002C17D5"/>
    <w:rsid w:val="002C308A"/>
    <w:rsid w:val="002D3ADF"/>
    <w:rsid w:val="002D680F"/>
    <w:rsid w:val="002D7BD9"/>
    <w:rsid w:val="002E040C"/>
    <w:rsid w:val="002E0F4A"/>
    <w:rsid w:val="002E41BD"/>
    <w:rsid w:val="002F0E9D"/>
    <w:rsid w:val="002F6539"/>
    <w:rsid w:val="00307062"/>
    <w:rsid w:val="0031055A"/>
    <w:rsid w:val="00311ADA"/>
    <w:rsid w:val="00311AEB"/>
    <w:rsid w:val="00322B07"/>
    <w:rsid w:val="0032323A"/>
    <w:rsid w:val="00323377"/>
    <w:rsid w:val="00327FB0"/>
    <w:rsid w:val="00331FAB"/>
    <w:rsid w:val="0033525E"/>
    <w:rsid w:val="00340292"/>
    <w:rsid w:val="00340456"/>
    <w:rsid w:val="00340C3A"/>
    <w:rsid w:val="00343648"/>
    <w:rsid w:val="00343AF0"/>
    <w:rsid w:val="003451F3"/>
    <w:rsid w:val="00346359"/>
    <w:rsid w:val="00346B82"/>
    <w:rsid w:val="0035022C"/>
    <w:rsid w:val="0035215C"/>
    <w:rsid w:val="00362E2A"/>
    <w:rsid w:val="0036392B"/>
    <w:rsid w:val="00371E26"/>
    <w:rsid w:val="00373AAB"/>
    <w:rsid w:val="0038195B"/>
    <w:rsid w:val="00383631"/>
    <w:rsid w:val="00384942"/>
    <w:rsid w:val="00394BC1"/>
    <w:rsid w:val="003A0EC1"/>
    <w:rsid w:val="003A1E1E"/>
    <w:rsid w:val="003B2989"/>
    <w:rsid w:val="003B36B4"/>
    <w:rsid w:val="003B5756"/>
    <w:rsid w:val="003B6DC6"/>
    <w:rsid w:val="003B7F31"/>
    <w:rsid w:val="003C0E8C"/>
    <w:rsid w:val="003C1137"/>
    <w:rsid w:val="003C38DE"/>
    <w:rsid w:val="003C495A"/>
    <w:rsid w:val="003D1ECF"/>
    <w:rsid w:val="003D21F4"/>
    <w:rsid w:val="003E14FE"/>
    <w:rsid w:val="003E565B"/>
    <w:rsid w:val="003F43EB"/>
    <w:rsid w:val="00402654"/>
    <w:rsid w:val="00403ED2"/>
    <w:rsid w:val="00407CC3"/>
    <w:rsid w:val="00413FA3"/>
    <w:rsid w:val="004250C5"/>
    <w:rsid w:val="00425438"/>
    <w:rsid w:val="00426E31"/>
    <w:rsid w:val="00433C1E"/>
    <w:rsid w:val="004369B0"/>
    <w:rsid w:val="00440828"/>
    <w:rsid w:val="004409FE"/>
    <w:rsid w:val="0044257C"/>
    <w:rsid w:val="0044342F"/>
    <w:rsid w:val="00446474"/>
    <w:rsid w:val="004527E3"/>
    <w:rsid w:val="00452D31"/>
    <w:rsid w:val="00460000"/>
    <w:rsid w:val="00461A70"/>
    <w:rsid w:val="004702DF"/>
    <w:rsid w:val="00470F55"/>
    <w:rsid w:val="00473E10"/>
    <w:rsid w:val="00473EC9"/>
    <w:rsid w:val="00474896"/>
    <w:rsid w:val="004771B9"/>
    <w:rsid w:val="004950A3"/>
    <w:rsid w:val="00496B2E"/>
    <w:rsid w:val="004A0C6B"/>
    <w:rsid w:val="004A2432"/>
    <w:rsid w:val="004A3251"/>
    <w:rsid w:val="004A357E"/>
    <w:rsid w:val="004A46A0"/>
    <w:rsid w:val="004B1C09"/>
    <w:rsid w:val="004C5B7C"/>
    <w:rsid w:val="004D22E1"/>
    <w:rsid w:val="004D581E"/>
    <w:rsid w:val="004D72C7"/>
    <w:rsid w:val="004E041A"/>
    <w:rsid w:val="004E1DC5"/>
    <w:rsid w:val="004E3452"/>
    <w:rsid w:val="004E4E63"/>
    <w:rsid w:val="004F3BE1"/>
    <w:rsid w:val="004F459B"/>
    <w:rsid w:val="00500487"/>
    <w:rsid w:val="00506EF6"/>
    <w:rsid w:val="005141F5"/>
    <w:rsid w:val="0051505A"/>
    <w:rsid w:val="00515166"/>
    <w:rsid w:val="0051578D"/>
    <w:rsid w:val="005212AE"/>
    <w:rsid w:val="00532457"/>
    <w:rsid w:val="00533490"/>
    <w:rsid w:val="0053782E"/>
    <w:rsid w:val="0054464B"/>
    <w:rsid w:val="00546492"/>
    <w:rsid w:val="00546747"/>
    <w:rsid w:val="0054785C"/>
    <w:rsid w:val="00555883"/>
    <w:rsid w:val="00560F94"/>
    <w:rsid w:val="005633AD"/>
    <w:rsid w:val="00564C24"/>
    <w:rsid w:val="00570F8C"/>
    <w:rsid w:val="00575970"/>
    <w:rsid w:val="00582960"/>
    <w:rsid w:val="00587524"/>
    <w:rsid w:val="00592D0A"/>
    <w:rsid w:val="00594DCA"/>
    <w:rsid w:val="00595285"/>
    <w:rsid w:val="005A60B7"/>
    <w:rsid w:val="005B527B"/>
    <w:rsid w:val="005D1572"/>
    <w:rsid w:val="005D1BAF"/>
    <w:rsid w:val="005D21B9"/>
    <w:rsid w:val="005D4E63"/>
    <w:rsid w:val="005D596C"/>
    <w:rsid w:val="005D6807"/>
    <w:rsid w:val="005E05CC"/>
    <w:rsid w:val="005E2087"/>
    <w:rsid w:val="005E4559"/>
    <w:rsid w:val="005E6FA5"/>
    <w:rsid w:val="005F1343"/>
    <w:rsid w:val="005F1712"/>
    <w:rsid w:val="005F17EC"/>
    <w:rsid w:val="005F41D2"/>
    <w:rsid w:val="005F5A09"/>
    <w:rsid w:val="005F668B"/>
    <w:rsid w:val="005F6B28"/>
    <w:rsid w:val="00613327"/>
    <w:rsid w:val="00613409"/>
    <w:rsid w:val="006214E4"/>
    <w:rsid w:val="006254A5"/>
    <w:rsid w:val="006317E8"/>
    <w:rsid w:val="0063302E"/>
    <w:rsid w:val="00633177"/>
    <w:rsid w:val="006331F2"/>
    <w:rsid w:val="00636261"/>
    <w:rsid w:val="00636B17"/>
    <w:rsid w:val="0064191E"/>
    <w:rsid w:val="00664834"/>
    <w:rsid w:val="006662B2"/>
    <w:rsid w:val="00672BEF"/>
    <w:rsid w:val="00673BA5"/>
    <w:rsid w:val="00680A32"/>
    <w:rsid w:val="006911A1"/>
    <w:rsid w:val="006961CC"/>
    <w:rsid w:val="006A1E40"/>
    <w:rsid w:val="006A2D00"/>
    <w:rsid w:val="006B4C67"/>
    <w:rsid w:val="006B56E1"/>
    <w:rsid w:val="006D0BD6"/>
    <w:rsid w:val="006D27DD"/>
    <w:rsid w:val="006D4647"/>
    <w:rsid w:val="006D4C22"/>
    <w:rsid w:val="006E4EB5"/>
    <w:rsid w:val="006F1C55"/>
    <w:rsid w:val="006F3CEE"/>
    <w:rsid w:val="006F622C"/>
    <w:rsid w:val="00705970"/>
    <w:rsid w:val="00707CB2"/>
    <w:rsid w:val="00710487"/>
    <w:rsid w:val="00710B11"/>
    <w:rsid w:val="00714B3D"/>
    <w:rsid w:val="00714FD1"/>
    <w:rsid w:val="007277D1"/>
    <w:rsid w:val="00727EA0"/>
    <w:rsid w:val="00730216"/>
    <w:rsid w:val="0073105A"/>
    <w:rsid w:val="00734B8E"/>
    <w:rsid w:val="00737060"/>
    <w:rsid w:val="00741288"/>
    <w:rsid w:val="0074455F"/>
    <w:rsid w:val="007521F9"/>
    <w:rsid w:val="00756489"/>
    <w:rsid w:val="00756EA2"/>
    <w:rsid w:val="00757F37"/>
    <w:rsid w:val="007600BC"/>
    <w:rsid w:val="00762326"/>
    <w:rsid w:val="00762E87"/>
    <w:rsid w:val="00764CF7"/>
    <w:rsid w:val="007723FD"/>
    <w:rsid w:val="00772687"/>
    <w:rsid w:val="007746B3"/>
    <w:rsid w:val="00774E1E"/>
    <w:rsid w:val="00780252"/>
    <w:rsid w:val="007806BE"/>
    <w:rsid w:val="0078105B"/>
    <w:rsid w:val="00782061"/>
    <w:rsid w:val="00785C32"/>
    <w:rsid w:val="007A1ACF"/>
    <w:rsid w:val="007A339E"/>
    <w:rsid w:val="007A3C26"/>
    <w:rsid w:val="007B082A"/>
    <w:rsid w:val="007B1C3E"/>
    <w:rsid w:val="007C3671"/>
    <w:rsid w:val="007C42E5"/>
    <w:rsid w:val="007C5CCD"/>
    <w:rsid w:val="007C65CB"/>
    <w:rsid w:val="007E0C02"/>
    <w:rsid w:val="007F1DE3"/>
    <w:rsid w:val="007F7BD7"/>
    <w:rsid w:val="008056FA"/>
    <w:rsid w:val="008115B6"/>
    <w:rsid w:val="00812956"/>
    <w:rsid w:val="00813897"/>
    <w:rsid w:val="00814461"/>
    <w:rsid w:val="00823B47"/>
    <w:rsid w:val="00823E09"/>
    <w:rsid w:val="00824D84"/>
    <w:rsid w:val="00825EA5"/>
    <w:rsid w:val="00833555"/>
    <w:rsid w:val="008347B3"/>
    <w:rsid w:val="00834D9F"/>
    <w:rsid w:val="008356E6"/>
    <w:rsid w:val="00835BDD"/>
    <w:rsid w:val="008379E2"/>
    <w:rsid w:val="00841A22"/>
    <w:rsid w:val="00852119"/>
    <w:rsid w:val="0085498E"/>
    <w:rsid w:val="0086245E"/>
    <w:rsid w:val="00870A3C"/>
    <w:rsid w:val="00870FF9"/>
    <w:rsid w:val="00873386"/>
    <w:rsid w:val="00877329"/>
    <w:rsid w:val="00880EE6"/>
    <w:rsid w:val="008821D9"/>
    <w:rsid w:val="00882323"/>
    <w:rsid w:val="00893021"/>
    <w:rsid w:val="008B23BD"/>
    <w:rsid w:val="008C579A"/>
    <w:rsid w:val="008D0A39"/>
    <w:rsid w:val="008D55F2"/>
    <w:rsid w:val="008E4638"/>
    <w:rsid w:val="008E71D2"/>
    <w:rsid w:val="008F44F3"/>
    <w:rsid w:val="009004F7"/>
    <w:rsid w:val="00902E3F"/>
    <w:rsid w:val="00903E98"/>
    <w:rsid w:val="00906C9B"/>
    <w:rsid w:val="00910FB5"/>
    <w:rsid w:val="00911C0E"/>
    <w:rsid w:val="009153D7"/>
    <w:rsid w:val="00917991"/>
    <w:rsid w:val="009216A0"/>
    <w:rsid w:val="009223B5"/>
    <w:rsid w:val="00922A49"/>
    <w:rsid w:val="00934C3D"/>
    <w:rsid w:val="00936106"/>
    <w:rsid w:val="0094213C"/>
    <w:rsid w:val="0094236C"/>
    <w:rsid w:val="00943AFD"/>
    <w:rsid w:val="00950BF5"/>
    <w:rsid w:val="0097021E"/>
    <w:rsid w:val="00971C19"/>
    <w:rsid w:val="00971D35"/>
    <w:rsid w:val="00976A1A"/>
    <w:rsid w:val="0098023C"/>
    <w:rsid w:val="00987902"/>
    <w:rsid w:val="0099296A"/>
    <w:rsid w:val="009965A5"/>
    <w:rsid w:val="009A0BE2"/>
    <w:rsid w:val="009A56D7"/>
    <w:rsid w:val="009A6938"/>
    <w:rsid w:val="009A755D"/>
    <w:rsid w:val="009B15FD"/>
    <w:rsid w:val="009B2693"/>
    <w:rsid w:val="009B3C3F"/>
    <w:rsid w:val="009B73A7"/>
    <w:rsid w:val="009C0C44"/>
    <w:rsid w:val="009C1A42"/>
    <w:rsid w:val="009D60EB"/>
    <w:rsid w:val="009D74FC"/>
    <w:rsid w:val="009E07F4"/>
    <w:rsid w:val="009E2527"/>
    <w:rsid w:val="009E2BAA"/>
    <w:rsid w:val="009E3E0B"/>
    <w:rsid w:val="009F2322"/>
    <w:rsid w:val="009F480F"/>
    <w:rsid w:val="00A01505"/>
    <w:rsid w:val="00A1530B"/>
    <w:rsid w:val="00A16747"/>
    <w:rsid w:val="00A16D78"/>
    <w:rsid w:val="00A24DC0"/>
    <w:rsid w:val="00A333CB"/>
    <w:rsid w:val="00A4003E"/>
    <w:rsid w:val="00A40052"/>
    <w:rsid w:val="00A42A96"/>
    <w:rsid w:val="00A455A0"/>
    <w:rsid w:val="00A50D92"/>
    <w:rsid w:val="00A6166A"/>
    <w:rsid w:val="00A62DD4"/>
    <w:rsid w:val="00A63D5F"/>
    <w:rsid w:val="00A65A66"/>
    <w:rsid w:val="00A7219D"/>
    <w:rsid w:val="00A74DD3"/>
    <w:rsid w:val="00A805BC"/>
    <w:rsid w:val="00A80F9F"/>
    <w:rsid w:val="00A81075"/>
    <w:rsid w:val="00A87550"/>
    <w:rsid w:val="00A91D2A"/>
    <w:rsid w:val="00A95FA9"/>
    <w:rsid w:val="00AA5B03"/>
    <w:rsid w:val="00AA68D4"/>
    <w:rsid w:val="00AB24CA"/>
    <w:rsid w:val="00AB373C"/>
    <w:rsid w:val="00AB5159"/>
    <w:rsid w:val="00AB67DE"/>
    <w:rsid w:val="00AB7D0C"/>
    <w:rsid w:val="00AC2B47"/>
    <w:rsid w:val="00AC3D9E"/>
    <w:rsid w:val="00AC6C3D"/>
    <w:rsid w:val="00AD1ADB"/>
    <w:rsid w:val="00AD6777"/>
    <w:rsid w:val="00AD6BD5"/>
    <w:rsid w:val="00AE17F1"/>
    <w:rsid w:val="00AE27A3"/>
    <w:rsid w:val="00AE2FB9"/>
    <w:rsid w:val="00AE342F"/>
    <w:rsid w:val="00AE4F96"/>
    <w:rsid w:val="00AE6D9A"/>
    <w:rsid w:val="00AE7435"/>
    <w:rsid w:val="00AF2397"/>
    <w:rsid w:val="00AF27F9"/>
    <w:rsid w:val="00AF3D19"/>
    <w:rsid w:val="00B040BC"/>
    <w:rsid w:val="00B0441A"/>
    <w:rsid w:val="00B044FC"/>
    <w:rsid w:val="00B06458"/>
    <w:rsid w:val="00B213AC"/>
    <w:rsid w:val="00B25119"/>
    <w:rsid w:val="00B261EB"/>
    <w:rsid w:val="00B27004"/>
    <w:rsid w:val="00B33F45"/>
    <w:rsid w:val="00B33FA5"/>
    <w:rsid w:val="00B415B8"/>
    <w:rsid w:val="00B420AC"/>
    <w:rsid w:val="00B4354A"/>
    <w:rsid w:val="00B461D8"/>
    <w:rsid w:val="00B54CC5"/>
    <w:rsid w:val="00B60E27"/>
    <w:rsid w:val="00B64D62"/>
    <w:rsid w:val="00B65C2B"/>
    <w:rsid w:val="00B76BBB"/>
    <w:rsid w:val="00B83944"/>
    <w:rsid w:val="00B94B49"/>
    <w:rsid w:val="00BA7AF1"/>
    <w:rsid w:val="00BB03CC"/>
    <w:rsid w:val="00BB252C"/>
    <w:rsid w:val="00BB5126"/>
    <w:rsid w:val="00BB7518"/>
    <w:rsid w:val="00BC0205"/>
    <w:rsid w:val="00BC14F5"/>
    <w:rsid w:val="00BC2146"/>
    <w:rsid w:val="00BD0F36"/>
    <w:rsid w:val="00BD6918"/>
    <w:rsid w:val="00BE1FC8"/>
    <w:rsid w:val="00BE439F"/>
    <w:rsid w:val="00BE5584"/>
    <w:rsid w:val="00BF1111"/>
    <w:rsid w:val="00BF3886"/>
    <w:rsid w:val="00C006E9"/>
    <w:rsid w:val="00C009AF"/>
    <w:rsid w:val="00C0152D"/>
    <w:rsid w:val="00C2005E"/>
    <w:rsid w:val="00C205E4"/>
    <w:rsid w:val="00C2782D"/>
    <w:rsid w:val="00C3040F"/>
    <w:rsid w:val="00C31708"/>
    <w:rsid w:val="00C343F3"/>
    <w:rsid w:val="00C361A1"/>
    <w:rsid w:val="00C36C15"/>
    <w:rsid w:val="00C4213A"/>
    <w:rsid w:val="00C4371A"/>
    <w:rsid w:val="00C4627A"/>
    <w:rsid w:val="00C526E2"/>
    <w:rsid w:val="00C637D1"/>
    <w:rsid w:val="00C640B8"/>
    <w:rsid w:val="00C7033B"/>
    <w:rsid w:val="00C75870"/>
    <w:rsid w:val="00C83157"/>
    <w:rsid w:val="00C91200"/>
    <w:rsid w:val="00C927D5"/>
    <w:rsid w:val="00CA0730"/>
    <w:rsid w:val="00CA1C04"/>
    <w:rsid w:val="00CA3808"/>
    <w:rsid w:val="00CA592F"/>
    <w:rsid w:val="00CA65DD"/>
    <w:rsid w:val="00CB0E8A"/>
    <w:rsid w:val="00CB6152"/>
    <w:rsid w:val="00CC0035"/>
    <w:rsid w:val="00CC05B9"/>
    <w:rsid w:val="00CC3F83"/>
    <w:rsid w:val="00CC40F7"/>
    <w:rsid w:val="00CC57FC"/>
    <w:rsid w:val="00CC7DB0"/>
    <w:rsid w:val="00CD3D1C"/>
    <w:rsid w:val="00CD5F24"/>
    <w:rsid w:val="00CE0E18"/>
    <w:rsid w:val="00CE193A"/>
    <w:rsid w:val="00CE6A71"/>
    <w:rsid w:val="00CF6DF0"/>
    <w:rsid w:val="00CF7A26"/>
    <w:rsid w:val="00CF7E28"/>
    <w:rsid w:val="00D02B35"/>
    <w:rsid w:val="00D06255"/>
    <w:rsid w:val="00D06394"/>
    <w:rsid w:val="00D15D82"/>
    <w:rsid w:val="00D1705E"/>
    <w:rsid w:val="00D25602"/>
    <w:rsid w:val="00D271A9"/>
    <w:rsid w:val="00D30BD3"/>
    <w:rsid w:val="00D33791"/>
    <w:rsid w:val="00D33BA8"/>
    <w:rsid w:val="00D364EB"/>
    <w:rsid w:val="00D40363"/>
    <w:rsid w:val="00D41D32"/>
    <w:rsid w:val="00D451BC"/>
    <w:rsid w:val="00D51E96"/>
    <w:rsid w:val="00D568AA"/>
    <w:rsid w:val="00D568BB"/>
    <w:rsid w:val="00D63B9E"/>
    <w:rsid w:val="00D65D90"/>
    <w:rsid w:val="00D66016"/>
    <w:rsid w:val="00D769BA"/>
    <w:rsid w:val="00D8034F"/>
    <w:rsid w:val="00D81755"/>
    <w:rsid w:val="00D8617C"/>
    <w:rsid w:val="00D87D00"/>
    <w:rsid w:val="00D94E23"/>
    <w:rsid w:val="00DA1983"/>
    <w:rsid w:val="00DA2F1E"/>
    <w:rsid w:val="00DA5831"/>
    <w:rsid w:val="00DB17B8"/>
    <w:rsid w:val="00DB2873"/>
    <w:rsid w:val="00DC4482"/>
    <w:rsid w:val="00DD5028"/>
    <w:rsid w:val="00DD5350"/>
    <w:rsid w:val="00DE38DA"/>
    <w:rsid w:val="00DE4550"/>
    <w:rsid w:val="00DF1198"/>
    <w:rsid w:val="00E009CD"/>
    <w:rsid w:val="00E067CB"/>
    <w:rsid w:val="00E12082"/>
    <w:rsid w:val="00E17870"/>
    <w:rsid w:val="00E21589"/>
    <w:rsid w:val="00E23C1B"/>
    <w:rsid w:val="00E24D9E"/>
    <w:rsid w:val="00E257C8"/>
    <w:rsid w:val="00E26581"/>
    <w:rsid w:val="00E2722E"/>
    <w:rsid w:val="00E325AB"/>
    <w:rsid w:val="00E3447D"/>
    <w:rsid w:val="00E431CE"/>
    <w:rsid w:val="00E445F8"/>
    <w:rsid w:val="00E503E4"/>
    <w:rsid w:val="00E55E02"/>
    <w:rsid w:val="00E571C4"/>
    <w:rsid w:val="00E63B3D"/>
    <w:rsid w:val="00E64479"/>
    <w:rsid w:val="00E67D99"/>
    <w:rsid w:val="00E75556"/>
    <w:rsid w:val="00E75EFA"/>
    <w:rsid w:val="00E76F1F"/>
    <w:rsid w:val="00E80BE2"/>
    <w:rsid w:val="00E8309D"/>
    <w:rsid w:val="00E90A9C"/>
    <w:rsid w:val="00E95356"/>
    <w:rsid w:val="00E966E5"/>
    <w:rsid w:val="00EA3D96"/>
    <w:rsid w:val="00EA3F40"/>
    <w:rsid w:val="00EA6B69"/>
    <w:rsid w:val="00EA6B7B"/>
    <w:rsid w:val="00EB25E4"/>
    <w:rsid w:val="00EB3D8B"/>
    <w:rsid w:val="00EB7416"/>
    <w:rsid w:val="00EC06C6"/>
    <w:rsid w:val="00EC104E"/>
    <w:rsid w:val="00EC4453"/>
    <w:rsid w:val="00ED0D44"/>
    <w:rsid w:val="00ED1B77"/>
    <w:rsid w:val="00ED5511"/>
    <w:rsid w:val="00ED57D1"/>
    <w:rsid w:val="00EE2BF2"/>
    <w:rsid w:val="00EF172D"/>
    <w:rsid w:val="00EF3B7C"/>
    <w:rsid w:val="00EF56FA"/>
    <w:rsid w:val="00EF6216"/>
    <w:rsid w:val="00EF6E42"/>
    <w:rsid w:val="00F0613C"/>
    <w:rsid w:val="00F07CBB"/>
    <w:rsid w:val="00F11244"/>
    <w:rsid w:val="00F14A7B"/>
    <w:rsid w:val="00F1658B"/>
    <w:rsid w:val="00F2540D"/>
    <w:rsid w:val="00F26602"/>
    <w:rsid w:val="00F31380"/>
    <w:rsid w:val="00F333BF"/>
    <w:rsid w:val="00F34499"/>
    <w:rsid w:val="00F406E3"/>
    <w:rsid w:val="00F40C82"/>
    <w:rsid w:val="00F50707"/>
    <w:rsid w:val="00F5114E"/>
    <w:rsid w:val="00F53B1A"/>
    <w:rsid w:val="00F54568"/>
    <w:rsid w:val="00F56FBC"/>
    <w:rsid w:val="00F57249"/>
    <w:rsid w:val="00F62DE3"/>
    <w:rsid w:val="00F77131"/>
    <w:rsid w:val="00F85D7E"/>
    <w:rsid w:val="00FA041A"/>
    <w:rsid w:val="00FA4C13"/>
    <w:rsid w:val="00FA7550"/>
    <w:rsid w:val="00FB345F"/>
    <w:rsid w:val="00FB4DA5"/>
    <w:rsid w:val="00FC1146"/>
    <w:rsid w:val="00FC57A1"/>
    <w:rsid w:val="00FC6D26"/>
    <w:rsid w:val="00FD3820"/>
    <w:rsid w:val="00FE6E6D"/>
    <w:rsid w:val="00FF0DAE"/>
    <w:rsid w:val="00FF3092"/>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header" w:semiHidden="0" w:uiPriority="0" w:unhideWhenUsed="0"/>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33525E"/>
    <w:pPr>
      <w:widowControl w:val="0"/>
      <w:jc w:val="both"/>
    </w:pPr>
    <w:rPr>
      <w:kern w:val="2"/>
      <w:sz w:val="21"/>
      <w:szCs w:val="24"/>
    </w:rPr>
  </w:style>
  <w:style w:styleId="1" w:type="paragraph">
    <w:name w:val="heading 1"/>
    <w:basedOn w:val="a"/>
    <w:next w:val="a"/>
    <w:link w:val="1Char"/>
    <w:uiPriority w:val="99"/>
    <w:qFormat/>
    <w:rsid w:val="00CA65DD"/>
    <w:pPr>
      <w:keepNext/>
      <w:keepLines/>
      <w:spacing w:after="330" w:before="340" w:line="578" w:lineRule="auto"/>
      <w:outlineLvl w:val="0"/>
    </w:pPr>
    <w:rPr>
      <w:b/>
      <w:bCs/>
      <w:kern w:val="44"/>
      <w:sz w:val="44"/>
      <w:szCs w:val="44"/>
    </w:rPr>
  </w:style>
  <w:style w:styleId="2" w:type="paragraph">
    <w:name w:val="heading 2"/>
    <w:basedOn w:val="a"/>
    <w:next w:val="a0"/>
    <w:link w:val="2Char"/>
    <w:uiPriority w:val="9"/>
    <w:qFormat/>
    <w:rsid w:val="009D74FC"/>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CA65DD"/>
    <w:rPr>
      <w:rFonts w:cs="Times New Roman"/>
      <w:b/>
      <w:bCs/>
      <w:kern w:val="44"/>
      <w:sz w:val="44"/>
      <w:szCs w:val="44"/>
    </w:rPr>
  </w:style>
  <w:style w:customStyle="1" w:styleId="2Char" w:type="character">
    <w:name w:val="标题 2 Char"/>
    <w:link w:val="2"/>
    <w:uiPriority w:val="9"/>
    <w:semiHidden/>
    <w:rsid w:val="006F6012"/>
    <w:rPr>
      <w:rFonts w:ascii="Cambria" w:cs="Times New Roman" w:eastAsia="宋体" w:hAnsi="Cambria"/>
      <w:b/>
      <w:bCs/>
      <w:sz w:val="32"/>
      <w:szCs w:val="32"/>
    </w:rPr>
  </w:style>
  <w:style w:styleId="a4" w:type="paragraph">
    <w:name w:val="header"/>
    <w:basedOn w:val="a"/>
    <w:link w:val="Char"/>
    <w:uiPriority w:val="99"/>
    <w:rsid w:val="00613327"/>
    <w:pPr>
      <w:pBdr>
        <w:bottom w:color="auto" w:space="1" w:sz="6" w:val="single"/>
      </w:pBdr>
      <w:tabs>
        <w:tab w:pos="4153" w:val="center"/>
        <w:tab w:pos="8306" w:val="right"/>
      </w:tabs>
      <w:snapToGrid w:val="0"/>
      <w:jc w:val="center"/>
    </w:pPr>
    <w:rPr>
      <w:sz w:val="18"/>
      <w:szCs w:val="18"/>
    </w:rPr>
  </w:style>
  <w:style w:customStyle="1" w:styleId="Char" w:type="character">
    <w:name w:val="页眉 Char"/>
    <w:link w:val="a4"/>
    <w:uiPriority w:val="99"/>
    <w:locked/>
    <w:rsid w:val="008379E2"/>
    <w:rPr>
      <w:rFonts w:cs="Times New Roman"/>
      <w:kern w:val="2"/>
      <w:sz w:val="18"/>
      <w:szCs w:val="18"/>
    </w:rPr>
  </w:style>
  <w:style w:styleId="a5" w:type="paragraph">
    <w:name w:val="footer"/>
    <w:basedOn w:val="a"/>
    <w:link w:val="Char0"/>
    <w:uiPriority w:val="99"/>
    <w:rsid w:val="00613327"/>
    <w:pPr>
      <w:tabs>
        <w:tab w:pos="4153" w:val="center"/>
        <w:tab w:pos="8306" w:val="right"/>
      </w:tabs>
      <w:snapToGrid w:val="0"/>
      <w:jc w:val="left"/>
    </w:pPr>
    <w:rPr>
      <w:kern w:val="0"/>
      <w:sz w:val="18"/>
      <w:szCs w:val="18"/>
    </w:rPr>
  </w:style>
  <w:style w:customStyle="1" w:styleId="Char0" w:type="character">
    <w:name w:val="页脚 Char"/>
    <w:link w:val="a5"/>
    <w:uiPriority w:val="99"/>
    <w:semiHidden/>
    <w:rsid w:val="006F6012"/>
    <w:rPr>
      <w:sz w:val="18"/>
      <w:szCs w:val="18"/>
    </w:rPr>
  </w:style>
  <w:style w:customStyle="1" w:styleId="Char1" w:type="paragraph">
    <w:name w:val="Char"/>
    <w:basedOn w:val="a"/>
    <w:uiPriority w:val="99"/>
    <w:rsid w:val="00186667"/>
  </w:style>
  <w:style w:styleId="20" w:type="paragraph">
    <w:name w:val="Body Text Indent 2"/>
    <w:basedOn w:val="a"/>
    <w:link w:val="2Char0"/>
    <w:uiPriority w:val="99"/>
    <w:rsid w:val="00186667"/>
    <w:pPr>
      <w:spacing w:line="560" w:lineRule="exact"/>
      <w:ind w:firstLine="480" w:firstLineChars="200"/>
    </w:pPr>
    <w:rPr>
      <w:kern w:val="0"/>
      <w:sz w:val="20"/>
    </w:rPr>
  </w:style>
  <w:style w:customStyle="1" w:styleId="2Char0" w:type="character">
    <w:name w:val="正文文本缩进 2 Char"/>
    <w:link w:val="20"/>
    <w:uiPriority w:val="99"/>
    <w:semiHidden/>
    <w:rsid w:val="006F6012"/>
    <w:rPr>
      <w:szCs w:val="24"/>
    </w:rPr>
  </w:style>
  <w:style w:styleId="a6" w:type="paragraph">
    <w:name w:val="Plain Text"/>
    <w:basedOn w:val="a"/>
    <w:link w:val="Char2"/>
    <w:uiPriority w:val="99"/>
    <w:rsid w:val="004771B9"/>
    <w:rPr>
      <w:rFonts w:ascii="宋体" w:hAnsi="Courier New"/>
      <w:szCs w:val="20"/>
    </w:rPr>
  </w:style>
  <w:style w:customStyle="1" w:styleId="Char2" w:type="character">
    <w:name w:val="纯文本 Char"/>
    <w:link w:val="a6"/>
    <w:uiPriority w:val="99"/>
    <w:locked/>
    <w:rsid w:val="00E63B3D"/>
    <w:rPr>
      <w:rFonts w:ascii="宋体" w:hAnsi="Courier New"/>
      <w:kern w:val="2"/>
      <w:sz w:val="21"/>
    </w:rPr>
  </w:style>
  <w:style w:styleId="3" w:type="paragraph">
    <w:name w:val="Body Text Indent 3"/>
    <w:basedOn w:val="a"/>
    <w:link w:val="3Char"/>
    <w:uiPriority w:val="99"/>
    <w:rsid w:val="004771B9"/>
    <w:pPr>
      <w:spacing w:after="120"/>
      <w:ind w:left="420" w:leftChars="200"/>
    </w:pPr>
    <w:rPr>
      <w:kern w:val="0"/>
      <w:sz w:val="16"/>
      <w:szCs w:val="16"/>
    </w:rPr>
  </w:style>
  <w:style w:customStyle="1" w:styleId="3Char" w:type="character">
    <w:name w:val="正文文本缩进 3 Char"/>
    <w:link w:val="3"/>
    <w:uiPriority w:val="99"/>
    <w:semiHidden/>
    <w:rsid w:val="006F6012"/>
    <w:rPr>
      <w:sz w:val="16"/>
      <w:szCs w:val="16"/>
    </w:rPr>
  </w:style>
  <w:style w:styleId="a0" w:type="paragraph">
    <w:name w:val="Normal Indent"/>
    <w:basedOn w:val="a"/>
    <w:uiPriority w:val="99"/>
    <w:rsid w:val="009D74FC"/>
    <w:pPr>
      <w:ind w:firstLine="420" w:firstLineChars="200"/>
    </w:pPr>
  </w:style>
  <w:style w:styleId="a7" w:type="paragraph">
    <w:name w:val="Document Map"/>
    <w:basedOn w:val="a"/>
    <w:link w:val="Char3"/>
    <w:uiPriority w:val="99"/>
    <w:semiHidden/>
    <w:rsid w:val="005212AE"/>
    <w:pPr>
      <w:shd w:color="auto" w:fill="000080" w:val="clear"/>
    </w:pPr>
    <w:rPr>
      <w:kern w:val="0"/>
      <w:sz w:val="0"/>
      <w:szCs w:val="0"/>
    </w:rPr>
  </w:style>
  <w:style w:customStyle="1" w:styleId="Char3" w:type="character">
    <w:name w:val="文档结构图 Char"/>
    <w:link w:val="a7"/>
    <w:uiPriority w:val="99"/>
    <w:semiHidden/>
    <w:rsid w:val="006F6012"/>
    <w:rPr>
      <w:sz w:val="0"/>
      <w:szCs w:val="0"/>
    </w:rPr>
  </w:style>
  <w:style w:styleId="a8" w:type="paragraph">
    <w:name w:val="Balloon Text"/>
    <w:basedOn w:val="a"/>
    <w:link w:val="Char4"/>
    <w:uiPriority w:val="99"/>
    <w:rsid w:val="00E63B3D"/>
    <w:rPr>
      <w:sz w:val="18"/>
      <w:szCs w:val="18"/>
    </w:rPr>
  </w:style>
  <w:style w:customStyle="1" w:styleId="Char4" w:type="character">
    <w:name w:val="批注框文本 Char"/>
    <w:link w:val="a8"/>
    <w:uiPriority w:val="99"/>
    <w:locked/>
    <w:rsid w:val="00E63B3D"/>
    <w:rPr>
      <w:rFonts w:cs="Times New Roman"/>
      <w:kern w:val="2"/>
      <w:sz w:val="18"/>
      <w:szCs w:val="18"/>
    </w:rPr>
  </w:style>
  <w:style w:styleId="a9" w:type="paragraph">
    <w:name w:val="List Paragraph"/>
    <w:basedOn w:val="a"/>
    <w:uiPriority w:val="99"/>
    <w:qFormat/>
    <w:rsid w:val="005F668B"/>
    <w:pPr>
      <w:ind w:firstLine="420" w:firstLineChars="200"/>
    </w:pPr>
  </w:style>
  <w:style w:styleId="aa" w:type="table">
    <w:name w:val="Table Grid"/>
    <w:basedOn w:val="a2"/>
    <w:qFormat/>
    <w:rsid w:val="005A60B7"/>
    <w:tblPr>
      <w:tblInd w:type="dxa" w:w="0"/>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CellMar>
        <w:top w:type="dxa" w:w="0"/>
        <w:left w:type="dxa" w:w="108"/>
        <w:bottom w:type="dxa" w:w="0"/>
        <w:right w:type="dxa" w:w="108"/>
      </w:tblCellMar>
    </w:tblPr>
  </w:style>
  <w:style w:styleId="ab" w:type="paragraph">
    <w:name w:val="Normal (Web)"/>
    <w:basedOn w:val="a"/>
    <w:uiPriority w:val="99"/>
    <w:rsid w:val="008B23BD"/>
    <w:pPr>
      <w:widowControl/>
      <w:spacing w:after="100" w:afterAutospacing="1" w:before="100" w:beforeAutospacing="1"/>
    </w:pPr>
    <w:rPr>
      <w:rFonts w:ascii="宋体" w:hAnsi="宋体"/>
      <w:kern w:val="0"/>
      <w:sz w:val="24"/>
      <w:szCs w:val="20"/>
    </w:rPr>
  </w:style>
  <w:style w:styleId="ac" w:type="paragraph">
    <w:name w:val="Date"/>
    <w:basedOn w:val="a"/>
    <w:next w:val="a"/>
    <w:link w:val="Char5"/>
    <w:uiPriority w:val="99"/>
    <w:rsid w:val="00D66016"/>
    <w:rPr>
      <w:sz w:val="24"/>
      <w:szCs w:val="20"/>
    </w:rPr>
  </w:style>
  <w:style w:customStyle="1" w:styleId="Char5" w:type="character">
    <w:name w:val="日期 Char"/>
    <w:link w:val="ac"/>
    <w:uiPriority w:val="99"/>
    <w:locked/>
    <w:rsid w:val="00D66016"/>
    <w:rPr>
      <w:rFonts w:cs="Times New Roman"/>
      <w:kern w:val="2"/>
      <w:sz w:val="24"/>
    </w:rPr>
  </w:style>
  <w:style w:styleId="ad" w:type="paragraph">
    <w:name w:val="footnote text"/>
    <w:basedOn w:val="a"/>
    <w:link w:val="Char6"/>
    <w:uiPriority w:val="99"/>
    <w:rsid w:val="006B56E1"/>
    <w:pPr>
      <w:snapToGrid w:val="0"/>
      <w:jc w:val="left"/>
    </w:pPr>
    <w:rPr>
      <w:sz w:val="18"/>
      <w:szCs w:val="18"/>
    </w:rPr>
  </w:style>
  <w:style w:customStyle="1" w:styleId="Char6" w:type="character">
    <w:name w:val="脚注文本 Char"/>
    <w:link w:val="ad"/>
    <w:uiPriority w:val="99"/>
    <w:locked/>
    <w:rsid w:val="006B56E1"/>
    <w:rPr>
      <w:rFonts w:cs="Times New Roman"/>
      <w:kern w:val="2"/>
      <w:sz w:val="18"/>
      <w:szCs w:val="18"/>
    </w:rPr>
  </w:style>
  <w:style w:styleId="ae" w:type="character">
    <w:name w:val="footnote reference"/>
    <w:uiPriority w:val="99"/>
    <w:rsid w:val="006B56E1"/>
    <w:rPr>
      <w:rFonts w:cs="Times New Roman"/>
      <w:vertAlign w:val="superscript"/>
    </w:rPr>
  </w:style>
  <w:style w:styleId="af" w:type="character">
    <w:name w:val="Strong"/>
    <w:uiPriority w:val="22"/>
    <w:qFormat/>
    <w:locked/>
    <w:rsid w:val="001136E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71063">
      <w:bodyDiv w:val="1"/>
      <w:marLeft w:val="0"/>
      <w:marRight w:val="0"/>
      <w:marTop w:val="0"/>
      <w:marBottom w:val="0"/>
      <w:divBdr>
        <w:top w:val="none" w:sz="0" w:space="0" w:color="auto"/>
        <w:left w:val="none" w:sz="0" w:space="0" w:color="auto"/>
        <w:bottom w:val="none" w:sz="0" w:space="0" w:color="auto"/>
        <w:right w:val="none" w:sz="0" w:space="0" w:color="auto"/>
      </w:divBdr>
    </w:div>
    <w:div w:id="691616685">
      <w:bodyDiv w:val="1"/>
      <w:marLeft w:val="0"/>
      <w:marRight w:val="0"/>
      <w:marTop w:val="0"/>
      <w:marBottom w:val="0"/>
      <w:divBdr>
        <w:top w:val="none" w:sz="0" w:space="0" w:color="auto"/>
        <w:left w:val="none" w:sz="0" w:space="0" w:color="auto"/>
        <w:bottom w:val="none" w:sz="0" w:space="0" w:color="auto"/>
        <w:right w:val="none" w:sz="0" w:space="0" w:color="auto"/>
      </w:divBdr>
    </w:div>
    <w:div w:id="737367738">
      <w:bodyDiv w:val="1"/>
      <w:marLeft w:val="0"/>
      <w:marRight w:val="0"/>
      <w:marTop w:val="0"/>
      <w:marBottom w:val="0"/>
      <w:divBdr>
        <w:top w:val="none" w:sz="0" w:space="0" w:color="auto"/>
        <w:left w:val="none" w:sz="0" w:space="0" w:color="auto"/>
        <w:bottom w:val="none" w:sz="0" w:space="0" w:color="auto"/>
        <w:right w:val="none" w:sz="0" w:space="0" w:color="auto"/>
      </w:divBdr>
    </w:div>
    <w:div w:id="801459287">
      <w:bodyDiv w:val="1"/>
      <w:marLeft w:val="0"/>
      <w:marRight w:val="0"/>
      <w:marTop w:val="0"/>
      <w:marBottom w:val="0"/>
      <w:divBdr>
        <w:top w:val="none" w:sz="0" w:space="0" w:color="auto"/>
        <w:left w:val="none" w:sz="0" w:space="0" w:color="auto"/>
        <w:bottom w:val="none" w:sz="0" w:space="0" w:color="auto"/>
        <w:right w:val="none" w:sz="0" w:space="0" w:color="auto"/>
      </w:divBdr>
    </w:div>
    <w:div w:id="1718818727">
      <w:marLeft w:val="0"/>
      <w:marRight w:val="0"/>
      <w:marTop w:val="0"/>
      <w:marBottom w:val="0"/>
      <w:divBdr>
        <w:top w:val="none" w:sz="0" w:space="0" w:color="auto"/>
        <w:left w:val="none" w:sz="0" w:space="0" w:color="auto"/>
        <w:bottom w:val="none" w:sz="0" w:space="0" w:color="auto"/>
        <w:right w:val="none" w:sz="0" w:space="0" w:color="auto"/>
      </w:divBdr>
    </w:div>
    <w:div w:id="1718818728">
      <w:marLeft w:val="0"/>
      <w:marRight w:val="0"/>
      <w:marTop w:val="0"/>
      <w:marBottom w:val="0"/>
      <w:divBdr>
        <w:top w:val="none" w:sz="0" w:space="0" w:color="auto"/>
        <w:left w:val="none" w:sz="0" w:space="0" w:color="auto"/>
        <w:bottom w:val="none" w:sz="0" w:space="0" w:color="auto"/>
        <w:right w:val="none" w:sz="0" w:space="0" w:color="auto"/>
      </w:divBdr>
    </w:div>
    <w:div w:id="17188187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media/image3.jpeg" Type="http://schemas.openxmlformats.org/officeDocument/2006/relationships/image"/>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28</Pages>
  <Words>3999</Words>
  <Characters>22796</Characters>
  <Application>Microsoft Office Word</Application>
  <DocSecurity>0</DocSecurity>
  <Lines>189</Lines>
  <Paragraphs>53</Paragraphs>
  <ScaleCrop>false</ScaleCrop>
  <Company>jysld</Company>
  <LinksUpToDate>false</LinksUpToDate>
  <CharactersWithSpaces>26742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2013-12-25T02:47:00Z</dcterms:created>
  <dc:creator>bonnieliu</dc:creator>
  <cp:lastModifiedBy>sirong han</cp:lastModifiedBy>
  <cp:lastPrinted>2009-01-22T10:11:00Z</cp:lastPrinted>
  <dcterms:modified xsi:type="dcterms:W3CDTF">2020-07-09T02:58:00Z</dcterms:modified>
  <cp:revision>95</cp:revision>
</cp:coreProperties>
</file>