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02085F" w:rsidR="00EA3F40" w:rsidRDefault="00EA3F40" w:rsidRPr="0097021E">
      <w:pPr>
        <w:spacing w:line="360" w:lineRule="auto"/>
        <w:jc w:val="center"/>
        <w:rPr>
          <w:rFonts w:ascii="宋体" w:hAnsi="宋体"/>
          <w:b/>
          <w:sz w:val="36"/>
          <w:szCs w:val="36"/>
        </w:rPr>
      </w:pPr>
      <w:r w:rsidRPr="0097021E">
        <w:rPr>
          <w:rFonts w:ascii="宋体"/>
          <w:b/>
          <w:sz w:val="36"/>
          <w:szCs w:val="36"/>
        </w:rPr>
        <w:t/>
      </w:r>
      <w:r w:rsidRPr="0097021E">
        <w:rPr>
          <w:rFonts w:ascii="宋体" w:hAnsi="宋体"/>
          <w:b/>
          <w:sz w:val="36"/>
          <w:szCs w:val="36"/>
        </w:rPr>
        <w:t>易方达现金增利货币市场基金</w:t>
      </w:r>
    </w:p>
    <w:p w:rsidP="0002085F" w:rsidR="00EA3F40" w:rsidRDefault="00EA3F40" w:rsidRPr="0097021E">
      <w:pPr>
        <w:spacing w:line="360" w:lineRule="auto"/>
        <w:jc w:val="center"/>
        <w:rPr>
          <w:rFonts w:ascii="宋体" w:hAnsi="宋体"/>
          <w:b/>
          <w:sz w:val="36"/>
          <w:szCs w:val="36"/>
        </w:rPr>
      </w:pPr>
      <w:r w:rsidRPr="0097021E">
        <w:rPr>
          <w:rFonts w:ascii="宋体" w:hAnsi="宋体"/>
          <w:b/>
          <w:sz w:val="36"/>
          <w:szCs w:val="36"/>
        </w:rPr>
        <w:t>2020年第2季度报告</w:t>
      </w:r>
    </w:p>
    <w:p w:rsidP="0002085F" w:rsidR="00EA3F40" w:rsidRDefault="00EA3F40" w:rsidRPr="00936106">
      <w:pPr>
        <w:spacing w:line="360" w:lineRule="auto"/>
        <w:jc w:val="center"/>
        <w:rPr>
          <w:rFonts w:ascii="宋体" w:hAnsi="宋体"/>
          <w:b/>
          <w:sz w:val="24"/>
          <w:szCs w:val="36"/>
        </w:rPr>
      </w:pPr>
      <w:r w:rsidRPr="00936106">
        <w:rPr>
          <w:rFonts w:ascii="宋体"/>
          <w:b/>
          <w:sz w:val="24"/>
          <w:szCs w:val="36"/>
        </w:rPr>
        <w:t/>
      </w:r>
      <w:r w:rsidRPr="00936106">
        <w:rPr>
          <w:rFonts w:ascii="宋体" w:hAnsi="宋体"/>
          <w:b/>
          <w:sz w:val="24"/>
          <w:szCs w:val="36"/>
        </w:rPr>
        <w:t>2020年6月30日</w:t>
      </w: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rPr>
          <w:rFonts w:ascii="宋体"/>
          <w:b/>
          <w:color w:val="000000"/>
          <w:sz w:val="24"/>
        </w:rPr>
      </w:pP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基金管理人：</w:t>
      </w:r>
      <w:r w:rsidRPr="0097021E">
        <w:rPr>
          <w:rFonts w:ascii="宋体"/>
          <w:b/>
          <w:color w:val="000000"/>
          <w:sz w:val="24"/>
        </w:rPr>
        <w:t/>
      </w:r>
      <w:r w:rsidRPr="0097021E">
        <w:rPr>
          <w:rFonts w:ascii="宋体" w:hAnsi="宋体"/>
          <w:b/>
          <w:color w:val="000000"/>
          <w:sz w:val="24"/>
        </w:rPr>
        <w:t>易方达基金管理有限公司</w:t>
      </w: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基金托管人：</w:t>
      </w:r>
      <w:r w:rsidRPr="0097021E">
        <w:rPr>
          <w:rFonts w:ascii="宋体"/>
          <w:b/>
          <w:color w:val="000000"/>
          <w:sz w:val="24"/>
        </w:rPr>
        <w:t/>
      </w:r>
      <w:r w:rsidRPr="0097021E">
        <w:rPr>
          <w:rFonts w:ascii="宋体" w:hAnsi="宋体"/>
          <w:b/>
          <w:color w:val="000000"/>
          <w:sz w:val="24"/>
        </w:rPr>
        <w:t>中国建设银行股份有限公司</w:t>
      </w:r>
    </w:p>
    <w:p w:rsidP="009216A0" w:rsidR="00EA3F40" w:rsidRDefault="00EA3F40" w:rsidRPr="0097021E">
      <w:pPr>
        <w:spacing w:line="360" w:lineRule="auto"/>
        <w:ind w:firstLine="2168" w:firstLineChars="900"/>
        <w:rPr>
          <w:rFonts w:ascii="宋体" w:hAnsi="宋体"/>
          <w:b/>
          <w:color w:val="000000"/>
          <w:sz w:val="24"/>
        </w:rPr>
        <w:sectPr w:rsidR="00EA3F40" w:rsidRPr="0097021E" w:rsidSect="005633AD">
          <w:headerReference r:id="rId8" w:type="default"/>
          <w:footerReference r:id="rId9" w:type="default"/>
          <w:pgSz w:h="15840" w:w="11926"/>
          <w:pgMar w:bottom="851" w:footer="992" w:gutter="0" w:header="851" w:left="1418" w:right="1418" w:top="1418"/>
          <w:cols w:space="720"/>
          <w:noEndnote/>
        </w:sectPr>
      </w:pPr>
      <w:r w:rsidRPr="0097021E">
        <w:rPr>
          <w:rFonts w:ascii="宋体" w:hAnsi="宋体" w:hint="eastAsia"/>
          <w:b/>
          <w:color w:val="000000"/>
          <w:sz w:val="24"/>
        </w:rPr>
        <w:t>报告送出日期：</w:t>
      </w:r>
      <w:r w:rsidRPr="0097021E">
        <w:rPr>
          <w:rFonts w:ascii="宋体"/>
          <w:b/>
          <w:color w:val="000000"/>
          <w:sz w:val="24"/>
        </w:rPr>
        <w:t/>
      </w:r>
      <w:r w:rsidRPr="0097021E">
        <w:rPr>
          <w:rFonts w:ascii="宋体" w:hAnsi="宋体"/>
          <w:b/>
          <w:color w:val="000000"/>
          <w:sz w:val="24"/>
        </w:rPr>
        <w:t>二〇二〇年七月二十一日</w:t>
      </w:r>
    </w:p>
    <w:p w:rsidP="00E23C1B" w:rsidR="00EA3F40" w:rsidRDefault="00EA3F40" w:rsidRPr="0097021E">
      <w:pPr>
        <w:pStyle w:val="1"/>
        <w:spacing w:after="312" w:afterLines="100" w:before="312" w:beforeLines="100" w:line="360" w:lineRule="auto"/>
        <w:jc w:val="center"/>
        <w:rPr>
          <w:rFonts w:ascii="宋体" w:cs="Arial"/>
          <w:b w:val="0"/>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1  </w:t>
      </w:r>
      <w:r w:rsidRPr="0097021E">
        <w:rPr>
          <w:rFonts w:ascii="宋体" w:cs="Arial" w:hAnsi="宋体" w:hint="eastAsia"/>
          <w:color w:val="000000"/>
          <w:kern w:val="0"/>
          <w:sz w:val="24"/>
          <w:szCs w:val="24"/>
        </w:rPr>
        <w:t>重要提示</w:t>
      </w:r>
    </w:p>
    <w:p>
      <w:pPr>
        <w:adjustRightInd w:val="0"/>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adjustRightInd w:val="0"/>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adjustRightInd w:val="0"/>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adjustRightInd w:val="0"/>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adjustRightInd w:val="0"/>
        <w:spacing w:line="360" w:lineRule="auto"/>
        <w:ind w:firstLine="480" w:firstLineChars="200"/>
        <w:rPr>
          <w:color w:val="000000"/>
          <w:sz w:val="24"/>
        </w:rPr>
      </w:pPr>
      <w:r>
        <w:rPr>
          <w:color w:val="000000"/>
          <w:sz w:val="24"/>
        </w:rPr>
        <w:t>本报告中财务资料未经审计。</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本报告期自2020年4月1日起至6月30日止。</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2  </w:t>
      </w:r>
      <w:r w:rsidRPr="0097021E">
        <w:rPr>
          <w:rFonts w:ascii="宋体" w:cs="Arial" w:hAnsi="宋体" w:hint="eastAsia"/>
          <w:color w:val="000000"/>
          <w:kern w:val="0"/>
          <w:sz w:val="24"/>
          <w:szCs w:val="24"/>
        </w:rPr>
        <w:t>基金产品概况</w:t>
      </w:r>
    </w:p>
    <w:tbl>
      <w:tblPr>
        <w:tblW w:type="dxa" w:w="973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300"/>
        <w:gridCol w:w="1150"/>
        <w:gridCol w:w="1150"/>
        <w:gridCol w:w="2301"/>
      </w:tblGrid>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基金简称</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易方达现金增利货币</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基金主代码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000620</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基金运作方式</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契约型开放式</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基金合同生效日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2015年2月5日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报告期末基金份额总额</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61,657,731,472.27</w:t>
            </w:r>
            <w:r w:rsidRPr="00613409">
              <w:rPr>
                <w:color w:val="000000"/>
                <w:kern w:val="0"/>
                <w:sz w:val="24"/>
              </w:rPr>
              <w:t>份</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投资目标</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 xml:space="preserve">在有效控制投资风险和保持高流动性的基础上，力争获得高于业绩比较基准的投资回报。 </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投资策略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本基金根据市场情况和可投资品种的容量，在严谨深入的研究分析基础上，综合考量市场资金面走向、存款银行的信用资质、信用债券的信用评级以及各类资产的收益率水平、流动性特征等，确定各类资产的配置比例，力争获得高于业绩比较基准的投资回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业绩比较基准</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 xml:space="preserve">中国人民银行公布的七天通知存款利率（税后） </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风险收益特征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本基金为货币市场基金，预期风险和预期收益低于股票型基金、混合型基金和债券型基金。</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基金管理人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易方达基金管理有限公司</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基金托管人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中国建设银行股份有限公司</w:t>
            </w:r>
          </w:p>
        </w:tc>
      </w:tr>
      <w:tr w:rsidR="00EA3F40" w:rsidRPr="0097021E" w:rsidTr="001669F2">
        <w:trPr>
          <w:jc w:val="center"/>
        </w:trPr>
        <w:tc>
          <w:tcPr>
            <w:tcW w:type="dxa" w:w="2835"/>
          </w:tcPr>
          <w:p w:rsidP="00D271A9" w:rsidR="00EA3F40" w:rsidRDefault="00EA3F40" w:rsidRPr="00613409">
            <w:pPr>
              <w:adjustRightInd w:val="0"/>
              <w:spacing w:before="29" w:line="360" w:lineRule="auto"/>
              <w:ind w:left="17"/>
              <w:jc w:val="left"/>
              <w:rPr>
                <w:kern w:val="0"/>
                <w:sz w:val="24"/>
              </w:rPr>
            </w:pPr>
            <w:r w:rsidRPr="00613409">
              <w:rPr>
                <w:color w:val="000000"/>
                <w:sz w:val="24"/>
              </w:rPr>
              <w:t>下属</w:t>
            </w:r>
            <w:r w:rsidR="00D271A9" w:rsidRPr="00613409">
              <w:rPr>
                <w:color w:val="000000"/>
                <w:sz w:val="24"/>
              </w:rPr>
              <w:t>分</w:t>
            </w:r>
            <w:r w:rsidRPr="00613409">
              <w:rPr>
                <w:color w:val="000000"/>
                <w:sz w:val="24"/>
              </w:rPr>
              <w:t>级基金的基金简称</w:t>
            </w:r>
          </w:p>
        </w:tc>
        <w:tc>
          <w:tcPr>
            <w:tcW w:type="dxa" w:w="2300"/>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易方达现金增利货币A</w:t>
            </w:r>
          </w:p>
        </w:tc>
        <w:tc>
          <w:tcPr>
            <w:tcW w:type="dxa" w:w="2300"/>
            <w:gridSpan w:val="2"/>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易方达现金增利货币B</w:t>
            </w:r>
          </w:p>
        </w:tc>
        <w:tc>
          <w:tcPr>
            <w:tcW w:type="dxa" w:w="2301"/>
            <w:vAlign w:val="center"/>
          </w:tcPr>
          <w:p w:rsidP="00025C5D" w:rsidR="00EA3F40" w:rsidRDefault="00EA3F40" w:rsidRPr="00613409">
            <w:pPr>
              <w:spacing w:line="360" w:lineRule="auto"/>
              <w:jc w:val="left"/>
              <w:rPr>
                <w:sz w:val="24"/>
              </w:rPr>
            </w:pPr>
            <w:r w:rsidRPr="00613409">
              <w:rPr>
                <w:color w:val="000000"/>
                <w:kern w:val="0"/>
                <w:sz w:val="24"/>
              </w:rPr>
              <w:t/>
            </w:r>
            <w:r w:rsidRPr="00613409">
              <w:rPr>
                <w:sz w:val="24"/>
              </w:rPr>
              <w:t>易方达现金增利货币C</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lastRenderedPageBreak/>
              <w:t>下属</w:t>
            </w:r>
            <w:r w:rsidR="00D271A9" w:rsidRPr="00613409">
              <w:rPr>
                <w:color w:val="000000"/>
                <w:sz w:val="24"/>
              </w:rPr>
              <w:t>分</w:t>
            </w:r>
            <w:r w:rsidRPr="00613409">
              <w:rPr>
                <w:color w:val="000000"/>
                <w:sz w:val="24"/>
              </w:rPr>
              <w:t>级基金的交易代码</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000620</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000621</w:t>
            </w:r>
          </w:p>
        </w:tc>
        <w:tc>
          <w:tcPr>
            <w:tcW w:type="dxa" w:w="2301"/>
            <w:vAlign w:val="center"/>
          </w:tcPr>
          <w:p w:rsidP="001669F2" w:rsidR="00E325AB" w:rsidRDefault="00E325AB" w:rsidRPr="00613409">
            <w:pPr>
              <w:spacing w:line="360" w:lineRule="auto"/>
              <w:jc w:val="left"/>
              <w:rPr>
                <w:sz w:val="24"/>
              </w:rPr>
            </w:pPr>
            <w:r w:rsidRPr="00613409">
              <w:rPr>
                <w:color w:val="000000"/>
                <w:kern w:val="0"/>
                <w:sz w:val="24"/>
              </w:rPr>
              <w:t/>
            </w:r>
            <w:r w:rsidRPr="00613409">
              <w:rPr>
                <w:sz w:val="24"/>
              </w:rPr>
              <w:t>005097</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t>报告期末下属</w:t>
            </w:r>
            <w:r w:rsidR="00D271A9" w:rsidRPr="00613409">
              <w:rPr>
                <w:color w:val="000000"/>
                <w:sz w:val="24"/>
              </w:rPr>
              <w:t>分</w:t>
            </w:r>
            <w:r w:rsidRPr="00613409">
              <w:rPr>
                <w:color w:val="000000"/>
                <w:sz w:val="24"/>
              </w:rPr>
              <w:t>级基金的份额总额</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269,321,901.32</w:t>
            </w:r>
            <w:r w:rsidRPr="00613409">
              <w:rPr>
                <w:sz w:val="24"/>
              </w:rPr>
              <w:t>份</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61,373,753,267.61</w:t>
            </w:r>
            <w:r w:rsidRPr="00613409">
              <w:rPr>
                <w:sz w:val="24"/>
              </w:rPr>
              <w:t>份</w:t>
            </w:r>
          </w:p>
        </w:tc>
        <w:tc>
          <w:tcPr>
            <w:tcW w:type="dxa" w:w="2301"/>
            <w:vAlign w:val="center"/>
          </w:tcPr>
          <w:p w:rsidP="00025C5D" w:rsidR="00E325AB" w:rsidRDefault="00E325AB" w:rsidRPr="00613409">
            <w:pPr>
              <w:spacing w:line="360" w:lineRule="auto"/>
              <w:jc w:val="left"/>
              <w:rPr>
                <w:sz w:val="24"/>
              </w:rPr>
            </w:pPr>
            <w:r w:rsidRPr="00613409">
              <w:rPr>
                <w:color w:val="000000"/>
                <w:kern w:val="0"/>
                <w:sz w:val="24"/>
              </w:rPr>
              <w:t/>
            </w:r>
            <w:r w:rsidRPr="00613409">
              <w:rPr>
                <w:sz w:val="24"/>
              </w:rPr>
              <w:t>14,656,303.34</w:t>
            </w:r>
            <w:r w:rsidRPr="00613409">
              <w:rPr>
                <w:sz w:val="24"/>
              </w:rPr>
              <w:t>份</w:t>
            </w:r>
          </w:p>
        </w:tc>
      </w:tr>
    </w:tbl>
    <w:p w:rsidP="001752C7" w:rsidR="00EA3F40" w:rsidRDefault="00EA3F40" w:rsidRPr="001752C7">
      <w:pPr>
        <w:adjustRightInd w:val="0"/>
        <w:spacing w:line="360" w:lineRule="auto"/>
        <w:ind w:firstLine="480" w:firstLineChars="200"/>
        <w:rPr>
          <w:color w:val="000000"/>
          <w:sz w:val="24"/>
        </w:rPr>
      </w:pPr>
      <w:r w:rsidRPr="001752C7">
        <w:rPr>
          <w:color w:val="000000"/>
          <w:sz w:val="24"/>
        </w:rPr>
        <w:t>注：自2018年3月8日起，本基金增设C类份额类别，份额首次确认日为2018年3月12日。</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3  </w:t>
      </w:r>
      <w:r w:rsidRPr="0097021E">
        <w:rPr>
          <w:rFonts w:ascii="宋体" w:cs="Arial" w:hAnsi="宋体" w:hint="eastAsia"/>
          <w:color w:val="000000"/>
          <w:kern w:val="0"/>
          <w:sz w:val="24"/>
          <w:szCs w:val="24"/>
        </w:rPr>
        <w:t>主要财务指标和基金净值表现</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3.1 </w:t>
      </w:r>
      <w:r w:rsidRPr="0097021E">
        <w:rPr>
          <w:rFonts w:ascii="宋体" w:cs="Arial" w:hAnsi="宋体" w:hint="eastAsia"/>
          <w:b/>
          <w:color w:val="000000"/>
          <w:kern w:val="0"/>
          <w:sz w:val="24"/>
        </w:rPr>
        <w:t>主要财务指标</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单位：人民币元</w:t>
      </w:r>
    </w:p>
    <w:tbl>
      <w:tblPr>
        <w:tblW w:type="dxa" w:w="959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1855"/>
        <w:gridCol w:w="1856"/>
      </w:tblGrid>
      <w:tr w:rsidR="00EA3F40" w:rsidRPr="00613409" w:rsidTr="00025C5D">
        <w:trPr>
          <w:jc w:val="center"/>
        </w:trPr>
        <w:tc>
          <w:tcPr>
            <w:tcW w:type="dxa" w:w="3402"/>
            <w:vMerge w:val="restart"/>
            <w:vAlign w:val="center"/>
          </w:tcPr>
          <w:p w:rsidP="00196812" w:rsidR="00EA3F40" w:rsidRDefault="00EA3F40" w:rsidRPr="00613409">
            <w:pPr>
              <w:adjustRightInd w:val="0"/>
              <w:spacing w:before="29" w:line="360" w:lineRule="auto"/>
              <w:ind w:left="17"/>
              <w:jc w:val="center"/>
              <w:rPr>
                <w:kern w:val="0"/>
                <w:sz w:val="24"/>
              </w:rPr>
            </w:pPr>
            <w:r w:rsidRPr="00613409">
              <w:rPr>
                <w:kern w:val="0"/>
                <w:sz w:val="24"/>
              </w:rPr>
              <w:t>主要财务指标</w:t>
            </w:r>
          </w:p>
        </w:tc>
        <w:tc>
          <w:tcPr>
            <w:tcW w:type="dxa" w:w="6192"/>
            <w:gridSpan w:val="3"/>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sz w:val="24"/>
              </w:rPr>
              <w:t>报告期</w:t>
            </w:r>
            <w:r w:rsidRPr="00613409">
              <w:rPr>
                <w:color w:val="000000"/>
                <w:sz w:val="24"/>
              </w:rPr>
              <w:t>(2020年4月1日-2020年6月30日)</w:t>
            </w:r>
          </w:p>
        </w:tc>
      </w:tr>
      <w:tr w:rsidR="00EA3F40" w:rsidRPr="00613409" w:rsidTr="00025C5D">
        <w:trPr>
          <w:jc w:val="center"/>
        </w:trPr>
        <w:tc>
          <w:tcPr>
            <w:tcW w:type="dxa" w:w="3402"/>
            <w:vMerge/>
            <w:vAlign w:val="center"/>
          </w:tcPr>
          <w:p w:rsidP="00196812" w:rsidR="00EA3F40" w:rsidRDefault="00EA3F40" w:rsidRPr="00613409">
            <w:pPr>
              <w:adjustRightInd w:val="0"/>
              <w:spacing w:before="29" w:line="360" w:lineRule="auto"/>
              <w:ind w:left="17"/>
              <w:jc w:val="center"/>
              <w:rPr>
                <w:kern w:val="0"/>
                <w:sz w:val="24"/>
              </w:rPr>
            </w:pPr>
          </w:p>
        </w:tc>
        <w:tc>
          <w:tcPr>
            <w:tcW w:type="dxa" w:w="2481"/>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易方达现金增利货币A</w:t>
            </w:r>
          </w:p>
        </w:tc>
        <w:tc>
          <w:tcPr>
            <w:tcW w:type="dxa" w:w="1855"/>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易方达现金增利货币B</w:t>
            </w:r>
          </w:p>
        </w:tc>
        <w:tc>
          <w:tcPr>
            <w:tcW w:type="dxa" w:w="1856"/>
            <w:vAlign w:val="center"/>
          </w:tcPr>
          <w:p w:rsidP="00025C5D"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易方达现金增利货币C</w:t>
            </w:r>
          </w:p>
        </w:tc>
      </w:tr>
      <w:tr w:rsidR="00EA3F40" w:rsidRPr="00613409" w:rsidTr="00025C5D">
        <w:trPr>
          <w:trHeight w:val="840"/>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1.</w:t>
            </w:r>
            <w:r w:rsidRPr="00613409">
              <w:rPr>
                <w:kern w:val="0"/>
                <w:sz w:val="24"/>
              </w:rPr>
              <w:t>本期已实现收益</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1,520,876.21</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332,411,791.36</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70,904.10</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2.</w:t>
            </w:r>
            <w:r w:rsidRPr="00613409">
              <w:rPr>
                <w:kern w:val="0"/>
                <w:sz w:val="24"/>
              </w:rPr>
              <w:t>本期利润</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1,520,876.21</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332,411,791.36</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70,904.10</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3.</w:t>
            </w:r>
            <w:r w:rsidRPr="00613409">
              <w:rPr>
                <w:kern w:val="0"/>
                <w:sz w:val="24"/>
              </w:rPr>
              <w:t>期末基金资产净值</w:t>
            </w:r>
          </w:p>
        </w:tc>
        <w:tc>
          <w:tcPr>
            <w:tcW w:type="dxa" w:w="2481"/>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269,321,901.32</w:t>
            </w:r>
          </w:p>
        </w:tc>
        <w:tc>
          <w:tcPr>
            <w:tcW w:type="dxa" w:w="1855"/>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61,373,753,267.61</w:t>
            </w:r>
          </w:p>
        </w:tc>
        <w:tc>
          <w:tcPr>
            <w:tcW w:type="dxa" w:w="1856"/>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14,656,303.34</w:t>
            </w:r>
          </w:p>
        </w:tc>
      </w:tr>
    </w:tbl>
    <w:p>
      <w:pPr>
        <w:adjustRightInd w:val="0"/>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2.本基金利润分配是按日结转份额。</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3.2 </w:t>
      </w:r>
      <w:r w:rsidRPr="0097021E">
        <w:rPr>
          <w:rFonts w:ascii="宋体" w:cs="Arial" w:hAnsi="宋体" w:hint="eastAsia"/>
          <w:b/>
          <w:color w:val="000000"/>
          <w:kern w:val="0"/>
          <w:sz w:val="24"/>
        </w:rPr>
        <w:t>基金净值表现</w:t>
      </w:r>
    </w:p>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3.2.1</w:t>
        </w:r>
      </w:smartTag>
      <w:r w:rsidRPr="0097021E">
        <w:rPr>
          <w:rFonts w:ascii="宋体" w:cs="Arial" w:hAnsi="宋体"/>
          <w:b/>
          <w:color w:val="000000"/>
          <w:kern w:val="0"/>
          <w:sz w:val="24"/>
        </w:rPr>
        <w:t xml:space="preserve"> </w:t>
      </w:r>
      <w:r w:rsidRPr="0097021E">
        <w:rPr>
          <w:rFonts w:ascii="宋体" w:cs="Arial" w:hAnsi="宋体" w:hint="eastAsia"/>
          <w:b/>
          <w:color w:val="000000"/>
          <w:kern w:val="0"/>
          <w:sz w:val="24"/>
        </w:rPr>
        <w:t>本报告期基金份额净值收益率及其与同期业绩比较基准收益率的比较</w:t>
      </w:r>
    </w:p>
    <w:p w:rsidP="00613409" w:rsidR="00EA3F40" w:rsidRDefault="00EA3F40" w:rsidRPr="00613409">
      <w:pPr>
        <w:pStyle w:val="20"/>
        <w:spacing w:line="360" w:lineRule="auto"/>
        <w:ind w:firstLine="0" w:firstLineChars="0"/>
        <w:rPr>
          <w:b/>
          <w:sz w:val="24"/>
        </w:rPr>
      </w:pPr>
      <w:r w:rsidRPr="00613409">
        <w:rPr>
          <w:b/>
          <w:color w:val="000000"/>
          <w:sz w:val="24"/>
        </w:rPr>
        <w:t/>
      </w:r>
      <w:r w:rsidRPr="00613409">
        <w:rPr>
          <w:rFonts w:cs="宋体"/>
          <w:b/>
          <w:color w:val="000000"/>
          <w:sz w:val="24"/>
        </w:rPr>
        <w:t/>
      </w:r>
      <w:r w:rsidRPr="00613409">
        <w:rPr>
          <w:b/>
          <w:color w:val="000000"/>
          <w:sz w:val="24"/>
        </w:rPr>
        <w:t/>
      </w:r>
      <w:r w:rsidRPr="00613409">
        <w:rPr>
          <w:b/>
          <w:sz w:val="24"/>
        </w:rPr>
        <w:t>易方达现金增利货币A</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0.5004%</w:t>
            </w:r>
          </w:p>
        </w:tc>
        <w:tc>
          <w:tcPr>
            <w:vAlign w:val="center"/>
          </w:tcPr>
          <w:p>
            <w:pPr>
              <w:jc w:val="center"/>
            </w:pPr>
            <w:r>
              <w:rPr>
                <w:color w:val="000000"/>
                <w:kern w:val="2"/>
                <w:sz w:val="24"/>
              </w:rPr>
              <w:t>0.0006%</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0.1586%</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1.1753%</w:t>
            </w:r>
          </w:p>
        </w:tc>
        <w:tc>
          <w:tcPr>
            <w:vAlign w:val="center"/>
          </w:tcPr>
          <w:p>
            <w:pPr>
              <w:jc w:val="center"/>
            </w:pPr>
            <w:r>
              <w:rPr>
                <w:color w:val="000000"/>
                <w:kern w:val="2"/>
                <w:sz w:val="24"/>
              </w:rPr>
              <w:t>0.0012%</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0.4905%</w:t>
            </w:r>
          </w:p>
        </w:tc>
        <w:tc>
          <w:tcPr>
            <w:vAlign w:val="center"/>
          </w:tcPr>
          <w:p>
            <w:pPr>
              <w:jc w:val="center"/>
            </w:pPr>
            <w:r>
              <w:rPr>
                <w:color w:val="000000"/>
                <w:kern w:val="2"/>
                <w:sz w:val="24"/>
              </w:rPr>
              <w:t>0.0012%</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2.5302%</w:t>
            </w:r>
          </w:p>
        </w:tc>
        <w:tc>
          <w:tcPr>
            <w:vAlign w:val="center"/>
          </w:tcPr>
          <w:p>
            <w:pPr>
              <w:jc w:val="center"/>
            </w:pPr>
            <w:r>
              <w:rPr>
                <w:color w:val="000000"/>
                <w:kern w:val="2"/>
                <w:sz w:val="24"/>
              </w:rPr>
              <w:t>0.0010%</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1.1483%</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10.6186%</w:t>
            </w:r>
          </w:p>
        </w:tc>
        <w:tc>
          <w:tcPr>
            <w:vAlign w:val="center"/>
          </w:tcPr>
          <w:p>
            <w:pPr>
              <w:jc w:val="center"/>
            </w:pPr>
            <w:r>
              <w:rPr>
                <w:color w:val="000000"/>
                <w:kern w:val="2"/>
                <w:sz w:val="24"/>
              </w:rPr>
              <w:t>0.0023%</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6.4231%</w:t>
            </w:r>
          </w:p>
        </w:tc>
        <w:tc>
          <w:tcPr>
            <w:vAlign w:val="center"/>
          </w:tcPr>
          <w:p>
            <w:pPr>
              <w:jc w:val="center"/>
            </w:pPr>
            <w:r>
              <w:rPr>
                <w:color w:val="000000"/>
                <w:kern w:val="2"/>
                <w:sz w:val="24"/>
              </w:rPr>
              <w:t>0.0023%</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17.9935%</w:t>
            </w:r>
          </w:p>
        </w:tc>
        <w:tc>
          <w:tcPr>
            <w:vAlign w:val="center"/>
          </w:tcPr>
          <w:p>
            <w:pPr>
              <w:jc w:val="center"/>
            </w:pPr>
            <w:r>
              <w:rPr>
                <w:color w:val="000000"/>
                <w:kern w:val="2"/>
                <w:sz w:val="24"/>
              </w:rPr>
              <w:t>0.0052%</w:t>
            </w:r>
          </w:p>
        </w:tc>
        <w:tc>
          <w:tcPr>
            <w:vAlign w:val="center"/>
          </w:tcPr>
          <w:p>
            <w:pPr>
              <w:jc w:val="center"/>
            </w:pPr>
            <w:r>
              <w:rPr>
                <w:color w:val="000000"/>
                <w:kern w:val="2"/>
                <w:sz w:val="24"/>
              </w:rPr>
              <w:t>7.0913%</w:t>
            </w:r>
          </w:p>
        </w:tc>
        <w:tc>
          <w:tcPr>
            <w:vAlign w:val="center"/>
          </w:tcPr>
          <w:p>
            <w:pPr>
              <w:jc w:val="center"/>
            </w:pPr>
            <w:r>
              <w:rPr>
                <w:color w:val="000000"/>
                <w:kern w:val="2"/>
                <w:sz w:val="24"/>
              </w:rPr>
              <w:t>0.0000%</w:t>
            </w:r>
          </w:p>
        </w:tc>
        <w:tc>
          <w:tcPr>
            <w:vAlign w:val="center"/>
          </w:tcPr>
          <w:p>
            <w:pPr>
              <w:jc w:val="center"/>
            </w:pPr>
            <w:r>
              <w:rPr>
                <w:color w:val="000000"/>
                <w:kern w:val="2"/>
                <w:sz w:val="24"/>
              </w:rPr>
              <w:t>10.9022%</w:t>
            </w:r>
          </w:p>
        </w:tc>
        <w:tc>
          <w:tcPr>
            <w:vAlign w:val="center"/>
          </w:tcPr>
          <w:p>
            <w:pPr>
              <w:jc w:val="center"/>
            </w:pPr>
            <w:r>
              <w:rPr>
                <w:color w:val="000000"/>
                <w:kern w:val="2"/>
                <w:sz w:val="24"/>
              </w:rPr>
              <w:t>0.0052%</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19.7410%</w:t>
            </w:r>
          </w:p>
        </w:tc>
        <w:tc>
          <w:tcPr>
            <w:vAlign w:val="center"/>
          </w:tcPr>
          <w:p>
            <w:pPr>
              <w:jc w:val="center"/>
            </w:pPr>
            <w:r>
              <w:rPr>
                <w:color w:val="000000"/>
                <w:kern w:val="2"/>
                <w:sz w:val="24"/>
              </w:rPr>
              <w:t>0.0058%</w:t>
            </w:r>
          </w:p>
        </w:tc>
        <w:tc>
          <w:tcPr>
            <w:vAlign w:val="center"/>
          </w:tcPr>
          <w:p>
            <w:pPr>
              <w:jc w:val="center"/>
            </w:pPr>
            <w:r>
              <w:rPr>
                <w:color w:val="000000"/>
                <w:kern w:val="2"/>
                <w:sz w:val="24"/>
              </w:rPr>
              <w:t>7.6792%</w:t>
            </w:r>
          </w:p>
        </w:tc>
        <w:tc>
          <w:tcPr>
            <w:vAlign w:val="center"/>
          </w:tcPr>
          <w:p>
            <w:pPr>
              <w:jc w:val="center"/>
            </w:pPr>
            <w:r>
              <w:rPr>
                <w:color w:val="000000"/>
                <w:kern w:val="2"/>
                <w:sz w:val="24"/>
              </w:rPr>
              <w:t>0.0000%</w:t>
            </w:r>
          </w:p>
        </w:tc>
        <w:tc>
          <w:tcPr>
            <w:vAlign w:val="center"/>
          </w:tcPr>
          <w:p>
            <w:pPr>
              <w:jc w:val="center"/>
            </w:pPr>
            <w:r>
              <w:rPr>
                <w:color w:val="000000"/>
                <w:kern w:val="2"/>
                <w:sz w:val="24"/>
              </w:rPr>
              <w:t>12.0618%</w:t>
            </w:r>
          </w:p>
        </w:tc>
        <w:tc>
          <w:tcPr>
            <w:vAlign w:val="center"/>
          </w:tcPr>
          <w:p>
            <w:pPr>
              <w:jc w:val="center"/>
            </w:pPr>
            <w:r>
              <w:rPr>
                <w:color w:val="000000"/>
                <w:kern w:val="2"/>
                <w:sz w:val="24"/>
              </w:rPr>
              <w:t>0.0058%</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易方达现金增利货币B</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0.5605%</w:t>
            </w:r>
          </w:p>
        </w:tc>
        <w:tc>
          <w:tcPr>
            <w:vAlign w:val="center"/>
          </w:tcPr>
          <w:p>
            <w:pPr>
              <w:jc w:val="center"/>
            </w:pPr>
            <w:r>
              <w:rPr>
                <w:color w:val="000000"/>
                <w:kern w:val="2"/>
                <w:sz w:val="24"/>
              </w:rPr>
              <w:t>0.0006%</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0.2187%</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1.2963%</w:t>
            </w:r>
          </w:p>
        </w:tc>
        <w:tc>
          <w:tcPr>
            <w:vAlign w:val="center"/>
          </w:tcPr>
          <w:p>
            <w:pPr>
              <w:jc w:val="center"/>
            </w:pPr>
            <w:r>
              <w:rPr>
                <w:color w:val="000000"/>
                <w:kern w:val="2"/>
                <w:sz w:val="24"/>
              </w:rPr>
              <w:t>0.0012%</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0.6115%</w:t>
            </w:r>
          </w:p>
        </w:tc>
        <w:tc>
          <w:tcPr>
            <w:vAlign w:val="center"/>
          </w:tcPr>
          <w:p>
            <w:pPr>
              <w:jc w:val="center"/>
            </w:pPr>
            <w:r>
              <w:rPr>
                <w:color w:val="000000"/>
                <w:kern w:val="2"/>
                <w:sz w:val="24"/>
              </w:rPr>
              <w:t>0.0012%</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2.7774%</w:t>
            </w:r>
          </w:p>
        </w:tc>
        <w:tc>
          <w:tcPr>
            <w:vAlign w:val="center"/>
          </w:tcPr>
          <w:p>
            <w:pPr>
              <w:jc w:val="center"/>
            </w:pPr>
            <w:r>
              <w:rPr>
                <w:color w:val="000000"/>
                <w:kern w:val="2"/>
                <w:sz w:val="24"/>
              </w:rPr>
              <w:t>0.0010%</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1.3955%</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11.4199%</w:t>
            </w:r>
          </w:p>
        </w:tc>
        <w:tc>
          <w:tcPr>
            <w:vAlign w:val="center"/>
          </w:tcPr>
          <w:p>
            <w:pPr>
              <w:jc w:val="center"/>
            </w:pPr>
            <w:r>
              <w:rPr>
                <w:color w:val="000000"/>
                <w:kern w:val="2"/>
                <w:sz w:val="24"/>
              </w:rPr>
              <w:t>0.0023%</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7.2244%</w:t>
            </w:r>
          </w:p>
        </w:tc>
        <w:tc>
          <w:tcPr>
            <w:vAlign w:val="center"/>
          </w:tcPr>
          <w:p>
            <w:pPr>
              <w:jc w:val="center"/>
            </w:pPr>
            <w:r>
              <w:rPr>
                <w:color w:val="000000"/>
                <w:kern w:val="2"/>
                <w:sz w:val="24"/>
              </w:rPr>
              <w:t>0.0023%</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19.4174%</w:t>
            </w:r>
          </w:p>
        </w:tc>
        <w:tc>
          <w:tcPr>
            <w:vAlign w:val="center"/>
          </w:tcPr>
          <w:p>
            <w:pPr>
              <w:jc w:val="center"/>
            </w:pPr>
            <w:r>
              <w:rPr>
                <w:color w:val="000000"/>
                <w:kern w:val="2"/>
                <w:sz w:val="24"/>
              </w:rPr>
              <w:t>0.0052%</w:t>
            </w:r>
          </w:p>
        </w:tc>
        <w:tc>
          <w:tcPr>
            <w:vAlign w:val="center"/>
          </w:tcPr>
          <w:p>
            <w:pPr>
              <w:jc w:val="center"/>
            </w:pPr>
            <w:r>
              <w:rPr>
                <w:color w:val="000000"/>
                <w:kern w:val="2"/>
                <w:sz w:val="24"/>
              </w:rPr>
              <w:t>7.0913%</w:t>
            </w:r>
          </w:p>
        </w:tc>
        <w:tc>
          <w:tcPr>
            <w:vAlign w:val="center"/>
          </w:tcPr>
          <w:p>
            <w:pPr>
              <w:jc w:val="center"/>
            </w:pPr>
            <w:r>
              <w:rPr>
                <w:color w:val="000000"/>
                <w:kern w:val="2"/>
                <w:sz w:val="24"/>
              </w:rPr>
              <w:t>0.0000%</w:t>
            </w:r>
          </w:p>
        </w:tc>
        <w:tc>
          <w:tcPr>
            <w:vAlign w:val="center"/>
          </w:tcPr>
          <w:p>
            <w:pPr>
              <w:jc w:val="center"/>
            </w:pPr>
            <w:r>
              <w:rPr>
                <w:color w:val="000000"/>
                <w:kern w:val="2"/>
                <w:sz w:val="24"/>
              </w:rPr>
              <w:t>12.3261%</w:t>
            </w:r>
          </w:p>
        </w:tc>
        <w:tc>
          <w:tcPr>
            <w:vAlign w:val="center"/>
          </w:tcPr>
          <w:p>
            <w:pPr>
              <w:jc w:val="center"/>
            </w:pPr>
            <w:r>
              <w:rPr>
                <w:color w:val="000000"/>
                <w:kern w:val="2"/>
                <w:sz w:val="24"/>
              </w:rPr>
              <w:t>0.0052%</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21.3001%</w:t>
            </w:r>
          </w:p>
        </w:tc>
        <w:tc>
          <w:tcPr>
            <w:vAlign w:val="center"/>
          </w:tcPr>
          <w:p>
            <w:pPr>
              <w:jc w:val="center"/>
            </w:pPr>
            <w:r>
              <w:rPr>
                <w:color w:val="000000"/>
                <w:kern w:val="2"/>
                <w:sz w:val="24"/>
              </w:rPr>
              <w:t>0.0058%</w:t>
            </w:r>
          </w:p>
        </w:tc>
        <w:tc>
          <w:tcPr>
            <w:vAlign w:val="center"/>
          </w:tcPr>
          <w:p>
            <w:pPr>
              <w:jc w:val="center"/>
            </w:pPr>
            <w:r>
              <w:rPr>
                <w:color w:val="000000"/>
                <w:kern w:val="2"/>
                <w:sz w:val="24"/>
              </w:rPr>
              <w:t>7.6792%</w:t>
            </w:r>
          </w:p>
        </w:tc>
        <w:tc>
          <w:tcPr>
            <w:vAlign w:val="center"/>
          </w:tcPr>
          <w:p>
            <w:pPr>
              <w:jc w:val="center"/>
            </w:pPr>
            <w:r>
              <w:rPr>
                <w:color w:val="000000"/>
                <w:kern w:val="2"/>
                <w:sz w:val="24"/>
              </w:rPr>
              <w:t>0.0000%</w:t>
            </w:r>
          </w:p>
        </w:tc>
        <w:tc>
          <w:tcPr>
            <w:vAlign w:val="center"/>
          </w:tcPr>
          <w:p>
            <w:pPr>
              <w:jc w:val="center"/>
            </w:pPr>
            <w:r>
              <w:rPr>
                <w:color w:val="000000"/>
                <w:kern w:val="2"/>
                <w:sz w:val="24"/>
              </w:rPr>
              <w:t>13.6209%</w:t>
            </w:r>
          </w:p>
        </w:tc>
        <w:tc>
          <w:tcPr>
            <w:vAlign w:val="center"/>
          </w:tcPr>
          <w:p>
            <w:pPr>
              <w:jc w:val="center"/>
            </w:pPr>
            <w:r>
              <w:rPr>
                <w:color w:val="000000"/>
                <w:kern w:val="2"/>
                <w:sz w:val="24"/>
              </w:rPr>
              <w:t>0.0058%</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易方达现金增利货币C</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0.5505%</w:t>
            </w:r>
          </w:p>
        </w:tc>
        <w:tc>
          <w:tcPr>
            <w:vAlign w:val="center"/>
          </w:tcPr>
          <w:p>
            <w:pPr>
              <w:jc w:val="center"/>
            </w:pPr>
            <w:r>
              <w:rPr>
                <w:color w:val="000000"/>
                <w:kern w:val="2"/>
                <w:sz w:val="24"/>
              </w:rPr>
              <w:t>0.0006%</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0.2087%</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1.2765%</w:t>
            </w:r>
          </w:p>
        </w:tc>
        <w:tc>
          <w:tcPr>
            <w:vAlign w:val="center"/>
          </w:tcPr>
          <w:p>
            <w:pPr>
              <w:jc w:val="center"/>
            </w:pPr>
            <w:r>
              <w:rPr>
                <w:color w:val="000000"/>
                <w:kern w:val="2"/>
                <w:sz w:val="24"/>
              </w:rPr>
              <w:t>0.0012%</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0.5917%</w:t>
            </w:r>
          </w:p>
        </w:tc>
        <w:tc>
          <w:tcPr>
            <w:vAlign w:val="center"/>
          </w:tcPr>
          <w:p>
            <w:pPr>
              <w:jc w:val="center"/>
            </w:pPr>
            <w:r>
              <w:rPr>
                <w:color w:val="000000"/>
                <w:kern w:val="2"/>
                <w:sz w:val="24"/>
              </w:rPr>
              <w:t>0.0012%</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2.7216%</w:t>
            </w:r>
          </w:p>
        </w:tc>
        <w:tc>
          <w:tcPr>
            <w:vAlign w:val="center"/>
          </w:tcPr>
          <w:p>
            <w:pPr>
              <w:jc w:val="center"/>
            </w:pPr>
            <w:r>
              <w:rPr>
                <w:color w:val="000000"/>
                <w:kern w:val="2"/>
                <w:sz w:val="24"/>
              </w:rPr>
              <w:t>0.0012%</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1.3397%</w:t>
            </w:r>
          </w:p>
        </w:tc>
        <w:tc>
          <w:tcPr>
            <w:vAlign w:val="center"/>
          </w:tcPr>
          <w:p>
            <w:pPr>
              <w:jc w:val="center"/>
            </w:pPr>
            <w:r>
              <w:rPr>
                <w:color w:val="000000"/>
                <w:kern w:val="2"/>
                <w:sz w:val="24"/>
              </w:rPr>
              <w:t>0.0012%</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7.8205%</w:t>
            </w:r>
          </w:p>
        </w:tc>
        <w:tc>
          <w:tcPr>
            <w:vAlign w:val="center"/>
          </w:tcPr>
          <w:p>
            <w:pPr>
              <w:jc w:val="center"/>
            </w:pPr>
            <w:r>
              <w:rPr>
                <w:color w:val="000000"/>
                <w:kern w:val="2"/>
                <w:sz w:val="24"/>
              </w:rPr>
              <w:t>0.0021%</w:t>
            </w:r>
          </w:p>
        </w:tc>
        <w:tc>
          <w:tcPr>
            <w:vAlign w:val="center"/>
          </w:tcPr>
          <w:p>
            <w:pPr>
              <w:jc w:val="center"/>
            </w:pPr>
            <w:r>
              <w:rPr>
                <w:color w:val="000000"/>
                <w:kern w:val="2"/>
                <w:sz w:val="24"/>
              </w:rPr>
              <w:t>3.2078%</w:t>
            </w:r>
          </w:p>
        </w:tc>
        <w:tc>
          <w:tcPr>
            <w:vAlign w:val="center"/>
          </w:tcPr>
          <w:p>
            <w:pPr>
              <w:jc w:val="center"/>
            </w:pPr>
            <w:r>
              <w:rPr>
                <w:color w:val="000000"/>
                <w:kern w:val="2"/>
                <w:sz w:val="24"/>
              </w:rPr>
              <w:t>0.0000%</w:t>
            </w:r>
          </w:p>
        </w:tc>
        <w:tc>
          <w:tcPr>
            <w:vAlign w:val="center"/>
          </w:tcPr>
          <w:p>
            <w:pPr>
              <w:jc w:val="center"/>
            </w:pPr>
            <w:r>
              <w:rPr>
                <w:color w:val="000000"/>
                <w:kern w:val="2"/>
                <w:sz w:val="24"/>
              </w:rPr>
              <w:t>4.6127%</w:t>
            </w:r>
          </w:p>
        </w:tc>
        <w:tc>
          <w:tcPr>
            <w:vAlign w:val="center"/>
          </w:tcPr>
          <w:p>
            <w:pPr>
              <w:jc w:val="center"/>
            </w:pPr>
            <w:r>
              <w:rPr>
                <w:color w:val="000000"/>
                <w:kern w:val="2"/>
                <w:sz w:val="24"/>
              </w:rPr>
              <w:t>0.0021%</w:t>
            </w:r>
          </w:p>
        </w:tc>
      </w:tr>
    </w:tbl>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3.2.2</w:t>
        </w:r>
        <w:r w:rsidR="001136E5" w:rsidRPr="00370BEA">
          <w:rPr>
            <w:rStyle w:val="af"/>
            <w:rFonts w:hint="eastAsia"/>
            <w:color w:val="000000"/>
            <w:sz w:val="24"/>
            <w:shd w:color="auto" w:fill="FFFFFF" w:val="clear"/>
          </w:rPr>
          <w:t>自基金合同生效以来</w:t>
        </w:r>
      </w:smartTag>
      <w:r w:rsidRPr="0097021E">
        <w:rPr>
          <w:rFonts w:ascii="宋体" w:cs="Arial" w:hAnsi="宋体" w:hint="eastAsia"/>
          <w:b/>
          <w:color w:val="000000"/>
          <w:kern w:val="0"/>
          <w:sz w:val="24"/>
        </w:rPr>
        <w:t>基金累计净值收益率变动及其与同期业绩比较基准收益率变动的比较</w:t>
      </w:r>
    </w:p>
    <w:p w:rsidP="009A755D" w:rsidR="00EA3F40" w:rsidRDefault="00EA3F40" w:rsidRPr="00613409">
      <w:pPr>
        <w:spacing w:line="360" w:lineRule="auto"/>
        <w:jc w:val="center"/>
        <w:rPr>
          <w:sz w:val="24"/>
        </w:rPr>
      </w:pPr>
      <w:r w:rsidRPr="00613409">
        <w:rPr>
          <w:sz w:val="24"/>
        </w:rPr>
        <w:t>易方达现金增利货币市场基金</w:t>
      </w:r>
    </w:p>
    <w:p w:rsidP="00CB6152" w:rsidR="00CB6152" w:rsidRDefault="00EA3F40" w:rsidRPr="00CB6152">
      <w:pPr>
        <w:pStyle w:val="a6"/>
        <w:snapToGrid w:val="0"/>
        <w:spacing w:line="360" w:lineRule="auto"/>
        <w:jc w:val="center"/>
        <w:rPr>
          <w:rFonts w:ascii="Times New Roman" w:hAnsi="Times New Roman"/>
          <w:color w:val="000000"/>
          <w:sz w:val="24"/>
          <w:szCs w:val="24"/>
        </w:rPr>
      </w:pPr>
      <w:r w:rsidRPr="00613409">
        <w:rPr>
          <w:rFonts w:ascii="Times New Roman" w:hAnsi="Times New Roman"/>
          <w:sz w:val="24"/>
          <w:szCs w:val="24"/>
        </w:rPr>
        <w:t>累计净值收益率与业绩比较基准收益率的历史走势对比图</w:t>
      </w:r>
    </w:p>
    <w:p w:rsidP="00CB6152" w:rsidR="00CB6152" w:rsidRDefault="00EA3F40" w:rsidRPr="00CB6152">
      <w:pPr>
        <w:snapToGrid w:val="0"/>
        <w:spacing w:line="360" w:lineRule="auto"/>
        <w:rPr>
          <w:rFonts w:hAnsi="宋体"/>
          <w:color w:val="000000"/>
          <w:sz w:val="24"/>
        </w:rPr>
      </w:pPr>
      <w:r w:rsidRPr="00613409">
        <w:rPr>
          <w:color w:val="000000"/>
          <w:kern w:val="0"/>
          <w:sz w:val="24"/>
        </w:rPr>
        <w:t>易方达现金增利货币A</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（2015年2月5日至2020年6月30日）</w:t>
      </w:r>
    </w:p>
    <w:p w:rsidP="00196812" w:rsidR="00EA3F40" w:rsidRDefault="00B261EB" w:rsidRPr="007600BC">
      <w:pPr>
        <w:tabs>
          <w:tab w:pos="0" w:val="left"/>
        </w:tabs>
        <w:spacing w:line="360" w:lineRule="auto"/>
        <w:jc w:val="center"/>
        <w:rPr>
          <w:rFonts w:ascii="宋体"/>
          <w:color w:val="000000"/>
          <w:sz w:val="24"/>
        </w:rPr>
      </w:pPr>
      <w:r>
        <w:rPr>
          <w:rFonts w:ascii="宋体"/>
          <w:noProof/>
          <w:color w:val="000000"/>
          <w:sz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52.25pt;height:267pt;visibility:visible" type="#_x0000_t75">
            <v:imagedata o:title="" r:id="rId10"/>
          </v:shape>
        </w:pict>
      </w:r>
    </w:p>
    <w:p w:rsidP="00613409" w:rsidR="00EA3F40" w:rsidRDefault="00613409" w:rsidRPr="0097021E">
      <w:pPr>
        <w:tabs>
          <w:tab w:pos="825" w:val="left"/>
        </w:tabs>
        <w:adjustRightInd w:val="0"/>
        <w:snapToGrid w:val="0"/>
        <w:spacing w:line="360" w:lineRule="auto"/>
        <w:rPr>
          <w:rFonts w:ascii="宋体"/>
          <w:color w:val="000000"/>
          <w:sz w:val="24"/>
        </w:rPr>
      </w:pPr>
      <w:r>
        <w:rPr>
          <w:rFonts w:ascii="宋体"/>
          <w:color w:val="000000"/>
          <w:sz w:val="24"/>
        </w:rPr>
        <w:tab/>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易方达现金增利货币B</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（2015年2月5日至2020年6月30日）</w:t>
      </w:r>
    </w:p>
    <w:p w:rsidP="00196812" w:rsidR="00EA3F40" w:rsidRDefault="00B261EB" w:rsidRPr="0097021E">
      <w:pPr>
        <w:snapToGrid w:val="0"/>
        <w:spacing w:line="360" w:lineRule="auto"/>
        <w:jc w:val="center"/>
        <w:rPr>
          <w:rFonts w:ascii="宋体"/>
          <w:color w:val="000000"/>
          <w:sz w:val="24"/>
        </w:rPr>
      </w:pPr>
      <w:r>
        <w:rPr>
          <w:rFonts w:ascii="宋体"/>
          <w:noProof/>
          <w:color w:val="000000"/>
          <w:sz w:val="24"/>
        </w:rPr>
        <w:lastRenderedPageBreak/>
        <w:pict>
          <v:shape id="图片 2" o:spid="_x0000_i1026" style="width:452.25pt;height:267pt;visibility:visible" type="#_x0000_t75">
            <v:imagedata o:title="" r:id="rId11"/>
          </v:shape>
        </w:pict>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易方达现金增利货币C</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（2018年3月12日至2020年6月30日）</w:t>
      </w:r>
    </w:p>
    <w:p w:rsidP="00220437" w:rsidR="00EA3F40" w:rsidRDefault="00B261EB" w:rsidRPr="000A39AB">
      <w:pPr>
        <w:autoSpaceDE w:val="0"/>
        <w:autoSpaceDN w:val="0"/>
        <w:adjustRightInd w:val="0"/>
        <w:spacing w:line="360" w:lineRule="auto"/>
        <w:jc w:val="center"/>
        <w:rPr>
          <w:rFonts w:ascii="宋体"/>
          <w:color w:val="000000"/>
          <w:sz w:val="24"/>
        </w:rPr>
      </w:pPr>
      <w:r>
        <w:rPr>
          <w:rFonts w:ascii="宋体"/>
          <w:noProof/>
          <w:color w:val="000000"/>
          <w:sz w:val="24"/>
        </w:rPr>
        <w:pict>
          <v:shape id="图片 6" o:spid="_x0000_i1027" style="width:452.25pt;height:267pt;visibility:visible" type="#_x0000_t75">
            <v:imagedata o:title="" r:id="rId12"/>
          </v:shape>
        </w:pict>
      </w:r>
    </w:p>
    <w:p>
      <w:pPr>
        <w:adjustRightInd w:val="0"/>
        <w:spacing w:line="360" w:lineRule="auto"/>
        <w:ind w:firstLine="480" w:firstLineChars="200"/>
        <w:rPr>
          <w:color w:val="000000"/>
          <w:sz w:val="24"/>
        </w:rPr>
      </w:pPr>
      <w:r>
        <w:rPr>
          <w:color w:val="000000"/>
          <w:sz w:val="24"/>
        </w:rPr>
        <w:t>注：1.自2018年3月8日起，本基金增设C类份额类别，份额首次确认日为2018年3月12日，增设当期的相关数据和指标按实际存续期计算。</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lastRenderedPageBreak/>
        <w:t>2.自基金合同生效至报告期末，A类基金份额净值收益率为19.7410%，B类基金份额净值收益率为21.3001%，同期业绩比较基准收益率为7.6792%。C类基金份额净值收益率为7.8205%，同期业绩比较基准收益率为3.2078%。</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4  </w:t>
      </w:r>
      <w:r w:rsidRPr="0097021E">
        <w:rPr>
          <w:rFonts w:ascii="宋体" w:cs="Arial" w:hAnsi="宋体" w:hint="eastAsia"/>
          <w:color w:val="000000"/>
          <w:kern w:val="0"/>
          <w:sz w:val="24"/>
          <w:szCs w:val="24"/>
        </w:rPr>
        <w:t>管理人报告</w:t>
      </w:r>
    </w:p>
    <w:p w:rsidP="00E23C1B" w:rsidR="00E23C1B" w:rsidRDefault="00EA3F40" w:rsidRPr="0078105B">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4.1 </w:t>
      </w:r>
      <w:r w:rsidRPr="0097021E">
        <w:rPr>
          <w:rFonts w:ascii="宋体" w:cs="Arial" w:hAnsi="宋体" w:hint="eastAsia"/>
          <w:b/>
          <w:color w:val="000000"/>
          <w:kern w:val="0"/>
          <w:sz w:val="24"/>
        </w:rPr>
        <w:t>基金经理</w:t>
      </w:r>
      <w:r w:rsidR="007C3671">
        <w:rPr>
          <w:rFonts w:ascii="宋体" w:cs="Arial" w:hAnsi="宋体" w:hint="eastAsia"/>
          <w:b/>
          <w:color w:val="000000"/>
          <w:kern w:val="0"/>
          <w:sz w:val="24"/>
        </w:rPr>
        <w:t>（</w:t>
      </w:r>
      <w:r w:rsidR="007C3671" w:rsidRPr="0097021E">
        <w:rPr>
          <w:rFonts w:ascii="宋体" w:cs="Arial" w:hAnsi="宋体" w:hint="eastAsia"/>
          <w:b/>
          <w:color w:val="000000"/>
          <w:kern w:val="0"/>
          <w:sz w:val="24"/>
        </w:rPr>
        <w:t>或基金经理小组</w:t>
      </w:r>
      <w:r w:rsidR="007C3671">
        <w:rPr>
          <w:rFonts w:ascii="宋体" w:cs="Arial" w:hAnsi="宋体" w:hint="eastAsia"/>
          <w:b/>
          <w:color w:val="000000"/>
          <w:kern w:val="0"/>
          <w:sz w:val="24"/>
        </w:rPr>
        <w:t>）</w:t>
      </w:r>
      <w:r w:rsidRPr="0097021E">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E23C1B" w:rsidRPr="0078105B" w:rsidTr="002E41BD">
        <w:trPr>
          <w:cantSplit/>
        </w:trPr>
        <w:tc>
          <w:tcPr>
            <w:tcW w:type="dxa" w:w="56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E23C1B" w:rsidRPr="0078105B" w:rsidTr="002E41BD">
        <w:trPr>
          <w:cantSplit/>
        </w:trPr>
        <w:tc>
          <w:tcPr>
            <w:tcW w:type="dxa" w:w="56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835"/>
            <w:vMerge/>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月月利理财债券型证券投资基金的基金经理、易方达天天理财货币市场基金的基金经理、易方达货币市场基金的基金经理、易方达保证金收益货币市场基金的基金经理、易方达易理财货币市场基金的基金经理、易方达财富快线货币市场基金的基金经理、易方达天天增利货币市场基金的基金经理、易方达龙宝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vAlign w:val="center"/>
          </w:tcPr>
          <w:p>
            <w:pPr>
              <w:jc w:val="center"/>
            </w:pPr>
            <w:r>
              <w:rPr>
                <w:color w:val="000000"/>
                <w:sz w:val="24"/>
              </w:rPr>
              <w:t>2015-02-05</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tc>
          <w:tcPr>
            <w:vAlign w:val="center"/>
          </w:tcPr>
          <w:p>
            <w:pPr>
              <w:jc w:val="center"/>
            </w:pPr>
            <w:r>
              <w:rPr>
                <w:color w:val="000000"/>
                <w:sz w:val="24"/>
              </w:rPr>
              <w:t>梁莹</w:t>
            </w:r>
          </w:p>
        </w:tc>
        <w:tc>
          <w:tcPr>
            <w:vAlign w:val="center"/>
          </w:tcPr>
          <w:p>
            <w:pPr>
              <w:jc w:val="left"/>
            </w:pPr>
            <w:r>
              <w:rPr>
                <w:color w:val="000000"/>
                <w:sz w:val="24"/>
              </w:rPr>
              <w:t>本基金的基金经理、易方达月月利理财债券型证券投资基金的基金经理、易方达增金宝货币市场基金的基金经理、易方达龙宝货币市场基金的基金经理、易方达财富快线货币市场基金的基金经理、易方达天天增利货币市场基金的基金经理、易方达掌柜季季盈理财债券型证券投资基金的基金经理、易方达保证金收益货币市场基金的基金经理、易方达安悦超短债债券型证券投资基金的基金经理、易方达货币市场基金的基金经理助理、易方达天天理财货币市场基金的基金经理助理、易方达易理财货币市场基金的基金经理助理、易方达天天发货币市场基金的基金经理助理、投资经理</w:t>
            </w:r>
          </w:p>
        </w:tc>
        <w:tc>
          <w:tcPr>
            <w:vAlign w:val="center"/>
          </w:tcPr>
          <w:p>
            <w:pPr>
              <w:jc w:val="center"/>
            </w:pPr>
            <w:r>
              <w:rPr>
                <w:color w:val="000000"/>
                <w:sz w:val="24"/>
              </w:rPr>
              <w:t>2015-06-19</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E23C1B" w:rsidR="00EA3F40" w:rsidRDefault="00E23C1B" w:rsidRPr="00613409">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4.2 </w:t>
      </w:r>
      <w:r w:rsidRPr="0044342F">
        <w:rPr>
          <w:rFonts w:ascii="宋体" w:cs="Arial" w:hAnsi="宋体" w:hint="eastAsia"/>
          <w:b/>
          <w:color w:val="000000"/>
          <w:kern w:val="0"/>
          <w:sz w:val="24"/>
        </w:rPr>
        <w:t>管理人对报告期内本基金运作遵规守信情况的说明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A755D" w:rsidR="00EA3F40" w:rsidRDefault="00EA3F40"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4.3 </w:t>
      </w:r>
      <w:r w:rsidRPr="0097021E">
        <w:rPr>
          <w:rFonts w:ascii="宋体" w:cs="Arial" w:hAnsi="宋体" w:hint="eastAsia"/>
          <w:b/>
          <w:color w:val="000000"/>
          <w:kern w:val="0"/>
          <w:sz w:val="24"/>
        </w:rPr>
        <w:t>公平交易专项说明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4.3.1</w:t>
        </w:r>
      </w:smartTag>
      <w:r w:rsidRPr="0097021E">
        <w:rPr>
          <w:rFonts w:ascii="宋体" w:hAnsi="宋体"/>
          <w:sz w:val="24"/>
        </w:rPr>
        <w:t xml:space="preserve"> </w:t>
      </w:r>
      <w:r w:rsidRPr="0097021E">
        <w:rPr>
          <w:rFonts w:ascii="宋体" w:hAnsi="宋体" w:hint="eastAsia"/>
          <w:sz w:val="24"/>
        </w:rPr>
        <w:t>公平交易制度的执行情况</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4.3.2</w:t>
        </w:r>
      </w:smartTag>
      <w:r w:rsidRPr="0097021E">
        <w:rPr>
          <w:rFonts w:ascii="宋体" w:hAnsi="宋体"/>
          <w:sz w:val="24"/>
        </w:rPr>
        <w:t xml:space="preserve"> </w:t>
      </w:r>
      <w:r w:rsidRPr="0097021E">
        <w:rPr>
          <w:rFonts w:ascii="宋体" w:hAnsi="宋体" w:hint="eastAsia"/>
          <w:sz w:val="24"/>
        </w:rPr>
        <w:t>异常交易行为的专项说明</w:t>
      </w:r>
    </w:p>
    <w:p>
      <w:pPr>
        <w:adjustRightInd w:val="0"/>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本报告期内，未发现本基金有可能导致不公平交易和利益输送的异常交易。</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4.4 </w:t>
      </w:r>
      <w:r w:rsidRPr="0097021E">
        <w:rPr>
          <w:rFonts w:ascii="宋体" w:cs="Arial" w:hAnsi="宋体" w:hint="eastAsia"/>
          <w:b/>
          <w:color w:val="000000"/>
          <w:kern w:val="0"/>
          <w:sz w:val="24"/>
        </w:rPr>
        <w:t>报告期内基金的投资策略和业绩表现说明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4.4.1</w:t>
        </w:r>
      </w:smartTag>
      <w:r w:rsidRPr="0097021E">
        <w:rPr>
          <w:rFonts w:ascii="宋体" w:hAnsi="宋体" w:hint="eastAsia"/>
          <w:sz w:val="24"/>
        </w:rPr>
        <w:t>报告期内基金投资策略和运作分析</w:t>
      </w:r>
    </w:p>
    <w:p>
      <w:pPr>
        <w:adjustRightInd w:val="0"/>
        <w:spacing w:line="360" w:lineRule="auto"/>
        <w:ind w:firstLine="480" w:firstLineChars="200"/>
        <w:rPr>
          <w:color w:val="000000"/>
          <w:sz w:val="24"/>
        </w:rPr>
      </w:pPr>
      <w:r>
        <w:rPr>
          <w:color w:val="000000"/>
          <w:sz w:val="24"/>
        </w:rPr>
        <w:t>2020年二季度，宏观经济总体来看呈现边际企稳复苏的态势。4月工业增加值同比增长3.9%，5月工业增加值同比增长4.4%，显示虽然经济回升的速度在放缓，但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adjustRightInd w:val="0"/>
        <w:spacing w:line="360" w:lineRule="auto"/>
        <w:ind w:firstLine="480" w:firstLineChars="200"/>
        <w:rPr>
          <w:color w:val="000000"/>
          <w:sz w:val="24"/>
        </w:rPr>
      </w:pPr>
      <w:r>
        <w:rPr>
          <w:color w:val="000000"/>
          <w:sz w:val="24"/>
        </w:rPr>
        <w:t>债券市场在二季度收益率先下后上，波动较大。季初，受海内外疫情继续发酵的持续影响，市场风险偏好仍处于相对低位。清明节期间，央行实行了定向降准，同时将超额准备金利率从0.72%下调到0.35%，资金面整体更加宽松，债券市场各期限收益率快速下行。5月上旬，货币政策进一步宽松的程度不及市场预期，随着央行开始打击资金空转套利，货币市场各资产收益率出现小幅上行，货币市场在5月底呈现短期紧张。在此期间，叠加经济修复延续，债券市场长端收益率开始上行。随后，社融放量强化了经济修复预期，债券收益率进一步大幅上行，货币市场上行幅度更大，收益率曲线呈现出熊平趋势。进入6月，货币环境仍未好转，在此期间，地方债巨量发行，债券市场市场情绪进一步悲观，一级市场发行利率不断上行，推动二级市场各期限债券收益率持续大幅上行。直到半年末，央行开启公开市场逆回购操作呵护半年末流动性后，市场情绪有所恢复，债券市场和货币市场收益率趋于稳定。信用债走势与利率债类似，全季来看收益率整体大幅上行。</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操作方面，报告期内基金以同业存单、同业存款、短期逆回购为主要配置资产，同时根据自身的客户结构特性进行了资产配置，维持了适当的剩余期限和杠杆率。总体来看，组合在二季度保持了较好的流动性和稳定的收益率。</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4.4.2</w:t>
        </w:r>
      </w:smartTag>
      <w:r w:rsidRPr="0097021E">
        <w:rPr>
          <w:rFonts w:ascii="宋体" w:hAnsi="宋体" w:hint="eastAsia"/>
          <w:sz w:val="24"/>
        </w:rPr>
        <w:t>报告期内基金的业绩表现</w:t>
      </w:r>
    </w:p>
    <w:p w:rsidP="00613409" w:rsidR="00EA3F40" w:rsidRDefault="00EA3F40" w:rsidRPr="00613409">
      <w:pPr>
        <w:adjustRightInd w:val="0"/>
        <w:spacing w:line="360" w:lineRule="auto"/>
        <w:ind w:firstLine="480" w:firstLineChars="200"/>
        <w:rPr>
          <w:color w:val="000000"/>
          <w:sz w:val="24"/>
        </w:rPr>
      </w:pPr>
      <w:bookmarkStart w:id="0" w:name="_Toc255486598"/>
      <w:bookmarkStart w:id="1" w:name="_Toc245193825"/>
      <w:r w:rsidRPr="001752C7">
        <w:rPr>
          <w:color w:val="000000"/>
          <w:sz w:val="24"/>
        </w:rPr>
        <w:t>本基金本报告期内A类基金份额净值收益率为0.5004%，同期业绩比较基准收益率为0.3418%；B类基金份额净值收益率为0.5605%，同期业绩比较基准收益率为0.3418%；C类基金份额净值收益率为0.5505%，同期业绩比较基准收益率为0.3418%。</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5  </w:t>
      </w:r>
      <w:r w:rsidRPr="0097021E">
        <w:rPr>
          <w:rFonts w:ascii="宋体" w:cs="Arial" w:hAnsi="宋体" w:hint="eastAsia"/>
          <w:color w:val="000000"/>
          <w:kern w:val="0"/>
          <w:sz w:val="24"/>
          <w:szCs w:val="24"/>
        </w:rPr>
        <w:t>投资组合报告</w:t>
      </w:r>
    </w:p>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5.1 </w:t>
      </w:r>
      <w:r w:rsidRPr="0097021E">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3119"/>
        <w:gridCol w:w="1843"/>
      </w:tblGrid>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序号</w:t>
            </w:r>
          </w:p>
        </w:tc>
        <w:tc>
          <w:tcPr>
            <w:tcW w:type="dxa" w:w="3357"/>
            <w:vAlign w:val="center"/>
          </w:tcPr>
          <w:p w:rsidP="00196812" w:rsidR="00EA3F40" w:rsidRDefault="00EA3F40" w:rsidRPr="00613409">
            <w:pPr>
              <w:spacing w:before="29" w:line="360" w:lineRule="auto"/>
              <w:ind w:left="17"/>
              <w:jc w:val="center"/>
              <w:rPr>
                <w:color w:val="000000"/>
                <w:sz w:val="24"/>
              </w:rPr>
            </w:pPr>
            <w:r w:rsidRPr="00613409">
              <w:rPr>
                <w:color w:val="000000"/>
                <w:sz w:val="24"/>
              </w:rPr>
              <w:t>项目</w:t>
            </w:r>
          </w:p>
        </w:tc>
        <w:tc>
          <w:tcPr>
            <w:tcW w:type="dxa" w:w="3119"/>
            <w:vAlign w:val="center"/>
          </w:tcPr>
          <w:p w:rsidP="007C3671" w:rsidR="00EA3F40" w:rsidRDefault="00EA3F40" w:rsidRPr="00613409">
            <w:pPr>
              <w:spacing w:before="29" w:line="360" w:lineRule="auto"/>
              <w:ind w:left="17"/>
              <w:jc w:val="center"/>
              <w:rPr>
                <w:color w:val="000000"/>
                <w:sz w:val="24"/>
              </w:rPr>
            </w:pPr>
            <w:r w:rsidRPr="00613409">
              <w:rPr>
                <w:color w:val="000000"/>
                <w:sz w:val="24"/>
              </w:rPr>
              <w:t>金额</w:t>
            </w:r>
            <w:r w:rsidR="007C3671" w:rsidRPr="00613409">
              <w:rPr>
                <w:color w:val="000000"/>
                <w:sz w:val="24"/>
              </w:rPr>
              <w:t>（元）</w:t>
            </w:r>
          </w:p>
        </w:tc>
        <w:tc>
          <w:tcPr>
            <w:tcW w:type="dxa" w:w="1843"/>
            <w:vAlign w:val="center"/>
          </w:tcPr>
          <w:p w:rsidP="007C3671" w:rsidR="00EA3F40" w:rsidRDefault="00EA3F40" w:rsidRPr="00613409">
            <w:pPr>
              <w:spacing w:before="29" w:line="360" w:lineRule="auto"/>
              <w:ind w:left="17"/>
              <w:jc w:val="center"/>
              <w:rPr>
                <w:color w:val="000000"/>
                <w:sz w:val="24"/>
              </w:rPr>
            </w:pPr>
            <w:r w:rsidRPr="00613409">
              <w:rPr>
                <w:color w:val="000000"/>
                <w:sz w:val="24"/>
              </w:rPr>
              <w:t>占基金总资产的比例</w:t>
            </w:r>
            <w:r w:rsidR="007C3671" w:rsidRPr="00613409">
              <w:rPr>
                <w:color w:val="000000"/>
                <w:sz w:val="24"/>
              </w:rPr>
              <w:t>（</w:t>
            </w:r>
            <w:r w:rsidR="007C3671" w:rsidRPr="00613409">
              <w:rPr>
                <w:color w:val="000000"/>
                <w:sz w:val="24"/>
              </w:rPr>
              <w:t>%</w:t>
            </w:r>
            <w:r w:rsidR="007C3671"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1</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固定收益投资</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21,962,105,673.95</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32.44</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其中：债券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20,610,817,214.11</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30.44</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9216A0" w:rsidR="00EA3F40" w:rsidRDefault="00EA3F40" w:rsidRPr="00613409">
            <w:pPr>
              <w:autoSpaceDE w:val="0"/>
              <w:autoSpaceDN w:val="0"/>
              <w:adjustRightInd w:val="0"/>
              <w:spacing w:before="29" w:line="360" w:lineRule="auto"/>
              <w:ind w:firstLine="720" w:firstLineChars="300" w:left="17"/>
              <w:jc w:val="left"/>
              <w:rPr>
                <w:color w:val="000000"/>
                <w:sz w:val="24"/>
              </w:rPr>
            </w:pPr>
            <w:r w:rsidRPr="00613409">
              <w:rPr>
                <w:color w:val="000000"/>
                <w:sz w:val="24"/>
              </w:rPr>
              <w:t>资产支持证券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1,351,288,459.84</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2.00</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2</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24,840,997,597.27</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
            </w:r>
            <w:r w:rsidRPr="00613409">
              <w:rPr>
                <w:color w:val="000000"/>
                <w:sz w:val="24"/>
              </w:rPr>
              <w:lastRenderedPageBreak/>
              <w:t>36.69</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其中：买断式回购的买入返售金融资产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3</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银行存款和结算备付金合计</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20,551,753,508.51</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30.35</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4</w:t>
            </w:r>
          </w:p>
        </w:tc>
        <w:tc>
          <w:tcPr>
            <w:tcW w:type="dxa" w:w="3357"/>
            <w:vAlign w:val="center"/>
          </w:tcPr>
          <w:p w:rsidP="00196812" w:rsidR="00EA3F40" w:rsidRDefault="00EA3F40" w:rsidRPr="00613409">
            <w:pPr>
              <w:spacing w:line="360" w:lineRule="auto"/>
              <w:jc w:val="left"/>
              <w:rPr>
                <w:sz w:val="24"/>
              </w:rPr>
            </w:pPr>
            <w:r w:rsidRPr="00613409">
              <w:rPr>
                <w:color w:val="000000"/>
                <w:sz w:val="24"/>
              </w:rPr>
              <w:t>其他资产</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355,413,651.97</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
            </w:r>
            <w:r w:rsidRPr="00613409">
              <w:rPr>
                <w:color w:val="000000"/>
                <w:sz w:val="24"/>
              </w:rPr>
              <w:lastRenderedPageBreak/>
              <w:t>0.52</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lastRenderedPageBreak/>
              <w:t>5</w:t>
            </w:r>
          </w:p>
        </w:tc>
        <w:tc>
          <w:tcPr>
            <w:tcW w:type="dxa" w:w="3357"/>
            <w:vAlign w:val="center"/>
          </w:tcPr>
          <w:p w:rsidP="00196812" w:rsidR="00EA3F40" w:rsidRDefault="00EA3F40" w:rsidRPr="00613409">
            <w:pPr>
              <w:spacing w:line="360" w:lineRule="auto"/>
              <w:jc w:val="left"/>
              <w:rPr>
                <w:sz w:val="24"/>
              </w:rPr>
            </w:pPr>
            <w:r w:rsidRPr="00613409">
              <w:rPr>
                <w:color w:val="000000"/>
                <w:sz w:val="24"/>
              </w:rPr>
              <w:t>合计</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67,710,270,431.70</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100.00</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5.2 </w:t>
      </w:r>
      <w:r w:rsidRPr="0097021E">
        <w:rPr>
          <w:rFonts w:ascii="宋体" w:cs="Arial" w:hAnsi="宋体" w:hint="eastAsia"/>
          <w:b/>
          <w:color w:val="000000"/>
          <w:kern w:val="0"/>
          <w:sz w:val="24"/>
        </w:rPr>
        <w:t>报告期债券回购融资情况</w:t>
      </w:r>
    </w:p>
    <w:tbl>
      <w:tblPr>
        <w:tblW w:type="auto" w:w="0"/>
        <w:tblInd w:type="dxa" w:w="108"/>
        <w:tblLayout w:type="fixed"/>
        <w:tblLook w:firstColumn="0" w:firstRow="0" w:lastColumn="0" w:lastRow="0" w:noHBand="0" w:noVBand="0" w:val="0000"/>
      </w:tblPr>
      <w:tblGrid>
        <w:gridCol w:w="861"/>
        <w:gridCol w:w="3108"/>
        <w:gridCol w:w="2977"/>
        <w:gridCol w:w="2126"/>
      </w:tblGrid>
      <w:tr w:rsidR="00EA3F40" w:rsidRPr="0097021E" w:rsidTr="00F11244">
        <w:tc>
          <w:tcPr>
            <w:tcW w:type="dxa" w:w="861"/>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项目</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占基金资产净值的比例（％）</w:t>
            </w:r>
          </w:p>
        </w:tc>
      </w:tr>
      <w:tr w:rsidR="00EA3F40" w:rsidRPr="0097021E" w:rsidTr="00F11244">
        <w:tc>
          <w:tcPr>
            <w:tcW w:type="dxa" w:w="861"/>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1</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报告期内债券回购融资余额</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9.75</w:t>
            </w:r>
          </w:p>
        </w:tc>
      </w:tr>
      <w:tr w:rsidR="00EA3F40" w:rsidRPr="0097021E" w:rsidTr="00F11244">
        <w:trPr>
          <w:trHeight w:val="712"/>
        </w:trPr>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r w:rsidR="00EA3F40" w:rsidRPr="0097021E" w:rsidTr="00F11244">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项目</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金额</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color w:val="000000"/>
                <w:kern w:val="0"/>
                <w:sz w:val="24"/>
              </w:rPr>
              <w:t>占基金资产净值的比例（％）</w:t>
            </w:r>
          </w:p>
        </w:tc>
      </w:tr>
      <w:tr w:rsidR="00EA3F40" w:rsidRPr="0097021E" w:rsidTr="00F11244">
        <w:tc>
          <w:tcPr>
            <w:tcW w:type="dxa" w:w="861"/>
            <w:vMerge w:val="restart"/>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sz w:val="24"/>
              </w:rPr>
              <w:t>2</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报告期末债券回购融资余额</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5,844,855,537.48</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9.48</w:t>
            </w:r>
          </w:p>
        </w:tc>
      </w:tr>
      <w:tr w:rsidR="00EA3F40" w:rsidRPr="0097021E" w:rsidTr="00F11244">
        <w:tc>
          <w:tcPr>
            <w:tcW w:type="dxa" w:w="861"/>
            <w:vMerge/>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bl>
    <w:p w:rsidP="00613409" w:rsidR="00EA3F40" w:rsidRDefault="00EA3F40" w:rsidRPr="00613409">
      <w:pPr>
        <w:adjustRightInd w:val="0"/>
        <w:spacing w:line="360" w:lineRule="auto"/>
        <w:ind w:firstLine="480" w:firstLineChars="200"/>
        <w:rPr>
          <w:color w:val="000000"/>
          <w:sz w:val="24"/>
        </w:rPr>
      </w:pPr>
      <w:r w:rsidRPr="001752C7">
        <w:rPr>
          <w:color w:val="000000"/>
          <w:sz w:val="24"/>
        </w:rPr>
        <w:t>注：上表中报告期内债券回购融资余额占基金资产净值的比例为报告期内每个交易日融资余额占基金资产净值比例的简单平均值。</w:t>
      </w:r>
    </w:p>
    <w:p w:rsidP="00196812" w:rsidR="00EA3F40" w:rsidRDefault="00EA3F40"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债券正回购的资金余额超过基金资产净值的</w:t>
      </w:r>
      <w:r w:rsidRPr="003A0EC1">
        <w:rPr>
          <w:rFonts w:ascii="宋体" w:cs="Arial" w:hAnsi="宋体"/>
          <w:b/>
          <w:color w:val="000000"/>
          <w:kern w:val="0"/>
          <w:sz w:val="24"/>
        </w:rPr>
        <w:t>20</w:t>
      </w:r>
      <w:r w:rsidRPr="003A0EC1">
        <w:rPr>
          <w:rFonts w:ascii="宋体" w:cs="Arial" w:hAnsi="宋体" w:hint="eastAsia"/>
          <w:b/>
          <w:color w:val="000000"/>
          <w:kern w:val="0"/>
          <w:sz w:val="24"/>
        </w:rPr>
        <w:t>％的说明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在本报告期内本货币市场基金债券正回购的资金余额未超过资产净值的20%。</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 </w:t>
      </w:r>
      <w:r w:rsidRPr="0097021E">
        <w:rPr>
          <w:rFonts w:ascii="宋体" w:cs="Arial" w:hAnsi="宋体" w:hint="eastAsia"/>
          <w:b/>
          <w:color w:val="000000"/>
          <w:kern w:val="0"/>
          <w:sz w:val="24"/>
        </w:rPr>
        <w:t>基金投资组合平均剩余期限</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5.3.1 </w:t>
      </w:r>
      <w:r w:rsidRPr="0097021E">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056"/>
        <w:gridCol w:w="5016"/>
      </w:tblGrid>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501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天数</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报告期末投资组合平均剩余期限</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103</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报告期内投资组合平均剩余期限最高值</w:t>
            </w:r>
          </w:p>
        </w:tc>
        <w:tc>
          <w:tcPr>
            <w:tcW w:type="dxa" w:w="5016"/>
            <w:vAlign w:val="center"/>
          </w:tcPr>
          <w:p w:rsidP="00196812" w:rsidR="00EA3F40" w:rsidRDefault="00EA3F40" w:rsidRPr="00613409">
            <w:pPr>
              <w:spacing w:line="360" w:lineRule="auto"/>
              <w:jc w:val="right"/>
              <w:rPr>
                <w:sz w:val="24"/>
              </w:rPr>
            </w:pPr>
            <w:r w:rsidRPr="00613409">
              <w:rPr>
                <w:color w:val="000000"/>
                <w:sz w:val="24"/>
              </w:rPr>
              <w:t/>
            </w:r>
            <w:r w:rsidRPr="00613409">
              <w:rPr>
                <w:sz w:val="24"/>
              </w:rPr>
              <w:t>117</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报告期内投资组合平均剩余期限最低值</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81</w:t>
            </w:r>
          </w:p>
        </w:tc>
      </w:tr>
    </w:tbl>
    <w:p w:rsidP="00546492" w:rsidR="00546492" w:rsidRDefault="00546492" w:rsidRPr="00546492">
      <w:pPr>
        <w:spacing w:line="360" w:lineRule="auto"/>
        <w:rPr>
          <w:rFonts w:ascii="宋体" w:cs="Arial" w:hAnsi="宋体"/>
          <w:b/>
          <w:color w:val="000000"/>
          <w:kern w:val="0"/>
          <w:sz w:val="24"/>
        </w:rPr>
      </w:pPr>
      <w:r w:rsidRPr="00546492">
        <w:rPr>
          <w:rFonts w:ascii="宋体" w:cs="Arial" w:hAnsi="宋体" w:hint="eastAsia"/>
          <w:b/>
          <w:color w:val="000000"/>
          <w:kern w:val="0"/>
          <w:sz w:val="24"/>
        </w:rPr>
        <w:t>报告期内投资组合平均剩余期限超过</w:t>
      </w:r>
      <w:r w:rsidRPr="00546492">
        <w:rPr>
          <w:rFonts w:ascii="宋体" w:cs="Arial" w:hAnsi="宋体"/>
          <w:b/>
          <w:color w:val="000000"/>
          <w:kern w:val="0"/>
          <w:sz w:val="24"/>
        </w:rPr>
        <w:t>1</w:t>
      </w:r>
      <w:r w:rsidRPr="00546492">
        <w:rPr>
          <w:rFonts w:ascii="宋体" w:cs="Arial" w:hAnsi="宋体" w:hint="eastAsia"/>
          <w:b/>
          <w:color w:val="000000"/>
          <w:kern w:val="0"/>
          <w:sz w:val="24"/>
        </w:rPr>
        <w:t>20天情况说明</w:t>
      </w:r>
    </w:p>
    <w:p w:rsidP="00613409" w:rsidR="00546492" w:rsidRDefault="00546492" w:rsidRPr="00546492">
      <w:pPr>
        <w:adjustRightInd w:val="0"/>
        <w:spacing w:line="360" w:lineRule="auto"/>
        <w:ind w:firstLine="480" w:firstLineChars="200"/>
        <w:rPr>
          <w:color w:val="000000"/>
          <w:sz w:val="24"/>
        </w:rPr>
      </w:pPr>
      <w:r w:rsidRPr="00546492">
        <w:rPr>
          <w:color w:val="000000"/>
          <w:sz w:val="24"/>
        </w:rPr>
        <w:lastRenderedPageBreak/>
        <w:t>本报告期内本货币市场基金投资组合平均剩余期限未超过120天。</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5.3.2 </w:t>
      </w:r>
      <w:r w:rsidRPr="0097021E">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51"/>
        <w:gridCol w:w="3351"/>
        <w:gridCol w:w="2529"/>
        <w:gridCol w:w="2431"/>
      </w:tblGrid>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序号</w:t>
            </w:r>
          </w:p>
        </w:tc>
        <w:tc>
          <w:tcPr>
            <w:tcW w:type="dxa" w:w="33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平均剩余期限</w:t>
            </w:r>
            <w:r w:rsidRPr="007A1ACF">
              <w:rPr>
                <w:color w:val="000000"/>
                <w:kern w:val="0"/>
                <w:sz w:val="24"/>
              </w:rPr>
              <w:t/>
            </w:r>
          </w:p>
        </w:tc>
        <w:tc>
          <w:tcPr>
            <w:tcW w:type="dxa" w:w="2529"/>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各期限资产占基金资产净值的比例（</w:t>
            </w:r>
            <w:r w:rsidRPr="007A1ACF">
              <w:rPr>
                <w:color w:val="000000"/>
                <w:kern w:val="0"/>
                <w:sz w:val="24"/>
              </w:rPr>
              <w:t>%</w:t>
            </w:r>
            <w:r w:rsidRPr="007A1ACF">
              <w:rPr>
                <w:color w:val="000000"/>
                <w:kern w:val="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各期限负债占基金资产净值的比例（％）</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sz w:val="24"/>
              </w:rPr>
              <w:t>1</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天以内</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36.69</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9.56</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
            </w:r>
            <w:r w:rsidRPr="007A1ACF">
              <w:rPr>
                <w:color w:val="000000"/>
                <w:sz w:val="24"/>
              </w:rPr>
              <w:lastRenderedPageBreak/>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lastRenderedPageBreak/>
              <w:t/>
            </w:r>
            <w:r w:rsidRPr="007A1ACF">
              <w:rPr>
                <w:color w:val="000000"/>
                <w:sz w:val="24"/>
              </w:rPr>
              <w:lastRenderedPageBreak/>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2</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天（含）</w:t>
            </w:r>
            <w:r w:rsidRPr="007A1ACF">
              <w:rPr>
                <w:color w:val="000000"/>
                <w:sz w:val="24"/>
              </w:rPr>
              <w:t>—60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8.52</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t>3</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60</w:t>
            </w:r>
            <w:r w:rsidRPr="007A1ACF">
              <w:rPr>
                <w:color w:val="000000"/>
                <w:sz w:val="24"/>
              </w:rPr>
              <w:t>天（含）</w:t>
            </w:r>
            <w:r w:rsidRPr="007A1ACF">
              <w:rPr>
                <w:color w:val="000000"/>
                <w:sz w:val="24"/>
              </w:rPr>
              <w:t>—90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20.09</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4</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90</w:t>
            </w:r>
            <w:r w:rsidRPr="009F2322">
              <w:rPr>
                <w:color w:val="000000"/>
                <w:sz w:val="24"/>
              </w:rPr>
              <w:t>天（含）</w:t>
            </w:r>
            <w:r w:rsidRPr="009F2322">
              <w:rPr>
                <w:color w:val="000000"/>
                <w:sz w:val="24"/>
              </w:rPr>
              <w:t>—120</w:t>
            </w:r>
            <w:r w:rsidRPr="009F2322">
              <w:rPr>
                <w:color w:val="000000"/>
                <w:sz w:val="24"/>
              </w:rPr>
              <w:t>天</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6.39</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
            </w:r>
            <w:r w:rsidRPr="009F2322">
              <w:rPr>
                <w:color w:val="000000"/>
                <w:sz w:val="24"/>
              </w:rPr>
              <w:lastRenderedPageBreak/>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lastRenderedPageBreak/>
              <w:t/>
            </w:r>
            <w:r w:rsidRPr="009F2322">
              <w:rPr>
                <w:color w:val="000000"/>
                <w:sz w:val="24"/>
              </w:rPr>
              <w:lastRenderedPageBreak/>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5</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120</w:t>
            </w:r>
            <w:r w:rsidRPr="009F2322">
              <w:rPr>
                <w:color w:val="000000"/>
                <w:sz w:val="24"/>
              </w:rPr>
              <w:t>天（含）</w:t>
            </w:r>
            <w:r w:rsidRPr="009F2322">
              <w:rPr>
                <w:color w:val="000000"/>
                <w:sz w:val="24"/>
              </w:rPr>
              <w:t>—397</w:t>
            </w:r>
            <w:r w:rsidRPr="009F2322">
              <w:rPr>
                <w:color w:val="000000"/>
                <w:sz w:val="24"/>
              </w:rPr>
              <w:t>天（含）</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37.55</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4202"/>
            <w:gridSpan w:val="2"/>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合计</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109.24</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9.56</w:t>
            </w:r>
          </w:p>
        </w:tc>
      </w:tr>
    </w:tbl>
    <w:p w:rsidP="007A1ACF" w:rsidR="007A1ACF" w:rsidRDefault="007A1ACF" w:rsidRPr="007A1ACF">
      <w:pPr>
        <w:spacing w:line="360" w:lineRule="auto"/>
        <w:rPr>
          <w:rFonts w:ascii="宋体" w:cs="Arial" w:hAnsi="宋体"/>
          <w:b/>
          <w:color w:val="000000"/>
          <w:kern w:val="0"/>
          <w:sz w:val="24"/>
        </w:rPr>
      </w:pPr>
      <w:r w:rsidRPr="007A1ACF">
        <w:rPr>
          <w:rFonts w:ascii="宋体" w:cs="Arial" w:hAnsi="宋体" w:hint="eastAsia"/>
          <w:b/>
          <w:color w:val="000000"/>
          <w:kern w:val="0"/>
          <w:sz w:val="24"/>
        </w:rPr>
        <w:t>5.4</w:t>
      </w:r>
      <w:r>
        <w:rPr>
          <w:rFonts w:ascii="宋体" w:hAnsi="宋体" w:hint="eastAsia"/>
          <w:b/>
          <w:color w:val="000000"/>
          <w:sz w:val="24"/>
        </w:rPr>
        <w:t>报告期内投资组合平均剩余存续期超过240天情况说明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本报告期内本货币市场基金投资组合平均剩余存续期未超过240天。</w:t>
      </w:r>
    </w:p>
    <w:p w:rsidP="00710B11" w:rsidR="00710B11" w:rsidRDefault="00EA3F40" w:rsidRPr="00675D72">
      <w:pPr>
        <w:spacing w:line="360" w:lineRule="auto"/>
        <w:rPr>
          <w:b/>
          <w:color w:val="000000"/>
          <w:kern w:val="0"/>
          <w:sz w:val="24"/>
        </w:rPr>
      </w:pPr>
      <w:r w:rsidRPr="0097021E">
        <w:rPr>
          <w:rFonts w:ascii="宋体" w:cs="Arial" w:hAnsi="宋体"/>
          <w:b/>
          <w:color w:val="000000"/>
          <w:kern w:val="0"/>
          <w:sz w:val="24"/>
        </w:rPr>
        <w:lastRenderedPageBreak/>
        <w:t>5.</w:t>
      </w:r>
      <w:r w:rsidR="007A1ACF">
        <w:rPr>
          <w:rFonts w:ascii="宋体" w:cs="Arial" w:hAnsi="宋体" w:hint="eastAsia"/>
          <w:b/>
          <w:color w:val="000000"/>
          <w:kern w:val="0"/>
          <w:sz w:val="24"/>
        </w:rPr>
        <w:t>5</w:t>
      </w:r>
      <w:r w:rsidRPr="0097021E">
        <w:rPr>
          <w:rFonts w:ascii="宋体" w:cs="Arial" w:hAnsi="宋体"/>
          <w:b/>
          <w:color w:val="000000"/>
          <w:kern w:val="0"/>
          <w:sz w:val="24"/>
        </w:rPr>
        <w:t xml:space="preserve"> </w:t>
      </w:r>
      <w:r w:rsidRPr="0097021E">
        <w:rPr>
          <w:rFonts w:ascii="宋体" w:cs="Arial" w:hAnsi="宋体" w:hint="eastAsia"/>
          <w:b/>
          <w:color w:val="000000"/>
          <w:kern w:val="0"/>
          <w:sz w:val="24"/>
        </w:rPr>
        <w:t>报告期末按债券品种分类的债券投资组合</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3119"/>
        <w:gridCol w:w="1984"/>
      </w:tblGrid>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序号</w:t>
            </w:r>
          </w:p>
        </w:tc>
        <w:tc>
          <w:tcPr>
            <w:tcW w:type="dxa" w:w="3260"/>
            <w:vAlign w:val="center"/>
          </w:tcPr>
          <w:p w:rsidP="00546492" w:rsidR="00710B11" w:rsidRDefault="00710B11" w:rsidRPr="00675D72">
            <w:pPr>
              <w:spacing w:before="29" w:line="360" w:lineRule="auto"/>
              <w:ind w:left="17"/>
              <w:jc w:val="center"/>
              <w:rPr>
                <w:color w:val="000000"/>
                <w:sz w:val="24"/>
              </w:rPr>
            </w:pPr>
            <w:r w:rsidRPr="00675D72">
              <w:rPr>
                <w:color w:val="000000"/>
                <w:sz w:val="24"/>
              </w:rPr>
              <w:t>债券品种</w:t>
            </w:r>
            <w:r w:rsidRPr="00675D72">
              <w:rPr>
                <w:color w:val="000000"/>
                <w:sz w:val="24"/>
              </w:rPr>
              <w:t/>
            </w:r>
          </w:p>
        </w:tc>
        <w:tc>
          <w:tcPr>
            <w:tcW w:type="dxa" w:w="3119"/>
            <w:vAlign w:val="center"/>
          </w:tcPr>
          <w:p w:rsidP="00546492" w:rsidR="00710B11" w:rsidRDefault="00710B11" w:rsidRPr="00675D72">
            <w:pPr>
              <w:spacing w:before="29" w:line="360" w:lineRule="auto"/>
              <w:ind w:left="17"/>
              <w:jc w:val="center"/>
              <w:rPr>
                <w:color w:val="000000"/>
                <w:sz w:val="24"/>
              </w:rPr>
            </w:pPr>
            <w:r w:rsidRPr="00675D72">
              <w:rPr>
                <w:color w:val="000000"/>
                <w:sz w:val="24"/>
              </w:rPr>
              <w:t>摊余成本（元）</w:t>
            </w:r>
          </w:p>
        </w:tc>
        <w:tc>
          <w:tcPr>
            <w:tcW w:type="dxa" w:w="1984"/>
            <w:vAlign w:val="center"/>
          </w:tcPr>
          <w:p w:rsidP="00546492" w:rsidR="00710B11" w:rsidRDefault="00710B11" w:rsidRPr="00675D72">
            <w:pPr>
              <w:spacing w:before="29" w:line="360" w:lineRule="auto"/>
              <w:ind w:left="17"/>
              <w:jc w:val="center"/>
              <w:rPr>
                <w:color w:val="000000"/>
                <w:sz w:val="24"/>
              </w:rPr>
            </w:pPr>
            <w:r w:rsidRPr="00675D72">
              <w:rPr>
                <w:color w:val="000000"/>
                <w:sz w:val="24"/>
              </w:rPr>
              <w:t>占基金资产净值比例</w:t>
            </w:r>
            <w:r w:rsidRPr="00675D72">
              <w:rPr>
                <w:color w:val="000000"/>
                <w:sz w:val="24"/>
              </w:rPr>
              <w:t>(</w:t>
            </w:r>
            <w:r w:rsidRPr="00675D72">
              <w:rPr>
                <w:color w:val="000000"/>
                <w:sz w:val="24"/>
              </w:rPr>
              <w:t>％</w:t>
            </w: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国家债券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339,250,636.64</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0.55</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2</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央行票据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3</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金融债券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3,562,583,114.26</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5.78</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其中：政策性金融债</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3,162,577,392.65</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5.13</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4</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
            </w:r>
            <w:r w:rsidRPr="00675D72">
              <w:rPr>
                <w:color w:val="000000"/>
                <w:sz w:val="24"/>
              </w:rPr>
              <w:lastRenderedPageBreak/>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5</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企业短期融资券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4,683,888,358.71</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7.60</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6</w:t>
            </w:r>
          </w:p>
        </w:tc>
        <w:tc>
          <w:tcPr>
            <w:tcW w:type="dxa" w:w="3260"/>
            <w:vAlign w:val="center"/>
          </w:tcPr>
          <w:p w:rsidP="00C91200" w:rsidR="00710B11" w:rsidRDefault="00710B11" w:rsidRPr="00675D72">
            <w:pPr>
              <w:spacing w:before="29" w:line="360" w:lineRule="auto"/>
              <w:ind w:left="17"/>
              <w:jc w:val="left"/>
              <w:rPr>
                <w:color w:val="000000"/>
                <w:sz w:val="24"/>
              </w:rPr>
            </w:pPr>
            <w:r w:rsidRPr="00675D72">
              <w:rPr>
                <w:color w:val="000000"/>
                <w:sz w:val="24"/>
              </w:rPr>
              <w:t>中期票据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668,335,802.47</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1.08</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7</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同业存单</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11,356,759,302.03</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18.42</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8</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其他</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9</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合计</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20,610,817,214.11</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33.43</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10</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剩余存续期超过</w:t>
            </w:r>
            <w:r w:rsidRPr="00675D72">
              <w:rPr>
                <w:color w:val="000000"/>
                <w:sz w:val="24"/>
              </w:rPr>
              <w:t>397</w:t>
            </w:r>
            <w:r w:rsidRPr="00675D72">
              <w:rPr>
                <w:color w:val="000000"/>
                <w:sz w:val="24"/>
              </w:rPr>
              <w:t>天的浮动利率债券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6</w:t>
      </w:r>
      <w:r w:rsidRPr="0097021E">
        <w:rPr>
          <w:rFonts w:ascii="宋体" w:cs="Arial" w:hAnsi="宋体"/>
          <w:b/>
          <w:color w:val="000000"/>
          <w:kern w:val="0"/>
          <w:sz w:val="24"/>
        </w:rPr>
        <w:t xml:space="preserve"> </w:t>
      </w:r>
      <w:r w:rsidR="00AD6777">
        <w:rPr>
          <w:rFonts w:ascii="宋体" w:cs="Arial" w:hAnsi="宋体" w:hint="eastAsia"/>
          <w:b/>
          <w:color w:val="000000"/>
          <w:kern w:val="0"/>
          <w:sz w:val="24"/>
        </w:rPr>
        <w:t>报告期末按摊余成本占基金资产净值比例大小排名</w:t>
      </w:r>
      <w:r w:rsidRPr="0097021E">
        <w:rPr>
          <w:rFonts w:ascii="宋体" w:cs="Arial" w:hAnsi="宋体" w:hint="eastAsia"/>
          <w:b/>
          <w:color w:val="000000"/>
          <w:kern w:val="0"/>
          <w:sz w:val="24"/>
        </w:rPr>
        <w:t>的前十名债券投资明细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227"/>
        <w:gridCol w:w="1226"/>
        <w:gridCol w:w="1226"/>
        <w:gridCol w:w="2047"/>
        <w:gridCol w:w="1840"/>
        <w:gridCol w:w="1721"/>
      </w:tblGrid>
      <w:tr w:rsidR="00EA3F40" w:rsidRPr="0097021E" w:rsidTr="00053472">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债券代码</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债券名称</w:t>
            </w:r>
          </w:p>
        </w:tc>
        <w:tc>
          <w:tcPr>
            <w:tcW w:type="dxa" w:w="2119"/>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债券数量</w:t>
            </w:r>
          </w:p>
          <w:p w:rsidP="007C3671" w:rsidR="00EA3F40" w:rsidRDefault="007C3671"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（张）</w:t>
            </w:r>
          </w:p>
        </w:tc>
        <w:tc>
          <w:tcPr>
            <w:tcW w:type="dxa" w:w="1787"/>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摊余成本</w:t>
            </w:r>
            <w:r w:rsidR="007C3671" w:rsidRPr="00613409">
              <w:rPr>
                <w:color w:val="000000"/>
                <w:kern w:val="0"/>
                <w:sz w:val="24"/>
              </w:rPr>
              <w:t>（元）</w:t>
            </w:r>
          </w:p>
        </w:tc>
        <w:tc>
          <w:tcPr>
            <w:tcW w:type="dxa" w:w="1595"/>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112080843</w:t>
            </w:r>
          </w:p>
        </w:tc>
        <w:tc>
          <w:tcPr>
            <w:vAlign w:val="center"/>
          </w:tcPr>
          <w:p>
            <w:pPr>
              <w:jc w:val="center"/>
            </w:pPr>
            <w:r>
              <w:rPr>
                <w:color w:val="000000"/>
                <w:sz w:val="24"/>
              </w:rPr>
              <w:t>20南京银行CD070</w:t>
            </w:r>
          </w:p>
        </w:tc>
        <w:tc>
          <w:tcPr>
            <w:vAlign w:val="center"/>
          </w:tcPr>
          <w:p>
            <w:pPr>
              <w:jc w:val="right"/>
            </w:pPr>
            <w:r>
              <w:rPr>
                <w:color w:val="000000"/>
                <w:sz w:val="24"/>
              </w:rPr>
              <w:t>10,000,000</w:t>
            </w:r>
          </w:p>
        </w:tc>
        <w:tc>
          <w:tcPr>
            <w:vAlign w:val="center"/>
          </w:tcPr>
          <w:p>
            <w:pPr>
              <w:jc w:val="right"/>
            </w:pPr>
            <w:r>
              <w:rPr>
                <w:color w:val="000000"/>
                <w:sz w:val="24"/>
              </w:rPr>
              <w:t>995,877,202.12</w:t>
            </w:r>
          </w:p>
        </w:tc>
        <w:tc>
          <w:tcPr>
            <w:vAlign w:val="center"/>
          </w:tcPr>
          <w:p>
            <w:pPr>
              <w:jc w:val="right"/>
            </w:pPr>
            <w:r>
              <w:rPr>
                <w:color w:val="000000"/>
                <w:sz w:val="24"/>
              </w:rPr>
              <w:t>1.62</w:t>
            </w:r>
          </w:p>
        </w:tc>
      </w:tr>
      <w:tr>
        <w:tc>
          <w:tcPr>
            <w:vAlign w:val="center"/>
          </w:tcPr>
          <w:p>
            <w:pPr>
              <w:jc w:val="center"/>
            </w:pPr>
            <w:r>
              <w:rPr>
                <w:color w:val="000000"/>
                <w:sz w:val="24"/>
              </w:rPr>
              <w:t>2</w:t>
            </w:r>
          </w:p>
        </w:tc>
        <w:tc>
          <w:tcPr>
            <w:vAlign w:val="center"/>
          </w:tcPr>
          <w:p>
            <w:pPr>
              <w:jc w:val="center"/>
            </w:pPr>
            <w:r>
              <w:rPr>
                <w:color w:val="000000"/>
                <w:sz w:val="24"/>
              </w:rPr>
              <w:t>112013016</w:t>
            </w:r>
          </w:p>
        </w:tc>
        <w:tc>
          <w:tcPr>
            <w:vAlign w:val="center"/>
          </w:tcPr>
          <w:p>
            <w:pPr>
              <w:jc w:val="center"/>
            </w:pPr>
            <w:r>
              <w:rPr>
                <w:color w:val="000000"/>
                <w:sz w:val="24"/>
              </w:rPr>
              <w:t>20浙商银行CD016</w:t>
            </w:r>
          </w:p>
        </w:tc>
        <w:tc>
          <w:tcPr>
            <w:vAlign w:val="center"/>
          </w:tcPr>
          <w:p>
            <w:pPr>
              <w:jc w:val="right"/>
            </w:pPr>
            <w:r>
              <w:rPr>
                <w:color w:val="000000"/>
                <w:sz w:val="24"/>
              </w:rPr>
              <w:t>10,000,000</w:t>
            </w:r>
          </w:p>
        </w:tc>
        <w:tc>
          <w:tcPr>
            <w:vAlign w:val="center"/>
          </w:tcPr>
          <w:p>
            <w:pPr>
              <w:jc w:val="right"/>
            </w:pPr>
            <w:r>
              <w:rPr>
                <w:color w:val="000000"/>
                <w:sz w:val="24"/>
              </w:rPr>
              <w:t>990,189,138.02</w:t>
            </w:r>
          </w:p>
        </w:tc>
        <w:tc>
          <w:tcPr>
            <w:vAlign w:val="center"/>
          </w:tcPr>
          <w:p>
            <w:pPr>
              <w:jc w:val="right"/>
            </w:pPr>
            <w:r>
              <w:rPr>
                <w:color w:val="000000"/>
                <w:sz w:val="24"/>
              </w:rPr>
              <w:t>1.61</w:t>
            </w:r>
          </w:p>
        </w:tc>
      </w:tr>
      <w:tr>
        <w:tc>
          <w:tcPr>
            <w:vAlign w:val="center"/>
          </w:tcPr>
          <w:p>
            <w:pPr>
              <w:jc w:val="center"/>
            </w:pPr>
            <w:r>
              <w:rPr>
                <w:color w:val="000000"/>
                <w:sz w:val="24"/>
              </w:rPr>
              <w:t>3</w:t>
            </w:r>
          </w:p>
        </w:tc>
        <w:tc>
          <w:tcPr>
            <w:vAlign w:val="center"/>
          </w:tcPr>
          <w:p>
            <w:pPr>
              <w:jc w:val="center"/>
            </w:pPr>
            <w:r>
              <w:rPr>
                <w:color w:val="000000"/>
                <w:sz w:val="24"/>
              </w:rPr>
              <w:t>200401</w:t>
            </w:r>
          </w:p>
        </w:tc>
        <w:tc>
          <w:tcPr>
            <w:vAlign w:val="center"/>
          </w:tcPr>
          <w:p>
            <w:pPr>
              <w:jc w:val="center"/>
            </w:pPr>
            <w:r>
              <w:rPr>
                <w:color w:val="000000"/>
                <w:sz w:val="24"/>
              </w:rPr>
              <w:t>20农发01</w:t>
            </w:r>
          </w:p>
        </w:tc>
        <w:tc>
          <w:tcPr>
            <w:vAlign w:val="center"/>
          </w:tcPr>
          <w:p>
            <w:pPr>
              <w:jc w:val="right"/>
            </w:pPr>
            <w:r>
              <w:rPr>
                <w:color w:val="000000"/>
                <w:sz w:val="24"/>
              </w:rPr>
              <w:t>8,400,000</w:t>
            </w:r>
          </w:p>
        </w:tc>
        <w:tc>
          <w:tcPr>
            <w:vAlign w:val="center"/>
          </w:tcPr>
          <w:p>
            <w:pPr>
              <w:jc w:val="right"/>
            </w:pPr>
            <w:r>
              <w:rPr>
                <w:color w:val="000000"/>
                <w:sz w:val="24"/>
              </w:rPr>
              <w:t>842,620,444.34</w:t>
            </w:r>
          </w:p>
        </w:tc>
        <w:tc>
          <w:tcPr>
            <w:vAlign w:val="center"/>
          </w:tcPr>
          <w:p>
            <w:pPr>
              <w:jc w:val="right"/>
            </w:pPr>
            <w:r>
              <w:rPr>
                <w:color w:val="000000"/>
                <w:sz w:val="24"/>
              </w:rPr>
              <w:t>1.37</w:t>
            </w:r>
          </w:p>
        </w:tc>
      </w:tr>
      <w:tr>
        <w:tc>
          <w:tcPr>
            <w:vAlign w:val="center"/>
          </w:tcPr>
          <w:p>
            <w:pPr>
              <w:jc w:val="center"/>
            </w:pPr>
            <w:r>
              <w:rPr>
                <w:color w:val="000000"/>
                <w:sz w:val="24"/>
              </w:rPr>
              <w:t>4</w:t>
            </w:r>
          </w:p>
        </w:tc>
        <w:tc>
          <w:tcPr>
            <w:vAlign w:val="center"/>
          </w:tcPr>
          <w:p>
            <w:pPr>
              <w:jc w:val="center"/>
            </w:pPr>
            <w:r>
              <w:rPr>
                <w:color w:val="000000"/>
                <w:sz w:val="24"/>
              </w:rPr>
              <w:t>112008009</w:t>
            </w:r>
          </w:p>
        </w:tc>
        <w:tc>
          <w:tcPr>
            <w:vAlign w:val="center"/>
          </w:tcPr>
          <w:p>
            <w:pPr>
              <w:jc w:val="center"/>
            </w:pPr>
            <w:r>
              <w:rPr>
                <w:color w:val="000000"/>
                <w:sz w:val="24"/>
              </w:rPr>
              <w:t>20中信银行CD009</w:t>
            </w:r>
          </w:p>
        </w:tc>
        <w:tc>
          <w:tcPr>
            <w:vAlign w:val="center"/>
          </w:tcPr>
          <w:p>
            <w:pPr>
              <w:jc w:val="right"/>
            </w:pPr>
            <w:r>
              <w:rPr>
                <w:color w:val="000000"/>
                <w:sz w:val="24"/>
              </w:rPr>
              <w:t>7,000,000</w:t>
            </w:r>
          </w:p>
        </w:tc>
        <w:tc>
          <w:tcPr>
            <w:vAlign w:val="center"/>
          </w:tcPr>
          <w:p>
            <w:pPr>
              <w:jc w:val="right"/>
            </w:pPr>
            <w:r>
              <w:rPr>
                <w:color w:val="000000"/>
                <w:sz w:val="24"/>
              </w:rPr>
              <w:t>695,287,675.70</w:t>
            </w:r>
          </w:p>
        </w:tc>
        <w:tc>
          <w:tcPr>
            <w:vAlign w:val="center"/>
          </w:tcPr>
          <w:p>
            <w:pPr>
              <w:jc w:val="right"/>
            </w:pPr>
            <w:r>
              <w:rPr>
                <w:color w:val="000000"/>
                <w:sz w:val="24"/>
              </w:rPr>
              <w:t>1.13</w:t>
            </w:r>
          </w:p>
        </w:tc>
      </w:tr>
      <w:tr>
        <w:tc>
          <w:tcPr>
            <w:vAlign w:val="center"/>
          </w:tcPr>
          <w:p>
            <w:pPr>
              <w:jc w:val="center"/>
            </w:pPr>
            <w:r>
              <w:rPr>
                <w:color w:val="000000"/>
                <w:sz w:val="24"/>
              </w:rPr>
              <w:t>5</w:t>
            </w:r>
          </w:p>
        </w:tc>
        <w:tc>
          <w:tcPr>
            <w:vAlign w:val="center"/>
          </w:tcPr>
          <w:p>
            <w:pPr>
              <w:jc w:val="center"/>
            </w:pPr>
            <w:r>
              <w:rPr>
                <w:color w:val="000000"/>
                <w:sz w:val="24"/>
              </w:rPr>
              <w:t>112006020</w:t>
            </w:r>
          </w:p>
        </w:tc>
        <w:tc>
          <w:tcPr>
            <w:vAlign w:val="center"/>
          </w:tcPr>
          <w:p>
            <w:pPr>
              <w:jc w:val="center"/>
            </w:pPr>
            <w:r>
              <w:rPr>
                <w:color w:val="000000"/>
                <w:sz w:val="24"/>
              </w:rPr>
              <w:t>20交通银行CD020</w:t>
            </w:r>
          </w:p>
        </w:tc>
        <w:tc>
          <w:tcPr>
            <w:vAlign w:val="center"/>
          </w:tcPr>
          <w:p>
            <w:pPr>
              <w:jc w:val="right"/>
            </w:pPr>
            <w:r>
              <w:rPr>
                <w:color w:val="000000"/>
                <w:sz w:val="24"/>
              </w:rPr>
              <w:t>6,000,000</w:t>
            </w:r>
          </w:p>
        </w:tc>
        <w:tc>
          <w:tcPr>
            <w:vAlign w:val="center"/>
          </w:tcPr>
          <w:p>
            <w:pPr>
              <w:jc w:val="right"/>
            </w:pPr>
            <w:r>
              <w:rPr>
                <w:color w:val="000000"/>
                <w:sz w:val="24"/>
              </w:rPr>
              <w:t>592,118,553.21</w:t>
            </w:r>
          </w:p>
        </w:tc>
        <w:tc>
          <w:tcPr>
            <w:vAlign w:val="center"/>
          </w:tcPr>
          <w:p>
            <w:pPr>
              <w:jc w:val="right"/>
            </w:pPr>
            <w:r>
              <w:rPr>
                <w:color w:val="000000"/>
                <w:sz w:val="24"/>
              </w:rPr>
              <w:t>0.96</w:t>
            </w:r>
          </w:p>
        </w:tc>
      </w:tr>
      <w:tr>
        <w:tc>
          <w:tcPr>
            <w:vAlign w:val="center"/>
          </w:tcPr>
          <w:p>
            <w:pPr>
              <w:jc w:val="center"/>
            </w:pPr>
            <w:r>
              <w:rPr>
                <w:color w:val="000000"/>
                <w:sz w:val="24"/>
              </w:rPr>
              <w:t>6</w:t>
            </w:r>
          </w:p>
        </w:tc>
        <w:tc>
          <w:tcPr>
            <w:vAlign w:val="center"/>
          </w:tcPr>
          <w:p>
            <w:pPr>
              <w:jc w:val="center"/>
            </w:pPr>
            <w:r>
              <w:rPr>
                <w:color w:val="000000"/>
                <w:sz w:val="24"/>
              </w:rPr>
              <w:t>180203</w:t>
            </w:r>
          </w:p>
        </w:tc>
        <w:tc>
          <w:tcPr>
            <w:vAlign w:val="center"/>
          </w:tcPr>
          <w:p>
            <w:pPr>
              <w:jc w:val="center"/>
            </w:pPr>
            <w:r>
              <w:rPr>
                <w:color w:val="000000"/>
                <w:sz w:val="24"/>
              </w:rPr>
              <w:t>18国开03</w:t>
            </w:r>
          </w:p>
        </w:tc>
        <w:tc>
          <w:tcPr>
            <w:vAlign w:val="center"/>
          </w:tcPr>
          <w:p>
            <w:pPr>
              <w:jc w:val="right"/>
            </w:pPr>
            <w:r>
              <w:rPr>
                <w:color w:val="000000"/>
                <w:sz w:val="24"/>
              </w:rPr>
              <w:t>5,700,000</w:t>
            </w:r>
          </w:p>
        </w:tc>
        <w:tc>
          <w:tcPr>
            <w:vAlign w:val="center"/>
          </w:tcPr>
          <w:p>
            <w:pPr>
              <w:jc w:val="right"/>
            </w:pPr>
            <w:r>
              <w:rPr>
                <w:color w:val="000000"/>
                <w:sz w:val="24"/>
              </w:rPr>
              <w:t>581,581,643.20</w:t>
            </w:r>
          </w:p>
        </w:tc>
        <w:tc>
          <w:tcPr>
            <w:vAlign w:val="center"/>
          </w:tcPr>
          <w:p>
            <w:pPr>
              <w:jc w:val="right"/>
            </w:pPr>
            <w:r>
              <w:rPr>
                <w:color w:val="000000"/>
                <w:sz w:val="24"/>
              </w:rPr>
              <w:t>0.94</w:t>
            </w:r>
          </w:p>
        </w:tc>
      </w:tr>
      <w:tr>
        <w:tc>
          <w:tcPr>
            <w:vAlign w:val="center"/>
          </w:tcPr>
          <w:p>
            <w:pPr>
              <w:jc w:val="center"/>
            </w:pPr>
            <w:r>
              <w:rPr>
                <w:color w:val="000000"/>
                <w:sz w:val="24"/>
              </w:rPr>
              <w:t>7</w:t>
            </w:r>
          </w:p>
        </w:tc>
        <w:tc>
          <w:tcPr>
            <w:vAlign w:val="center"/>
          </w:tcPr>
          <w:p>
            <w:pPr>
              <w:jc w:val="center"/>
            </w:pPr>
            <w:r>
              <w:rPr>
                <w:color w:val="000000"/>
                <w:sz w:val="24"/>
              </w:rPr>
              <w:t>111909245</w:t>
            </w:r>
          </w:p>
        </w:tc>
        <w:tc>
          <w:tcPr>
            <w:vAlign w:val="center"/>
          </w:tcPr>
          <w:p>
            <w:pPr>
              <w:jc w:val="center"/>
            </w:pPr>
            <w:r>
              <w:rPr>
                <w:color w:val="000000"/>
                <w:sz w:val="24"/>
              </w:rPr>
              <w:t>19浦发银行CD245</w:t>
            </w:r>
          </w:p>
        </w:tc>
        <w:tc>
          <w:tcPr>
            <w:vAlign w:val="center"/>
          </w:tcPr>
          <w:p>
            <w:pPr>
              <w:jc w:val="right"/>
            </w:pPr>
            <w:r>
              <w:rPr>
                <w:color w:val="000000"/>
                <w:sz w:val="24"/>
              </w:rPr>
              <w:t>5,000,000</w:t>
            </w:r>
          </w:p>
        </w:tc>
        <w:tc>
          <w:tcPr>
            <w:vAlign w:val="center"/>
          </w:tcPr>
          <w:p>
            <w:pPr>
              <w:jc w:val="right"/>
            </w:pPr>
            <w:r>
              <w:rPr>
                <w:color w:val="000000"/>
                <w:sz w:val="24"/>
              </w:rPr>
              <w:t>499,374,305.20</w:t>
            </w:r>
          </w:p>
        </w:tc>
        <w:tc>
          <w:tcPr>
            <w:vAlign w:val="center"/>
          </w:tcPr>
          <w:p>
            <w:pPr>
              <w:jc w:val="right"/>
            </w:pPr>
            <w:r>
              <w:rPr>
                <w:color w:val="000000"/>
                <w:sz w:val="24"/>
              </w:rPr>
              <w:t>0.81</w:t>
            </w:r>
          </w:p>
        </w:tc>
      </w:tr>
      <w:tr>
        <w:tc>
          <w:tcPr>
            <w:vAlign w:val="center"/>
          </w:tcPr>
          <w:p>
            <w:pPr>
              <w:jc w:val="center"/>
            </w:pPr>
            <w:r>
              <w:rPr>
                <w:color w:val="000000"/>
                <w:sz w:val="24"/>
              </w:rPr>
              <w:t>8</w:t>
            </w:r>
          </w:p>
        </w:tc>
        <w:tc>
          <w:tcPr>
            <w:vAlign w:val="center"/>
          </w:tcPr>
          <w:p>
            <w:pPr>
              <w:jc w:val="center"/>
            </w:pPr>
            <w:r>
              <w:rPr>
                <w:color w:val="000000"/>
                <w:sz w:val="24"/>
              </w:rPr>
              <w:t>111970162</w:t>
            </w:r>
          </w:p>
        </w:tc>
        <w:tc>
          <w:tcPr>
            <w:vAlign w:val="center"/>
          </w:tcPr>
          <w:p>
            <w:pPr>
              <w:jc w:val="center"/>
            </w:pPr>
            <w:r>
              <w:rPr>
                <w:color w:val="000000"/>
                <w:sz w:val="24"/>
              </w:rPr>
              <w:t>19南京银行CD085</w:t>
            </w:r>
          </w:p>
        </w:tc>
        <w:tc>
          <w:tcPr>
            <w:vAlign w:val="center"/>
          </w:tcPr>
          <w:p>
            <w:pPr>
              <w:jc w:val="right"/>
            </w:pPr>
            <w:r>
              <w:rPr>
                <w:color w:val="000000"/>
                <w:sz w:val="24"/>
              </w:rPr>
              <w:t>5,000,000</w:t>
            </w:r>
          </w:p>
        </w:tc>
        <w:tc>
          <w:tcPr>
            <w:vAlign w:val="center"/>
          </w:tcPr>
          <w:p>
            <w:pPr>
              <w:jc w:val="right"/>
            </w:pPr>
            <w:r>
              <w:rPr>
                <w:color w:val="000000"/>
                <w:sz w:val="24"/>
              </w:rPr>
              <w:t>496,879,762.60</w:t>
            </w:r>
          </w:p>
        </w:tc>
        <w:tc>
          <w:tcPr>
            <w:vAlign w:val="center"/>
          </w:tcPr>
          <w:p>
            <w:pPr>
              <w:jc w:val="right"/>
            </w:pPr>
            <w:r>
              <w:rPr>
                <w:color w:val="000000"/>
                <w:sz w:val="24"/>
              </w:rPr>
              <w:t>0.81</w:t>
            </w:r>
          </w:p>
        </w:tc>
      </w:tr>
      <w:tr>
        <w:tc>
          <w:tcPr>
            <w:vAlign w:val="center"/>
          </w:tcPr>
          <w:p>
            <w:pPr>
              <w:jc w:val="center"/>
            </w:pPr>
            <w:r>
              <w:rPr>
                <w:color w:val="000000"/>
                <w:sz w:val="24"/>
              </w:rPr>
              <w:t>9</w:t>
            </w:r>
          </w:p>
        </w:tc>
        <w:tc>
          <w:tcPr>
            <w:vAlign w:val="center"/>
          </w:tcPr>
          <w:p>
            <w:pPr>
              <w:jc w:val="center"/>
            </w:pPr>
            <w:r>
              <w:rPr>
                <w:color w:val="000000"/>
                <w:sz w:val="24"/>
              </w:rPr>
              <w:t>111914188</w:t>
            </w:r>
          </w:p>
        </w:tc>
        <w:tc>
          <w:tcPr>
            <w:vAlign w:val="center"/>
          </w:tcPr>
          <w:p>
            <w:pPr>
              <w:jc w:val="center"/>
            </w:pPr>
            <w:r>
              <w:rPr>
                <w:color w:val="000000"/>
                <w:sz w:val="24"/>
              </w:rPr>
              <w:t>19江苏银行CD188</w:t>
            </w:r>
          </w:p>
        </w:tc>
        <w:tc>
          <w:tcPr>
            <w:vAlign w:val="center"/>
          </w:tcPr>
          <w:p>
            <w:pPr>
              <w:jc w:val="right"/>
            </w:pPr>
            <w:r>
              <w:rPr>
                <w:color w:val="000000"/>
                <w:sz w:val="24"/>
              </w:rPr>
              <w:t>5,000,000</w:t>
            </w:r>
          </w:p>
        </w:tc>
        <w:tc>
          <w:tcPr>
            <w:vAlign w:val="center"/>
          </w:tcPr>
          <w:p>
            <w:pPr>
              <w:jc w:val="right"/>
            </w:pPr>
            <w:r>
              <w:rPr>
                <w:color w:val="000000"/>
                <w:sz w:val="24"/>
              </w:rPr>
              <w:t>496,705,786.51</w:t>
            </w:r>
          </w:p>
        </w:tc>
        <w:tc>
          <w:tcPr>
            <w:vAlign w:val="center"/>
          </w:tcPr>
          <w:p>
            <w:pPr>
              <w:jc w:val="right"/>
            </w:pPr>
            <w:r>
              <w:rPr>
                <w:color w:val="000000"/>
                <w:sz w:val="24"/>
              </w:rPr>
              <w:t>0.81</w:t>
            </w:r>
          </w:p>
        </w:tc>
      </w:tr>
      <w:tr>
        <w:tc>
          <w:tcPr>
            <w:vAlign w:val="center"/>
          </w:tcPr>
          <w:p>
            <w:pPr>
              <w:jc w:val="center"/>
            </w:pPr>
            <w:r>
              <w:rPr>
                <w:color w:val="000000"/>
                <w:sz w:val="24"/>
              </w:rPr>
              <w:t>10</w:t>
            </w:r>
          </w:p>
        </w:tc>
        <w:tc>
          <w:tcPr>
            <w:vAlign w:val="center"/>
          </w:tcPr>
          <w:p>
            <w:pPr>
              <w:jc w:val="center"/>
            </w:pPr>
            <w:r>
              <w:rPr>
                <w:color w:val="000000"/>
                <w:sz w:val="24"/>
              </w:rPr>
              <w:t>112006028</w:t>
            </w:r>
          </w:p>
        </w:tc>
        <w:tc>
          <w:tcPr>
            <w:vAlign w:val="center"/>
          </w:tcPr>
          <w:p>
            <w:pPr>
              <w:jc w:val="center"/>
            </w:pPr>
            <w:r>
              <w:rPr>
                <w:color w:val="000000"/>
                <w:sz w:val="24"/>
              </w:rPr>
              <w:t>20交通银行CD028</w:t>
            </w:r>
          </w:p>
        </w:tc>
        <w:tc>
          <w:tcPr>
            <w:vAlign w:val="center"/>
          </w:tcPr>
          <w:p>
            <w:pPr>
              <w:jc w:val="right"/>
            </w:pPr>
            <w:r>
              <w:rPr>
                <w:color w:val="000000"/>
                <w:sz w:val="24"/>
              </w:rPr>
              <w:t>5,000,000</w:t>
            </w:r>
          </w:p>
        </w:tc>
        <w:tc>
          <w:tcPr>
            <w:vAlign w:val="center"/>
          </w:tcPr>
          <w:p>
            <w:pPr>
              <w:jc w:val="right"/>
            </w:pPr>
            <w:r>
              <w:rPr>
                <w:color w:val="000000"/>
                <w:sz w:val="24"/>
              </w:rPr>
              <w:t>492,451,158.66</w:t>
            </w:r>
          </w:p>
        </w:tc>
        <w:tc>
          <w:tcPr>
            <w:vAlign w:val="center"/>
          </w:tcPr>
          <w:p>
            <w:pPr>
              <w:jc w:val="right"/>
            </w:pPr>
            <w:r>
              <w:rPr>
                <w:color w:val="000000"/>
                <w:sz w:val="24"/>
              </w:rPr>
              <w:t>0.80</w:t>
            </w:r>
          </w:p>
        </w:tc>
      </w:tr>
    </w:tbl>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7</w:t>
      </w:r>
      <w:r w:rsidRPr="0097021E">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812"/>
        <w:gridCol w:w="3382"/>
      </w:tblGrid>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338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偏离情况</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报告期内偏离度的绝对值在</w:t>
            </w:r>
            <w:r w:rsidRPr="00613409">
              <w:rPr>
                <w:color w:val="000000"/>
                <w:kern w:val="0"/>
                <w:sz w:val="24"/>
              </w:rPr>
              <w:t>0.25(</w:t>
            </w:r>
            <w:r w:rsidRPr="00613409">
              <w:rPr>
                <w:color w:val="000000"/>
                <w:kern w:val="0"/>
                <w:sz w:val="24"/>
              </w:rPr>
              <w:t>含</w:t>
            </w:r>
            <w:r w:rsidRPr="00613409">
              <w:rPr>
                <w:color w:val="000000"/>
                <w:kern w:val="0"/>
                <w:sz w:val="24"/>
              </w:rPr>
              <w:t>)-0.5%</w:t>
            </w:r>
            <w:r w:rsidRPr="00613409">
              <w:rPr>
                <w:color w:val="000000"/>
                <w:kern w:val="0"/>
                <w:sz w:val="24"/>
              </w:rPr>
              <w:t>间的次数</w:t>
            </w:r>
          </w:p>
        </w:tc>
        <w:tc>
          <w:tcPr>
            <w:tcW w:type="dxa" w:w="3382"/>
            <w:vAlign w:val="bottom"/>
          </w:tcPr>
          <w:p w:rsidP="00196812" w:rsidR="00EA3F40" w:rsidRDefault="00EA3F40" w:rsidRPr="00613409">
            <w:pPr>
              <w:spacing w:line="360" w:lineRule="auto"/>
              <w:jc w:val="right"/>
              <w:rPr>
                <w:sz w:val="24"/>
              </w:rPr>
            </w:pPr>
            <w:r w:rsidRPr="00613409">
              <w:rPr>
                <w:color w:val="000000"/>
                <w:sz w:val="24"/>
              </w:rPr>
              <w:t/>
            </w:r>
            <w:r w:rsidRPr="00613409">
              <w:rPr>
                <w:color w:val="000000"/>
                <w:sz w:val="24"/>
              </w:rPr>
              <w:lastRenderedPageBreak/>
              <w:t>0</w:t>
            </w:r>
            <w:r w:rsidRPr="00613409">
              <w:rPr>
                <w:color w:val="000000"/>
                <w:sz w:val="24"/>
              </w:rPr>
              <w:t>次</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lastRenderedPageBreak/>
              <w:t>报告期内偏离度的最高值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0.2368%</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报告期内偏离度的最低值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-0.0029%</w:t>
            </w:r>
          </w:p>
        </w:tc>
      </w:tr>
      <w:tr w:rsidR="00EA3F40" w:rsidRPr="0097021E" w:rsidTr="00C526E2">
        <w:tc>
          <w:tcPr>
            <w:tcW w:type="dxa" w:w="5812"/>
            <w:vAlign w:val="center"/>
          </w:tcPr>
          <w:p w:rsidP="00BD0F36"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报告期内每个工作日偏离度的绝对值的简单平均值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0.1335%</w:t>
            </w:r>
          </w:p>
        </w:tc>
      </w:tr>
    </w:tbl>
    <w:p w:rsidP="007A1ACF" w:rsidR="007A1ACF" w:rsidRDefault="007A1ACF" w:rsidRPr="007A1ACF">
      <w:pPr>
        <w:spacing w:line="360" w:lineRule="auto"/>
        <w:rPr>
          <w:b/>
          <w:color w:val="000000"/>
          <w:kern w:val="0"/>
          <w:sz w:val="24"/>
        </w:rPr>
      </w:pPr>
      <w:r w:rsidRPr="007A1ACF">
        <w:rPr>
          <w:b/>
          <w:color w:val="000000"/>
          <w:sz w:val="24"/>
        </w:rPr>
        <w:t>报告期内负偏离度的绝对值达到</w:t>
      </w:r>
      <w:r w:rsidRPr="007A1ACF">
        <w:rPr>
          <w:b/>
          <w:color w:val="000000"/>
          <w:sz w:val="24"/>
        </w:rPr>
        <w:t>0.25%</w:t>
      </w:r>
      <w:r w:rsidRPr="007A1ACF">
        <w:rPr>
          <w:b/>
          <w:color w:val="000000"/>
          <w:sz w:val="24"/>
        </w:rPr>
        <w:t>情况说明</w:t>
      </w:r>
    </w:p>
    <w:p w:rsidP="007A1ACF" w:rsidR="007A1ACF" w:rsidRDefault="007A1ACF" w:rsidRPr="007A1ACF">
      <w:pPr>
        <w:adjustRightInd w:val="0"/>
        <w:spacing w:line="360" w:lineRule="auto"/>
        <w:ind w:firstLine="480" w:firstLineChars="200"/>
        <w:rPr>
          <w:color w:val="000000"/>
          <w:sz w:val="24"/>
        </w:rPr>
      </w:pPr>
      <w:r w:rsidRPr="007A1ACF">
        <w:rPr>
          <w:color w:val="000000"/>
          <w:sz w:val="24"/>
        </w:rPr>
        <w:t/>
      </w:r>
      <w:r w:rsidRPr="007A1ACF">
        <w:rPr>
          <w:color w:val="000000"/>
          <w:sz w:val="24"/>
        </w:rPr>
        <w:lastRenderedPageBreak/>
        <w:t>本基金本报告期内不存在负偏离度的绝对值达到0.25%的情况。</w:t>
      </w:r>
    </w:p>
    <w:p w:rsidP="007A1ACF" w:rsidR="007A1ACF" w:rsidRDefault="007A1ACF" w:rsidRPr="007A1ACF">
      <w:pPr>
        <w:spacing w:line="360" w:lineRule="auto"/>
        <w:rPr>
          <w:b/>
          <w:color w:val="000000"/>
          <w:kern w:val="0"/>
          <w:sz w:val="24"/>
        </w:rPr>
      </w:pPr>
      <w:r w:rsidRPr="007A1ACF">
        <w:rPr>
          <w:b/>
          <w:color w:val="000000"/>
          <w:sz w:val="24"/>
        </w:rPr>
        <w:t>报告期内正偏离度的绝对值达到</w:t>
      </w:r>
      <w:r w:rsidRPr="007A1ACF">
        <w:rPr>
          <w:b/>
          <w:color w:val="000000"/>
          <w:sz w:val="24"/>
        </w:rPr>
        <w:t>0.5%</w:t>
      </w:r>
      <w:r w:rsidRPr="007A1ACF">
        <w:rPr>
          <w:b/>
          <w:color w:val="000000"/>
          <w:sz w:val="24"/>
        </w:rPr>
        <w:t>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本基金本报告期内不存在正偏离度的绝对值达到0.5%的情况。</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8</w:t>
      </w:r>
      <w:r w:rsidR="00AD6777">
        <w:rPr>
          <w:rFonts w:ascii="宋体" w:cs="Arial" w:hAnsi="宋体" w:hint="eastAsia"/>
          <w:b/>
          <w:color w:val="000000"/>
          <w:kern w:val="0"/>
          <w:sz w:val="24"/>
        </w:rPr>
        <w:t>报告期末按公允价值占基金资产净值比例大小排名</w:t>
      </w:r>
      <w:r w:rsidRPr="0097021E">
        <w:rPr>
          <w:rFonts w:ascii="宋体" w:cs="Arial" w:hAnsi="宋体" w:hint="eastAsia"/>
          <w:b/>
          <w:color w:val="000000"/>
          <w:kern w:val="0"/>
          <w:sz w:val="24"/>
        </w:rPr>
        <w:t>的前十名资产支持证券投资明细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411"/>
        <w:gridCol w:w="1410"/>
        <w:gridCol w:w="1410"/>
        <w:gridCol w:w="1685"/>
        <w:gridCol w:w="1685"/>
        <w:gridCol w:w="1686"/>
      </w:tblGrid>
      <w:tr w:rsidR="00EA3F40" w:rsidRPr="0097021E" w:rsidTr="00841A22">
        <w:tc>
          <w:tcPr>
            <w:tcW w:type="dxa" w:w="1547"/>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证券代码</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证券名称</w:t>
            </w:r>
          </w:p>
        </w:tc>
        <w:tc>
          <w:tcPr>
            <w:tcW w:type="dxa" w:w="1548"/>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数量</w:t>
            </w:r>
            <w:r w:rsidR="007C3671" w:rsidRPr="00613409">
              <w:rPr>
                <w:color w:val="000000"/>
                <w:kern w:val="0"/>
                <w:sz w:val="24"/>
              </w:rPr>
              <w:t>（份）</w:t>
            </w:r>
          </w:p>
        </w:tc>
        <w:tc>
          <w:tcPr>
            <w:tcW w:type="dxa" w:w="1548"/>
            <w:vAlign w:val="center"/>
          </w:tcPr>
          <w:p w:rsidP="007C3671" w:rsidR="00EA3F40" w:rsidRDefault="00DE4550" w:rsidRPr="00613409">
            <w:pPr>
              <w:autoSpaceDE w:val="0"/>
              <w:autoSpaceDN w:val="0"/>
              <w:adjustRightInd w:val="0"/>
              <w:spacing w:before="29" w:line="360" w:lineRule="auto"/>
              <w:ind w:left="15"/>
              <w:jc w:val="center"/>
              <w:rPr>
                <w:color w:val="000000"/>
                <w:kern w:val="0"/>
                <w:sz w:val="24"/>
              </w:rPr>
            </w:pPr>
            <w:r w:rsidRPr="00DE4550">
              <w:rPr>
                <w:rFonts w:hint="eastAsia"/>
                <w:color w:val="000000"/>
                <w:kern w:val="0"/>
                <w:sz w:val="24"/>
              </w:rPr>
              <w:t>摊余成本</w:t>
            </w:r>
            <w:r w:rsidR="007C3671" w:rsidRPr="00613409">
              <w:rPr>
                <w:color w:val="000000"/>
                <w:kern w:val="0"/>
                <w:sz w:val="24"/>
              </w:rPr>
              <w:t>（元）</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138162</w:t>
            </w:r>
          </w:p>
        </w:tc>
        <w:tc>
          <w:tcPr>
            <w:vAlign w:val="center"/>
          </w:tcPr>
          <w:p>
            <w:pPr>
              <w:jc w:val="center"/>
            </w:pPr>
            <w:r>
              <w:rPr>
                <w:color w:val="000000"/>
                <w:sz w:val="24"/>
              </w:rPr>
              <w:t>蚁信12A</w:t>
            </w:r>
          </w:p>
        </w:tc>
        <w:tc>
          <w:tcPr>
            <w:vAlign w:val="center"/>
          </w:tcPr>
          <w:p>
            <w:pPr>
              <w:jc w:val="right"/>
            </w:pPr>
            <w:r>
              <w:rPr>
                <w:color w:val="000000"/>
                <w:sz w:val="24"/>
              </w:rPr>
              <w:t>880,000</w:t>
            </w:r>
          </w:p>
        </w:tc>
        <w:tc>
          <w:tcPr>
            <w:vAlign w:val="center"/>
          </w:tcPr>
          <w:p>
            <w:pPr>
              <w:jc w:val="right"/>
            </w:pPr>
            <w:r>
              <w:rPr>
                <w:color w:val="000000"/>
                <w:sz w:val="24"/>
              </w:rPr>
              <w:t>88,000,000.00</w:t>
            </w:r>
          </w:p>
        </w:tc>
        <w:tc>
          <w:tcPr>
            <w:vAlign w:val="center"/>
          </w:tcPr>
          <w:p>
            <w:pPr>
              <w:jc w:val="right"/>
            </w:pPr>
            <w:r>
              <w:rPr>
                <w:color w:val="000000"/>
                <w:sz w:val="24"/>
              </w:rPr>
              <w:t>0.14</w:t>
            </w:r>
          </w:p>
        </w:tc>
      </w:tr>
      <w:tr>
        <w:tc>
          <w:tcPr>
            <w:vAlign w:val="center"/>
          </w:tcPr>
          <w:p>
            <w:pPr>
              <w:jc w:val="center"/>
            </w:pPr>
            <w:r>
              <w:rPr>
                <w:color w:val="000000"/>
                <w:sz w:val="24"/>
              </w:rPr>
              <w:t>2</w:t>
            </w:r>
          </w:p>
        </w:tc>
        <w:tc>
          <w:tcPr>
            <w:vAlign w:val="center"/>
          </w:tcPr>
          <w:p>
            <w:pPr>
              <w:jc w:val="center"/>
            </w:pPr>
            <w:r>
              <w:rPr>
                <w:color w:val="000000"/>
                <w:sz w:val="24"/>
              </w:rPr>
              <w:t>138740</w:t>
            </w:r>
          </w:p>
        </w:tc>
        <w:tc>
          <w:tcPr>
            <w:vAlign w:val="center"/>
          </w:tcPr>
          <w:p>
            <w:pPr>
              <w:jc w:val="center"/>
            </w:pPr>
            <w:r>
              <w:rPr>
                <w:color w:val="000000"/>
                <w:sz w:val="24"/>
              </w:rPr>
              <w:t>兴恒1A</w:t>
            </w:r>
          </w:p>
        </w:tc>
        <w:tc>
          <w:tcPr>
            <w:vAlign w:val="center"/>
          </w:tcPr>
          <w:p>
            <w:pPr>
              <w:jc w:val="right"/>
            </w:pPr>
            <w:r>
              <w:rPr>
                <w:color w:val="000000"/>
                <w:sz w:val="24"/>
              </w:rPr>
              <w:t>730,000</w:t>
            </w:r>
          </w:p>
        </w:tc>
        <w:tc>
          <w:tcPr>
            <w:vAlign w:val="center"/>
          </w:tcPr>
          <w:p>
            <w:pPr>
              <w:jc w:val="right"/>
            </w:pPr>
            <w:r>
              <w:rPr>
                <w:color w:val="000000"/>
                <w:sz w:val="24"/>
              </w:rPr>
              <w:t>73,000,000.00</w:t>
            </w:r>
          </w:p>
        </w:tc>
        <w:tc>
          <w:tcPr>
            <w:vAlign w:val="center"/>
          </w:tcPr>
          <w:p>
            <w:pPr>
              <w:jc w:val="right"/>
            </w:pPr>
            <w:r>
              <w:rPr>
                <w:color w:val="000000"/>
                <w:sz w:val="24"/>
              </w:rPr>
              <w:t>0.12</w:t>
            </w:r>
          </w:p>
        </w:tc>
      </w:tr>
      <w:tr>
        <w:tc>
          <w:tcPr>
            <w:vAlign w:val="center"/>
          </w:tcPr>
          <w:p>
            <w:pPr>
              <w:jc w:val="center"/>
            </w:pPr>
            <w:r>
              <w:rPr>
                <w:color w:val="000000"/>
                <w:sz w:val="24"/>
              </w:rPr>
              <w:t>3</w:t>
            </w:r>
          </w:p>
        </w:tc>
        <w:tc>
          <w:tcPr>
            <w:vAlign w:val="center"/>
          </w:tcPr>
          <w:p>
            <w:pPr>
              <w:jc w:val="center"/>
            </w:pPr>
            <w:r>
              <w:rPr>
                <w:color w:val="000000"/>
                <w:sz w:val="24"/>
              </w:rPr>
              <w:t>138452</w:t>
            </w:r>
          </w:p>
        </w:tc>
        <w:tc>
          <w:tcPr>
            <w:vAlign w:val="center"/>
          </w:tcPr>
          <w:p>
            <w:pPr>
              <w:jc w:val="center"/>
            </w:pPr>
            <w:r>
              <w:rPr>
                <w:color w:val="000000"/>
                <w:sz w:val="24"/>
              </w:rPr>
              <w:t>瑞新14A1</w:t>
            </w:r>
          </w:p>
        </w:tc>
        <w:tc>
          <w:tcPr>
            <w:vAlign w:val="center"/>
          </w:tcPr>
          <w:p>
            <w:pPr>
              <w:jc w:val="right"/>
            </w:pPr>
            <w:r>
              <w:rPr>
                <w:color w:val="000000"/>
                <w:sz w:val="24"/>
              </w:rPr>
              <w:t>400,000</w:t>
            </w:r>
          </w:p>
        </w:tc>
        <w:tc>
          <w:tcPr>
            <w:vAlign w:val="center"/>
          </w:tcPr>
          <w:p>
            <w:pPr>
              <w:jc w:val="right"/>
            </w:pPr>
            <w:r>
              <w:rPr>
                <w:color w:val="000000"/>
                <w:sz w:val="24"/>
              </w:rPr>
              <w:t>40,288,459.84</w:t>
            </w:r>
          </w:p>
        </w:tc>
        <w:tc>
          <w:tcPr>
            <w:vAlign w:val="center"/>
          </w:tcPr>
          <w:p>
            <w:pPr>
              <w:jc w:val="right"/>
            </w:pPr>
            <w:r>
              <w:rPr>
                <w:color w:val="000000"/>
                <w:sz w:val="24"/>
              </w:rPr>
              <w:t>0.07</w:t>
            </w:r>
          </w:p>
        </w:tc>
      </w:tr>
      <w:tr>
        <w:tc>
          <w:tcPr>
            <w:vAlign w:val="center"/>
          </w:tcPr>
          <w:p>
            <w:pPr>
              <w:jc w:val="center"/>
            </w:pPr>
            <w:r>
              <w:rPr>
                <w:color w:val="000000"/>
                <w:sz w:val="24"/>
              </w:rPr>
              <w:t>4</w:t>
            </w:r>
          </w:p>
        </w:tc>
        <w:tc>
          <w:tcPr>
            <w:vAlign w:val="center"/>
          </w:tcPr>
          <w:p>
            <w:pPr>
              <w:jc w:val="center"/>
            </w:pPr>
            <w:r>
              <w:rPr>
                <w:color w:val="000000"/>
                <w:sz w:val="24"/>
              </w:rPr>
              <w:t>138265</w:t>
            </w:r>
          </w:p>
        </w:tc>
        <w:tc>
          <w:tcPr>
            <w:vAlign w:val="center"/>
          </w:tcPr>
          <w:p>
            <w:pPr>
              <w:jc w:val="center"/>
            </w:pPr>
            <w:r>
              <w:rPr>
                <w:color w:val="000000"/>
                <w:sz w:val="24"/>
              </w:rPr>
              <w:t>国链16A1</w:t>
            </w:r>
          </w:p>
        </w:tc>
        <w:tc>
          <w:tcPr>
            <w:vAlign w:val="center"/>
          </w:tcPr>
          <w:p>
            <w:pPr>
              <w:jc w:val="right"/>
            </w:pPr>
            <w:r>
              <w:rPr>
                <w:color w:val="000000"/>
                <w:sz w:val="24"/>
              </w:rPr>
              <w:t>400,000</w:t>
            </w:r>
          </w:p>
        </w:tc>
        <w:tc>
          <w:tcPr>
            <w:vAlign w:val="center"/>
          </w:tcPr>
          <w:p>
            <w:pPr>
              <w:jc w:val="right"/>
            </w:pPr>
            <w:r>
              <w:rPr>
                <w:color w:val="000000"/>
                <w:sz w:val="24"/>
              </w:rPr>
              <w:t>40,000,000.00</w:t>
            </w:r>
          </w:p>
        </w:tc>
        <w:tc>
          <w:tcPr>
            <w:vAlign w:val="center"/>
          </w:tcPr>
          <w:p>
            <w:pPr>
              <w:jc w:val="right"/>
            </w:pPr>
            <w:r>
              <w:rPr>
                <w:color w:val="000000"/>
                <w:sz w:val="24"/>
              </w:rPr>
              <w:t>0.06</w:t>
            </w:r>
          </w:p>
        </w:tc>
      </w:tr>
      <w:tr>
        <w:tc>
          <w:tcPr>
            <w:vAlign w:val="center"/>
          </w:tcPr>
          <w:p>
            <w:pPr>
              <w:jc w:val="center"/>
            </w:pPr>
            <w:r>
              <w:rPr>
                <w:color w:val="000000"/>
                <w:sz w:val="24"/>
              </w:rPr>
              <w:t>4</w:t>
            </w:r>
          </w:p>
        </w:tc>
        <w:tc>
          <w:tcPr>
            <w:vAlign w:val="center"/>
          </w:tcPr>
          <w:p>
            <w:pPr>
              <w:jc w:val="center"/>
            </w:pPr>
            <w:r>
              <w:rPr>
                <w:color w:val="000000"/>
                <w:sz w:val="24"/>
              </w:rPr>
              <w:t>159595</w:t>
            </w:r>
          </w:p>
        </w:tc>
        <w:tc>
          <w:tcPr>
            <w:vAlign w:val="center"/>
          </w:tcPr>
          <w:p>
            <w:pPr>
              <w:jc w:val="center"/>
            </w:pPr>
            <w:r>
              <w:rPr>
                <w:color w:val="000000"/>
                <w:sz w:val="24"/>
              </w:rPr>
              <w:t>春秋01优</w:t>
            </w:r>
          </w:p>
        </w:tc>
        <w:tc>
          <w:tcPr>
            <w:vAlign w:val="center"/>
          </w:tcPr>
          <w:p>
            <w:pPr>
              <w:jc w:val="right"/>
            </w:pPr>
            <w:r>
              <w:rPr>
                <w:color w:val="000000"/>
                <w:sz w:val="24"/>
              </w:rPr>
              <w:t>400,000</w:t>
            </w:r>
          </w:p>
        </w:tc>
        <w:tc>
          <w:tcPr>
            <w:vAlign w:val="center"/>
          </w:tcPr>
          <w:p>
            <w:pPr>
              <w:jc w:val="right"/>
            </w:pPr>
            <w:r>
              <w:rPr>
                <w:color w:val="000000"/>
                <w:sz w:val="24"/>
              </w:rPr>
              <w:t>40,000,000.00</w:t>
            </w:r>
          </w:p>
        </w:tc>
        <w:tc>
          <w:tcPr>
            <w:vAlign w:val="center"/>
          </w:tcPr>
          <w:p>
            <w:pPr>
              <w:jc w:val="right"/>
            </w:pPr>
            <w:r>
              <w:rPr>
                <w:color w:val="000000"/>
                <w:sz w:val="24"/>
              </w:rPr>
              <w:t>0.06</w:t>
            </w:r>
          </w:p>
        </w:tc>
      </w:tr>
      <w:tr>
        <w:tc>
          <w:tcPr>
            <w:vAlign w:val="center"/>
          </w:tcPr>
          <w:p>
            <w:pPr>
              <w:jc w:val="center"/>
            </w:pPr>
            <w:r>
              <w:rPr>
                <w:color w:val="000000"/>
                <w:sz w:val="24"/>
              </w:rPr>
              <w:t>6</w:t>
            </w:r>
          </w:p>
        </w:tc>
        <w:tc>
          <w:tcPr>
            <w:vAlign w:val="center"/>
          </w:tcPr>
          <w:p>
            <w:pPr>
              <w:jc w:val="center"/>
            </w:pPr>
            <w:r>
              <w:rPr>
                <w:color w:val="000000"/>
                <w:sz w:val="24"/>
              </w:rPr>
              <w:t>139966</w:t>
            </w:r>
          </w:p>
        </w:tc>
        <w:tc>
          <w:tcPr>
            <w:vAlign w:val="center"/>
          </w:tcPr>
          <w:p>
            <w:pPr>
              <w:jc w:val="center"/>
            </w:pPr>
            <w:r>
              <w:rPr>
                <w:color w:val="000000"/>
                <w:sz w:val="24"/>
              </w:rPr>
              <w:t>永熙优14</w:t>
            </w:r>
          </w:p>
        </w:tc>
        <w:tc>
          <w:tcPr>
            <w:vAlign w:val="center"/>
          </w:tcPr>
          <w:p>
            <w:pPr>
              <w:jc w:val="right"/>
            </w:pPr>
            <w:r>
              <w:rPr>
                <w:color w:val="000000"/>
                <w:sz w:val="24"/>
              </w:rPr>
              <w:t>380,000</w:t>
            </w:r>
          </w:p>
        </w:tc>
        <w:tc>
          <w:tcPr>
            <w:vAlign w:val="center"/>
          </w:tcPr>
          <w:p>
            <w:pPr>
              <w:jc w:val="right"/>
            </w:pPr>
            <w:r>
              <w:rPr>
                <w:color w:val="000000"/>
                <w:sz w:val="24"/>
              </w:rPr>
              <w:t>38,000,000.00</w:t>
            </w:r>
          </w:p>
        </w:tc>
        <w:tc>
          <w:tcPr>
            <w:vAlign w:val="center"/>
          </w:tcPr>
          <w:p>
            <w:pPr>
              <w:jc w:val="right"/>
            </w:pPr>
            <w:r>
              <w:rPr>
                <w:color w:val="000000"/>
                <w:sz w:val="24"/>
              </w:rPr>
              <w:t>0.06</w:t>
            </w:r>
          </w:p>
        </w:tc>
      </w:tr>
      <w:tr>
        <w:tc>
          <w:tcPr>
            <w:vAlign w:val="center"/>
          </w:tcPr>
          <w:p>
            <w:pPr>
              <w:jc w:val="center"/>
            </w:pPr>
            <w:r>
              <w:rPr>
                <w:color w:val="000000"/>
                <w:sz w:val="24"/>
              </w:rPr>
              <w:t>7</w:t>
            </w:r>
          </w:p>
        </w:tc>
        <w:tc>
          <w:tcPr>
            <w:vAlign w:val="center"/>
          </w:tcPr>
          <w:p>
            <w:pPr>
              <w:jc w:val="center"/>
            </w:pPr>
            <w:r>
              <w:rPr>
                <w:color w:val="000000"/>
                <w:sz w:val="24"/>
              </w:rPr>
              <w:t>138133</w:t>
            </w:r>
          </w:p>
        </w:tc>
        <w:tc>
          <w:tcPr>
            <w:vAlign w:val="center"/>
          </w:tcPr>
          <w:p>
            <w:pPr>
              <w:jc w:val="center"/>
            </w:pPr>
            <w:r>
              <w:rPr>
                <w:color w:val="000000"/>
                <w:sz w:val="24"/>
              </w:rPr>
              <w:t>永熙优19</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0.05</w:t>
            </w:r>
          </w:p>
        </w:tc>
      </w:tr>
      <w:tr>
        <w:tc>
          <w:tcPr>
            <w:vAlign w:val="center"/>
          </w:tcPr>
          <w:p>
            <w:pPr>
              <w:jc w:val="center"/>
            </w:pPr>
            <w:r>
              <w:rPr>
                <w:color w:val="000000"/>
                <w:sz w:val="24"/>
              </w:rPr>
              <w:t>7</w:t>
            </w:r>
          </w:p>
        </w:tc>
        <w:tc>
          <w:tcPr>
            <w:vAlign w:val="center"/>
          </w:tcPr>
          <w:p>
            <w:pPr>
              <w:jc w:val="center"/>
            </w:pPr>
            <w:r>
              <w:rPr>
                <w:color w:val="000000"/>
                <w:sz w:val="24"/>
              </w:rPr>
              <w:t>138445</w:t>
            </w:r>
          </w:p>
        </w:tc>
        <w:tc>
          <w:tcPr>
            <w:vAlign w:val="center"/>
          </w:tcPr>
          <w:p>
            <w:pPr>
              <w:jc w:val="center"/>
            </w:pPr>
            <w:r>
              <w:rPr>
                <w:color w:val="000000"/>
                <w:sz w:val="24"/>
              </w:rPr>
              <w:t>链融21A1</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0.05</w:t>
            </w:r>
          </w:p>
        </w:tc>
      </w:tr>
      <w:tr>
        <w:tc>
          <w:tcPr>
            <w:vAlign w:val="center"/>
          </w:tcPr>
          <w:p>
            <w:pPr>
              <w:jc w:val="center"/>
            </w:pPr>
            <w:r>
              <w:rPr>
                <w:color w:val="000000"/>
                <w:sz w:val="24"/>
              </w:rPr>
              <w:t>7</w:t>
            </w:r>
          </w:p>
        </w:tc>
        <w:tc>
          <w:tcPr>
            <w:vAlign w:val="center"/>
          </w:tcPr>
          <w:p>
            <w:pPr>
              <w:jc w:val="center"/>
            </w:pPr>
            <w:r>
              <w:rPr>
                <w:color w:val="000000"/>
                <w:sz w:val="24"/>
              </w:rPr>
              <w:t>139843</w:t>
            </w:r>
          </w:p>
        </w:tc>
        <w:tc>
          <w:tcPr>
            <w:vAlign w:val="center"/>
          </w:tcPr>
          <w:p>
            <w:pPr>
              <w:jc w:val="center"/>
            </w:pPr>
            <w:r>
              <w:rPr>
                <w:color w:val="000000"/>
                <w:sz w:val="24"/>
              </w:rPr>
              <w:t>瑞新2A1</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0.05</w:t>
            </w:r>
          </w:p>
        </w:tc>
      </w:tr>
      <w:tr>
        <w:tc>
          <w:tcPr>
            <w:vAlign w:val="center"/>
          </w:tcPr>
          <w:p>
            <w:pPr>
              <w:jc w:val="center"/>
            </w:pPr>
            <w:r>
              <w:rPr>
                <w:color w:val="000000"/>
                <w:sz w:val="24"/>
              </w:rPr>
              <w:t>7</w:t>
            </w:r>
          </w:p>
        </w:tc>
        <w:tc>
          <w:tcPr>
            <w:vAlign w:val="center"/>
          </w:tcPr>
          <w:p>
            <w:pPr>
              <w:jc w:val="center"/>
            </w:pPr>
            <w:r>
              <w:rPr>
                <w:color w:val="000000"/>
                <w:sz w:val="24"/>
              </w:rPr>
              <w:t>139849</w:t>
            </w:r>
          </w:p>
        </w:tc>
        <w:tc>
          <w:tcPr>
            <w:vAlign w:val="center"/>
          </w:tcPr>
          <w:p>
            <w:pPr>
              <w:jc w:val="center"/>
            </w:pPr>
            <w:r>
              <w:rPr>
                <w:color w:val="000000"/>
                <w:sz w:val="24"/>
              </w:rPr>
              <w:t>永泰优03</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0.05</w:t>
            </w:r>
          </w:p>
        </w:tc>
      </w:tr>
      <w:tr>
        <w:tc>
          <w:tcPr>
            <w:vAlign w:val="center"/>
          </w:tcPr>
          <w:p>
            <w:pPr>
              <w:jc w:val="center"/>
            </w:pPr>
            <w:r>
              <w:rPr>
                <w:color w:val="000000"/>
                <w:sz w:val="24"/>
              </w:rPr>
              <w:t>7</w:t>
            </w:r>
          </w:p>
        </w:tc>
        <w:tc>
          <w:tcPr>
            <w:vAlign w:val="center"/>
          </w:tcPr>
          <w:p>
            <w:pPr>
              <w:jc w:val="center"/>
            </w:pPr>
            <w:r>
              <w:rPr>
                <w:color w:val="000000"/>
                <w:sz w:val="24"/>
              </w:rPr>
              <w:t>139850</w:t>
            </w:r>
          </w:p>
        </w:tc>
        <w:tc>
          <w:tcPr>
            <w:vAlign w:val="center"/>
          </w:tcPr>
          <w:p>
            <w:pPr>
              <w:jc w:val="center"/>
            </w:pPr>
            <w:r>
              <w:rPr>
                <w:color w:val="000000"/>
                <w:sz w:val="24"/>
              </w:rPr>
              <w:t>瑞新3A1</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0.05</w:t>
            </w:r>
          </w:p>
        </w:tc>
      </w:tr>
      <w:tr>
        <w:tc>
          <w:tcPr>
            <w:vAlign w:val="center"/>
          </w:tcPr>
          <w:p>
            <w:pPr>
              <w:jc w:val="center"/>
            </w:pPr>
            <w:r>
              <w:rPr>
                <w:color w:val="000000"/>
                <w:sz w:val="24"/>
              </w:rPr>
              <w:t>7</w:t>
            </w:r>
          </w:p>
        </w:tc>
        <w:tc>
          <w:tcPr>
            <w:vAlign w:val="center"/>
          </w:tcPr>
          <w:p>
            <w:pPr>
              <w:jc w:val="center"/>
            </w:pPr>
            <w:r>
              <w:rPr>
                <w:color w:val="000000"/>
                <w:sz w:val="24"/>
              </w:rPr>
              <w:t>139864</w:t>
            </w:r>
          </w:p>
        </w:tc>
        <w:tc>
          <w:tcPr>
            <w:vAlign w:val="center"/>
          </w:tcPr>
          <w:p>
            <w:pPr>
              <w:jc w:val="center"/>
            </w:pPr>
            <w:r>
              <w:rPr>
                <w:color w:val="000000"/>
                <w:sz w:val="24"/>
              </w:rPr>
              <w:t>永泰优04</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0.05</w:t>
            </w:r>
          </w:p>
        </w:tc>
      </w:tr>
    </w:tbl>
    <w:p w:rsidP="00976A1A" w:rsidR="00EA3F40" w:rsidRDefault="00EA3F40"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7A1ACF">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b/>
          <w:color w:val="000000"/>
          <w:kern w:val="0"/>
          <w:sz w:val="24"/>
        </w:rPr>
        <w:t xml:space="preserve"> </w:t>
      </w:r>
      <w:r w:rsidRPr="006662B2">
        <w:rPr>
          <w:rFonts w:ascii="宋体" w:cs="Arial" w:hAnsi="宋体" w:hint="eastAsia"/>
          <w:b/>
          <w:color w:val="000000"/>
          <w:kern w:val="0"/>
          <w:sz w:val="24"/>
        </w:rPr>
        <w:t>投资组合报告附注</w:t>
      </w:r>
    </w:p>
    <w:p w:rsidP="007A1ACF" w:rsidR="007A1ACF" w:rsidRDefault="007A1ACF" w:rsidRPr="007A1ACF">
      <w:pPr>
        <w:spacing w:line="360" w:lineRule="auto"/>
        <w:rPr>
          <w:color w:val="000000"/>
          <w:sz w:val="24"/>
        </w:rPr>
      </w:pPr>
      <w:r w:rsidRPr="007A1ACF">
        <w:rPr>
          <w:color w:val="000000"/>
          <w:sz w:val="24"/>
        </w:rPr>
        <w:t>5.9.1</w:t>
      </w:r>
      <w:r w:rsidRPr="007A1ACF">
        <w:rPr>
          <w:color w:val="000000"/>
          <w:sz w:val="24"/>
        </w:rPr>
        <w:t>基金计价方法说明</w:t>
      </w:r>
    </w:p>
    <w:p>
      <w:pPr>
        <w:spacing w:line="360" w:lineRule="auto"/>
        <w:ind w:firstLine="480" w:firstLineChars="200"/>
        <w:rPr>
          <w:color w:val="000000"/>
          <w:sz w:val="24"/>
        </w:rPr>
      </w:pPr>
      <w:r>
        <w:rPr>
          <w:color w:val="000000"/>
          <w:sz w:val="24"/>
        </w:rPr>
        <w:t>本基金目前投资工具的估值方法如下：</w:t>
      </w:r>
    </w:p>
    <w:p>
      <w:pPr>
        <w:spacing w:line="360" w:lineRule="auto"/>
        <w:ind w:firstLine="480" w:firstLineChars="200"/>
        <w:rPr>
          <w:color w:val="000000"/>
          <w:sz w:val="24"/>
        </w:rPr>
      </w:pPr>
      <w:r>
        <w:rPr>
          <w:color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color w:val="000000"/>
          <w:sz w:val="24"/>
        </w:rPr>
      </w:pPr>
      <w:r>
        <w:rPr>
          <w:color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color w:val="000000"/>
          <w:sz w:val="24"/>
        </w:rPr>
      </w:pPr>
      <w:r>
        <w:rPr>
          <w:color w:val="000000"/>
          <w:sz w:val="24"/>
        </w:rPr>
        <w:t>（3）基金持有的银行存款以本金列示，按实际协议利率逐日计提利息。</w:t>
      </w:r>
    </w:p>
    <w:p>
      <w:pPr>
        <w:spacing w:line="360" w:lineRule="auto"/>
        <w:ind w:firstLine="480" w:firstLineChars="200"/>
        <w:rPr>
          <w:color w:val="000000"/>
          <w:sz w:val="24"/>
        </w:rPr>
      </w:pPr>
      <w:r>
        <w:rPr>
          <w:color w:val="000000"/>
          <w:sz w:val="24"/>
        </w:rPr>
        <w:t>如有确凿证据表明按上述方法进行估值不能客观反映其公允价值的，基金管理人可根据具体情况与基金托管人商定后，按最能反映公允价值的方法估值。</w:t>
      </w:r>
    </w:p>
    <w:p w:rsidP="007A1ACF" w:rsidR="007A1ACF" w:rsidRDefault="007A1ACF" w:rsidRPr="007A1ACF">
      <w:pPr>
        <w:spacing w:line="360" w:lineRule="auto"/>
        <w:ind w:firstLine="480" w:firstLineChars="200"/>
        <w:rPr>
          <w:color w:val="000000"/>
          <w:sz w:val="24"/>
        </w:rPr>
      </w:pPr>
      <w:r w:rsidRPr="007A1ACF">
        <w:rPr>
          <w:color w:val="000000"/>
          <w:sz w:val="24"/>
        </w:rPr>
        <w:t>如有新增事项，按国家最新规定估值。</w:t>
      </w:r>
    </w:p>
    <w:p w:rsidP="00613409" w:rsidR="00EA3F40" w:rsidRDefault="007A1ACF" w:rsidRPr="007A1ACF">
      <w:pPr>
        <w:widowControl/>
        <w:spacing w:line="360" w:lineRule="auto"/>
        <w:rPr>
          <w:color w:val="000000"/>
          <w:sz w:val="24"/>
        </w:rPr>
      </w:pPr>
      <w:r w:rsidRPr="007A1ACF">
        <w:rPr>
          <w:color w:val="000000"/>
          <w:sz w:val="24"/>
        </w:rPr>
        <w:t>5.9.2</w:t>
      </w:r>
      <w:r w:rsidR="00D568AA">
        <w:rPr>
          <w:rFonts w:hint="eastAsia"/>
          <w:color w:val="000000"/>
          <w:sz w:val="24"/>
        </w:rPr>
        <w:t xml:space="preserve"> </w:t>
      </w:r>
      <w:r w:rsidRPr="007A1ACF">
        <w:rPr>
          <w:color w:val="000000"/>
          <w:sz w:val="24"/>
        </w:rPr>
        <w:t>2019年12月31日，中国银行保险监督管理委员会江苏监管局对南京银行股份有限公司如下违法违规行为作出“没收违法所得137701元，处以人民币610万元罚款”的行政处罚：1.未将部分银行承担风险的业务纳入统一授信管理；2.同业投资资金违规用于支付土地出让金；3.同业投资资金违规用于上市公司定向增发；4.同业投资资金违规用于土地储备开发；5.违规为第三方金融机构同业投资业务提供信用担保；6.理财产品之间相互调节收益；7.理财资金投资非标债权资产总额超过规定上限；8.面向一般个人客户销售的理财产品违规投资权益类资产；9.理财资金与自营资金未充分隔离；10.理财投资非标业务未比照自营贷款管理；11.关联方管理不全面；12.违规向关系人发放信用贷款；13.债券投资操作不规范。</w:t>
      </w:r>
    </w:p>
    <w:p>
      <w:pPr>
        <w:widowControl/>
        <w:spacing w:line="360" w:lineRule="auto"/>
        <w:rPr>
          <w:color w:val="000000"/>
          <w:sz w:val="24"/>
        </w:rPr>
      </w:pPr>
      <w:r>
        <w:rPr>
          <w:color w:val="000000"/>
          <w:sz w:val="24"/>
        </w:rPr>
        <w:t>2019年12月31日，中国人民银行杭州中心支行针对浙商银行股份有限公司的如下违法违规行为罚款合计人民币1010万元：1、未按规定履行客户身份识别义务；2、未按规定保存客户身份资料及交易记录；3、未按规定进行可疑交易报告；4、与身份不明的客户进行交易。</w:t>
      </w:r>
    </w:p>
    <w:p>
      <w:pPr>
        <w:widowControl/>
        <w:spacing w:line="360" w:lineRule="auto"/>
        <w:rPr>
          <w:color w:val="000000"/>
          <w:sz w:val="24"/>
        </w:rPr>
      </w:pPr>
      <w:r>
        <w:rPr>
          <w:color w:val="000000"/>
          <w:sz w:val="24"/>
        </w:rPr>
        <w:t>2020年4月30日，北京市西城区卫生健康委员会对中国农业发展银行违反《北京市生活饮用水卫生监督管理条例》第二十一条第（三）项的行为作出“罚款5000元”的行政处罚决定。</w:t>
      </w:r>
    </w:p>
    <w:p>
      <w:pPr>
        <w:widowControl/>
        <w:spacing w:line="360" w:lineRule="auto"/>
        <w:rPr>
          <w:color w:val="000000"/>
          <w:sz w:val="24"/>
        </w:rPr>
      </w:pPr>
      <w:r>
        <w:rPr>
          <w:color w:val="000000"/>
          <w:sz w:val="24"/>
        </w:rPr>
        <w:t>2019年7月3日，中国银行保险监督管理委员会针对中信银行股份有限公司的如下违法违规行为，作出“没收违法所得33.6677万元，罚款2190万元，合计2223.6677万元”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年2月20日，北京银保监局对中信银行股份有限公司的如下违法违规行为，作出“责令中信银行股份有限公司改正，并给予合计2020万元罚款”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pPr>
        <w:widowControl/>
        <w:spacing w:line="360" w:lineRule="auto"/>
        <w:rPr>
          <w:color w:val="000000"/>
          <w:sz w:val="24"/>
        </w:rPr>
      </w:pPr>
      <w:r>
        <w:rPr>
          <w:color w:val="000000"/>
          <w:sz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2019年12月27日，中国银行保险监督管理委员会对交通银行股份有限公司如下违法违规行为作出“罚款150万元”的行政处罚：1、授信审批不审慎；2、总行对分支机构管控不力承担管理责任。2020年4月20日，中国银行保险监督管理委员会对交通银行股份有限公司如下违法违规行为作出“罚款260万元”的行政处罚：交通银行监管标准化数据（EAST）系统数据质量及数据报送存在（一）理财产品数量漏报；（二）资金交易信息漏报严重；（三）贸易融资业务漏报；（四）信贷业务担保合同漏报；（五）分户账明细记录应报未报；（六）分户账账户数据应报未报；（七）关键且应报字段漏报或填报错误。</w:t>
      </w:r>
    </w:p>
    <w:p>
      <w:pPr>
        <w:widowControl/>
        <w:spacing w:line="360" w:lineRule="auto"/>
        <w:rPr>
          <w:color w:val="000000"/>
          <w:sz w:val="24"/>
        </w:rPr>
      </w:pPr>
      <w:r>
        <w:rPr>
          <w:color w:val="000000"/>
          <w:sz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pPr>
        <w:widowControl/>
        <w:spacing w:line="360" w:lineRule="auto"/>
        <w:rPr>
          <w:color w:val="000000"/>
          <w:sz w:val="24"/>
        </w:rPr>
      </w:pPr>
      <w:r>
        <w:rPr>
          <w:color w:val="000000"/>
          <w:sz w:val="24"/>
        </w:rPr>
        <w:t>本基金投资20南京银行CD070、20浙商银行CD016、20农发01、20中信银行CD009、20交通银行CD020、19浦发银行CD245、19南京银行CD085、20交通银行CD028的投资决策程序符合公司投资制度的规定。</w:t>
      </w:r>
    </w:p>
    <w:p>
      <w:pPr>
        <w:widowControl/>
        <w:spacing w:line="360" w:lineRule="auto"/>
        <w:rPr>
          <w:color w:val="000000"/>
          <w:sz w:val="24"/>
        </w:rPr>
      </w:pPr>
      <w:r>
        <w:rPr>
          <w:color w:val="000000"/>
          <w:sz w:val="24"/>
        </w:rPr>
        <w:t>除20南京银行CD070、20浙商银行CD016、20农发01、20中信银行CD009、20交通银行CD020、19浦发银行CD245、19南京银行CD085、20交通银行CD028外，本基金投资的前十名证券的发行主体本期没有出现被监管部门立案调查，或在报告编制日前一年内受到公开谴责、处罚的情形。</w:t>
      </w:r>
    </w:p>
    <w:p w:rsidP="00976A1A" w:rsidR="00EA3F40" w:rsidRDefault="00EA3F40" w:rsidRPr="007A1ACF">
      <w:pPr>
        <w:spacing w:line="360" w:lineRule="auto"/>
        <w:rPr>
          <w:bCs/>
          <w:sz w:val="24"/>
        </w:rPr>
      </w:pPr>
      <w:r w:rsidRPr="007A1ACF">
        <w:rPr>
          <w:sz w:val="24"/>
        </w:rPr>
        <w:t>5.9.3</w:t>
      </w:r>
      <w:r w:rsidR="00B261EB">
        <w:rPr>
          <w:sz w:val="24"/>
        </w:rPr>
        <w:t>其他</w:t>
      </w:r>
      <w:bookmarkStart w:id="2" w:name="_GoBack"/>
      <w:bookmarkEnd w:id="2"/>
      <w:r w:rsidRPr="007A1ACF">
        <w:rPr>
          <w:sz w:val="24"/>
        </w:rPr>
        <w:t>资产构成</w:t>
      </w:r>
    </w:p>
    <w:tbl>
      <w:tblPr>
        <w:tblW w:type="auto" w:w="0"/>
        <w:tblInd w:type="dxa" w:w="1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942"/>
        <w:gridCol w:w="3535"/>
        <w:gridCol w:w="4808"/>
      </w:tblGrid>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序号</w:t>
            </w:r>
          </w:p>
        </w:tc>
        <w:tc>
          <w:tcPr>
            <w:tcW w:type="dxa" w:w="3535"/>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名称</w:t>
            </w:r>
          </w:p>
        </w:tc>
        <w:tc>
          <w:tcPr>
            <w:tcW w:type="dxa" w:w="4808"/>
            <w:vAlign w:val="center"/>
          </w:tcPr>
          <w:p w:rsidP="007C3671"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金额</w:t>
            </w:r>
            <w:r w:rsidR="007C3671" w:rsidRPr="00613409">
              <w:rPr>
                <w:color w:val="000000"/>
                <w:kern w:val="0"/>
                <w:sz w:val="24"/>
              </w:rPr>
              <w:t>（元）</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sz w:val="24"/>
              </w:rPr>
              <w:t>1</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存出保证金</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2</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应收证券清算款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281,917.76</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3</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应收利息</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229,848,380.93</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4</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应收申购款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125,283,353.28</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5</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其他应收款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6</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待摊费用</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7</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8</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合计</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355,413,651.97</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6  </w:t>
      </w:r>
      <w:r w:rsidRPr="0097021E">
        <w:rPr>
          <w:rFonts w:ascii="宋体" w:cs="Arial" w:hAnsi="宋体" w:hint="eastAsia"/>
          <w:color w:val="000000"/>
          <w:kern w:val="0"/>
          <w:sz w:val="24"/>
          <w:szCs w:val="24"/>
        </w:rPr>
        <w:t>开放式基金份额变动</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单位：份</w:t>
      </w:r>
    </w:p>
    <w:tbl>
      <w:tblPr>
        <w:tblW w:type="dxa" w:w="1008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3279"/>
        <w:gridCol w:w="2268"/>
        <w:gridCol w:w="2268"/>
        <w:gridCol w:w="2269"/>
      </w:tblGrid>
      <w:tr w:rsidR="00EA3F40" w:rsidRPr="0097021E" w:rsidTr="00102307">
        <w:trPr>
          <w:jc w:val="center"/>
        </w:trPr>
        <w:tc>
          <w:tcPr>
            <w:tcW w:type="dxa" w:w="3279"/>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易方达现金增利货币A</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易方达现金增利货币B</w:t>
            </w:r>
          </w:p>
        </w:tc>
        <w:tc>
          <w:tcPr>
            <w:tcW w:type="dxa" w:w="2269"/>
          </w:tcPr>
          <w:p w:rsidP="003451F3"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易方达现金增利货币C</w:t>
            </w:r>
          </w:p>
        </w:tc>
      </w:tr>
      <w:tr w:rsidR="00EA3F40" w:rsidRPr="0097021E" w:rsidTr="00F56FBC">
        <w:trPr>
          <w:jc w:val="center"/>
        </w:trPr>
        <w:tc>
          <w:tcPr>
            <w:tcW w:type="dxa" w:w="3279"/>
            <w:vAlign w:val="center"/>
          </w:tcPr>
          <w:p w:rsidP="00587524" w:rsidR="00EA3F40" w:rsidRDefault="00EA3F40" w:rsidRPr="00613409">
            <w:pPr>
              <w:autoSpaceDE w:val="0"/>
              <w:autoSpaceDN w:val="0"/>
              <w:adjustRightInd w:val="0"/>
              <w:spacing w:before="29" w:line="360" w:lineRule="auto"/>
              <w:ind w:left="17"/>
              <w:jc w:val="left"/>
              <w:rPr>
                <w:color w:val="000000"/>
                <w:kern w:val="0"/>
                <w:sz w:val="24"/>
              </w:rPr>
            </w:pPr>
            <w:r w:rsidRPr="00613409">
              <w:rPr>
                <w:color w:val="000000"/>
                <w:kern w:val="0"/>
                <w:sz w:val="24"/>
              </w:rPr>
              <w:t>报告期期初基金份额总额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300,238,714.39</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55,732,015,031.01</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10,368,203.08</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基金总申购份额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185,907,243.36</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25,074,870,329.78</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23,655,952.26</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基金总赎回份额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216,824,056.43</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19,433,132,093.18</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19,367,852.00</w:t>
            </w:r>
          </w:p>
        </w:tc>
      </w:tr>
      <w:tr w:rsidR="00EA3F40" w:rsidRPr="0097021E" w:rsidTr="00A40052">
        <w:trPr>
          <w:jc w:val="center"/>
        </w:trPr>
        <w:tc>
          <w:tcPr>
            <w:tcW w:type="dxa" w:w="3279"/>
          </w:tcPr>
          <w:p w:rsidP="00587524" w:rsidR="00EA3F40" w:rsidRDefault="00EA3F40" w:rsidRPr="00613409">
            <w:pPr>
              <w:adjustRightInd w:val="0"/>
              <w:snapToGrid w:val="0"/>
              <w:spacing w:line="340" w:lineRule="exact"/>
              <w:rPr>
                <w:color w:val="000000"/>
                <w:sz w:val="24"/>
              </w:rPr>
            </w:pPr>
            <w:r w:rsidRPr="00613409">
              <w:rPr>
                <w:color w:val="000000"/>
                <w:sz w:val="24"/>
              </w:rPr>
              <w:t>报告期期末基金份额总额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269,321,901.32</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61,373,753,267.61</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14,656,303.34</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color w:val="000000"/>
          <w:kern w:val="0"/>
          <w:sz w:val="24"/>
          <w:szCs w:val="24"/>
        </w:rPr>
        <w:t/>
      </w:r>
      <w:r w:rsidRPr="0097021E">
        <w:rPr>
          <w:rFonts w:ascii="宋体" w:cs="Arial" w:hAnsi="宋体"/>
          <w:color w:val="000000"/>
          <w:kern w:val="0"/>
          <w:sz w:val="24"/>
          <w:szCs w:val="24"/>
        </w:rPr>
        <w:t/>
      </w:r>
      <w:r w:rsidRPr="0097021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97021E">
        <w:rPr>
          <w:rFonts w:ascii="宋体" w:cs="Arial"/>
          <w:color w:val="000000"/>
          <w:kern w:val="0"/>
          <w:sz w:val="24"/>
          <w:szCs w:val="24"/>
        </w:rPr>
        <w:t>7</w:t>
      </w:r>
      <w:r w:rsidRPr="0097021E">
        <w:rPr>
          <w:rFonts w:ascii="宋体" w:cs="Arial" w:hAnsi="宋体"/>
          <w:color w:val="000000"/>
          <w:kern w:val="0"/>
          <w:sz w:val="24"/>
          <w:szCs w:val="24"/>
        </w:rPr>
        <w:t xml:space="preserve">  </w:t>
      </w:r>
      <w:r w:rsidRPr="00877329">
        <w:rPr>
          <w:rFonts w:ascii="宋体" w:cs="Arial" w:hAnsi="宋体" w:hint="eastAsia"/>
          <w:color w:val="000000"/>
          <w:kern w:val="0"/>
          <w:sz w:val="24"/>
          <w:szCs w:val="24"/>
        </w:rPr>
        <w:t>基金管理人运用固有资金投资本基金交易明细</w:t>
      </w:r>
    </w:p>
    <w:tbl>
      <w:tblPr>
        <w:tblW w:type="dxa" w:w="975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1253"/>
        <w:gridCol w:w="1851"/>
        <w:gridCol w:w="1370"/>
        <w:gridCol w:w="1814"/>
        <w:gridCol w:w="2268"/>
        <w:gridCol w:w="1198"/>
      </w:tblGrid>
      <w:tr w:rsidR="00EA3F40" w:rsidRPr="004A3251" w:rsidTr="00053472">
        <w:trPr>
          <w:trHeight w:val="340"/>
          <w:jc w:val="center"/>
        </w:trPr>
        <w:tc>
          <w:tcPr>
            <w:tcW w:type="dxa" w:w="1253"/>
            <w:vAlign w:val="center"/>
          </w:tcPr>
          <w:p w:rsidP="007A339E" w:rsidR="00EA3F40" w:rsidRDefault="00EA3F40" w:rsidRPr="002C17D5">
            <w:pPr>
              <w:pStyle w:val="ac"/>
              <w:adjustRightInd w:val="0"/>
              <w:snapToGrid w:val="0"/>
              <w:spacing w:line="360" w:lineRule="exact"/>
              <w:jc w:val="center"/>
              <w:rPr>
                <w:color w:val="000000"/>
                <w:kern w:val="0"/>
                <w:szCs w:val="24"/>
              </w:rPr>
            </w:pPr>
            <w:r w:rsidRPr="002C17D5">
              <w:rPr>
                <w:color w:val="000000"/>
                <w:kern w:val="0"/>
                <w:szCs w:val="24"/>
              </w:rPr>
              <w:t>序号</w:t>
            </w:r>
            <w:r w:rsidRPr="002C17D5">
              <w:rPr>
                <w:color w:val="000000"/>
                <w:kern w:val="0"/>
                <w:szCs w:val="24"/>
              </w:rPr>
              <w:t/>
            </w:r>
            <w:r w:rsidR="003B5756" w:rsidRPr="002C17D5">
              <w:rPr>
                <w:color w:val="000000"/>
              </w:rPr>
              <w:t/>
            </w:r>
            <w:r w:rsidR="003B5756" w:rsidRPr="002C17D5">
              <w:rPr>
                <w:color w:val="000000"/>
              </w:rPr>
              <w:lastRenderedPageBreak/>
              <w:t/>
            </w:r>
          </w:p>
        </w:tc>
        <w:tc>
          <w:tcPr>
            <w:tcW w:type="dxa" w:w="1851"/>
          </w:tcPr>
          <w:p w:rsidP="00025C5D" w:rsidR="00EA3F40" w:rsidRDefault="00EA3F40" w:rsidRPr="00613409">
            <w:pPr>
              <w:adjustRightInd w:val="0"/>
              <w:snapToGrid w:val="0"/>
              <w:spacing w:line="360" w:lineRule="exact"/>
              <w:jc w:val="center"/>
              <w:rPr>
                <w:color w:val="000000"/>
                <w:kern w:val="0"/>
                <w:sz w:val="24"/>
              </w:rPr>
            </w:pPr>
            <w:r w:rsidRPr="00613409">
              <w:rPr>
                <w:color w:val="000000"/>
                <w:kern w:val="0"/>
                <w:sz w:val="24"/>
              </w:rPr>
              <w:lastRenderedPageBreak/>
              <w:t>交易方式</w:t>
            </w:r>
          </w:p>
        </w:tc>
        <w:tc>
          <w:tcPr>
            <w:tcW w:type="dxa" w:w="1370"/>
          </w:tcPr>
          <w:p w:rsidP="00025C5D" w:rsidR="00EA3F40" w:rsidRDefault="00EA3F40" w:rsidRPr="00613409">
            <w:pPr>
              <w:adjustRightInd w:val="0"/>
              <w:snapToGrid w:val="0"/>
              <w:spacing w:line="360" w:lineRule="exact"/>
              <w:rPr>
                <w:color w:val="000000"/>
                <w:kern w:val="0"/>
                <w:sz w:val="24"/>
              </w:rPr>
            </w:pPr>
            <w:r w:rsidRPr="00613409">
              <w:rPr>
                <w:color w:val="000000"/>
                <w:kern w:val="0"/>
                <w:sz w:val="24"/>
              </w:rPr>
              <w:t>交易日期</w:t>
            </w:r>
          </w:p>
        </w:tc>
        <w:tc>
          <w:tcPr>
            <w:tcW w:type="dxa" w:w="1814"/>
          </w:tcPr>
          <w:p w:rsidP="00025C5D" w:rsidR="00EA3F40" w:rsidRDefault="00EA3F40" w:rsidRPr="00613409">
            <w:pPr>
              <w:adjustRightInd w:val="0"/>
              <w:snapToGrid w:val="0"/>
              <w:spacing w:line="360" w:lineRule="exact"/>
              <w:jc w:val="center"/>
              <w:rPr>
                <w:color w:val="000000"/>
                <w:kern w:val="0"/>
                <w:sz w:val="24"/>
              </w:rPr>
            </w:pPr>
            <w:r w:rsidRPr="00613409">
              <w:rPr>
                <w:color w:val="000000"/>
                <w:kern w:val="0"/>
                <w:sz w:val="24"/>
              </w:rPr>
              <w:t>交易份额（份）</w:t>
            </w:r>
          </w:p>
        </w:tc>
        <w:tc>
          <w:tcPr>
            <w:tcW w:type="dxa" w:w="2268"/>
          </w:tcPr>
          <w:p w:rsidP="00025C5D" w:rsidR="00EA3F40" w:rsidRDefault="00EA3F40" w:rsidRPr="00613409">
            <w:pPr>
              <w:adjustRightInd w:val="0"/>
              <w:snapToGrid w:val="0"/>
              <w:spacing w:line="360" w:lineRule="exact"/>
              <w:jc w:val="center"/>
              <w:rPr>
                <w:color w:val="000000"/>
                <w:kern w:val="0"/>
                <w:sz w:val="24"/>
              </w:rPr>
            </w:pPr>
            <w:r w:rsidRPr="00613409">
              <w:rPr>
                <w:color w:val="000000"/>
                <w:kern w:val="0"/>
                <w:sz w:val="24"/>
              </w:rPr>
              <w:t>交易金额（元）</w:t>
            </w:r>
          </w:p>
        </w:tc>
        <w:tc>
          <w:tcPr>
            <w:tcW w:type="dxa" w:w="1198"/>
            <w:vAlign w:val="center"/>
          </w:tcPr>
          <w:p w:rsidP="00025C5D" w:rsidR="00EA3F40" w:rsidRDefault="00EA3F40" w:rsidRPr="00613409">
            <w:pPr>
              <w:adjustRightInd w:val="0"/>
              <w:snapToGrid w:val="0"/>
              <w:spacing w:line="360" w:lineRule="exact"/>
              <w:jc w:val="center"/>
              <w:rPr>
                <w:color w:val="000000"/>
                <w:kern w:val="0"/>
                <w:sz w:val="24"/>
              </w:rPr>
            </w:pPr>
            <w:r w:rsidRPr="00613409">
              <w:rPr>
                <w:color w:val="000000"/>
                <w:kern w:val="0"/>
                <w:sz w:val="24"/>
              </w:rPr>
              <w:t>适用费率</w:t>
            </w:r>
          </w:p>
        </w:tc>
      </w:tr>
      <w:tr>
        <w:tc>
          <w:tcPr>
            <w:vAlign w:val="center"/>
          </w:tcPr>
          <w:p>
            <w:pPr>
              <w:jc w:val="center"/>
            </w:pPr>
            <w:r>
              <w:rPr>
                <w:color w:val="000000"/>
                <w:sz w:val="24"/>
              </w:rPr>
              <w:t>1</w:t>
            </w:r>
          </w:p>
        </w:tc>
        <w:tc>
          <w:tcPr>
            <w:vAlign w:val="center"/>
          </w:tcPr>
          <w:p>
            <w:pPr>
              <w:jc w:val="center"/>
            </w:pPr>
            <w:r>
              <w:rPr>
                <w:color w:val="000000"/>
                <w:sz w:val="24"/>
              </w:rPr>
              <w:t>申购</w:t>
            </w:r>
          </w:p>
        </w:tc>
        <w:tc>
          <w:tcPr>
            <w:vAlign w:val="center"/>
          </w:tcPr>
          <w:p>
            <w:pPr>
              <w:jc w:val="center"/>
            </w:pPr>
            <w:r>
              <w:rPr>
                <w:color w:val="000000"/>
                <w:sz w:val="24"/>
              </w:rPr>
              <w:t>2020-04-07</w:t>
            </w:r>
          </w:p>
        </w:tc>
        <w:tc>
          <w:tcPr>
            <w:vAlign w:val="center"/>
          </w:tcPr>
          <w:p>
            <w:pPr>
              <w:jc w:val="right"/>
            </w:pPr>
            <w:r>
              <w:rPr>
                <w:color w:val="000000"/>
                <w:sz w:val="24"/>
              </w:rPr>
              <w:t>350,000,000.00</w:t>
            </w:r>
          </w:p>
        </w:tc>
        <w:tc>
          <w:tcPr>
            <w:vAlign w:val="center"/>
          </w:tcPr>
          <w:p>
            <w:pPr>
              <w:jc w:val="right"/>
            </w:pPr>
            <w:r>
              <w:rPr>
                <w:color w:val="000000"/>
                <w:sz w:val="24"/>
              </w:rPr>
              <w:t>350,000,000.00</w:t>
            </w:r>
          </w:p>
        </w:tc>
        <w:tc>
          <w:tcPr>
            <w:vAlign w:val="center"/>
          </w:tcPr>
          <w:p>
            <w:pPr>
              <w:jc w:val="center"/>
            </w:pPr>
            <w:r>
              <w:rPr>
                <w:color w:val="000000"/>
                <w:sz w:val="24"/>
              </w:rPr>
              <w:t>-</w:t>
            </w:r>
          </w:p>
        </w:tc>
      </w:tr>
      <w:tr>
        <w:tc>
          <w:tcPr>
            <w:vAlign w:val="center"/>
          </w:tcPr>
          <w:p>
            <w:pPr>
              <w:jc w:val="center"/>
            </w:pPr>
            <w:r>
              <w:rPr>
                <w:color w:val="000000"/>
                <w:sz w:val="24"/>
              </w:rPr>
              <w:t>2</w:t>
            </w:r>
          </w:p>
        </w:tc>
        <w:tc>
          <w:tcPr>
            <w:vAlign w:val="center"/>
          </w:tcPr>
          <w:p>
            <w:pPr>
              <w:jc w:val="center"/>
            </w:pPr>
            <w:r>
              <w:rPr>
                <w:color w:val="000000"/>
                <w:sz w:val="24"/>
              </w:rPr>
              <w:t>申购</w:t>
            </w:r>
          </w:p>
        </w:tc>
        <w:tc>
          <w:tcPr>
            <w:vAlign w:val="center"/>
          </w:tcPr>
          <w:p>
            <w:pPr>
              <w:jc w:val="center"/>
            </w:pPr>
            <w:r>
              <w:rPr>
                <w:color w:val="000000"/>
                <w:sz w:val="24"/>
              </w:rPr>
              <w:t>2020-04-09</w:t>
            </w:r>
          </w:p>
        </w:tc>
        <w:tc>
          <w:tcPr>
            <w:vAlign w:val="center"/>
          </w:tcPr>
          <w:p>
            <w:pPr>
              <w:jc w:val="right"/>
            </w:pPr>
            <w:r>
              <w:rPr>
                <w:color w:val="000000"/>
                <w:sz w:val="24"/>
              </w:rPr>
              <w:t>100,000,000.00</w:t>
            </w:r>
          </w:p>
        </w:tc>
        <w:tc>
          <w:tcPr>
            <w:vAlign w:val="center"/>
          </w:tcPr>
          <w:p>
            <w:pPr>
              <w:jc w:val="right"/>
            </w:pPr>
            <w:r>
              <w:rPr>
                <w:color w:val="000000"/>
                <w:sz w:val="24"/>
              </w:rPr>
              <w:t>100,000,000.00</w:t>
            </w:r>
          </w:p>
        </w:tc>
        <w:tc>
          <w:tcPr>
            <w:vAlign w:val="center"/>
          </w:tcPr>
          <w:p>
            <w:pPr>
              <w:jc w:val="center"/>
            </w:pPr>
            <w:r>
              <w:rPr>
                <w:color w:val="000000"/>
                <w:sz w:val="24"/>
              </w:rPr>
              <w:t>-</w:t>
            </w:r>
          </w:p>
        </w:tc>
      </w:tr>
      <w:tr>
        <w:tc>
          <w:tcPr>
            <w:vAlign w:val="center"/>
          </w:tcPr>
          <w:p>
            <w:pPr>
              <w:jc w:val="center"/>
            </w:pPr>
            <w:r>
              <w:rPr>
                <w:color w:val="000000"/>
                <w:sz w:val="24"/>
              </w:rPr>
              <w:t>3</w:t>
            </w:r>
          </w:p>
        </w:tc>
        <w:tc>
          <w:tcPr>
            <w:vAlign w:val="center"/>
          </w:tcPr>
          <w:p>
            <w:pPr>
              <w:jc w:val="center"/>
            </w:pPr>
            <w:r>
              <w:rPr>
                <w:color w:val="000000"/>
                <w:sz w:val="24"/>
              </w:rPr>
              <w:t>红利再投资</w:t>
            </w:r>
          </w:p>
        </w:tc>
        <w:tc>
          <w:tcPr>
            <w:vAlign w:val="center"/>
          </w:tcPr>
          <w:p>
            <w:pPr>
              <w:jc w:val="center"/>
            </w:pPr>
            <w:r>
              <w:rPr>
                <w:color w:val="000000"/>
                <w:sz w:val="24"/>
              </w:rPr>
              <w:t>-</w:t>
            </w:r>
          </w:p>
        </w:tc>
        <w:tc>
          <w:tcPr>
            <w:vAlign w:val="center"/>
          </w:tcPr>
          <w:p>
            <w:pPr>
              <w:jc w:val="right"/>
            </w:pPr>
            <w:r>
              <w:rPr>
                <w:color w:val="000000"/>
                <w:sz w:val="24"/>
              </w:rPr>
              <w:t>5,783,057.73</w:t>
            </w:r>
          </w:p>
        </w:tc>
        <w:tc>
          <w:tcPr>
            <w:vAlign w:val="center"/>
          </w:tcPr>
          <w:p>
            <w:pPr>
              <w:jc w:val="right"/>
            </w:pPr>
            <w:r>
              <w:rPr>
                <w:color w:val="000000"/>
                <w:sz w:val="24"/>
              </w:rPr>
              <w:t>5,783,057.73</w:t>
            </w:r>
          </w:p>
        </w:tc>
        <w:tc>
          <w:tcPr>
            <w:vAlign w:val="center"/>
          </w:tcPr>
          <w:p>
            <w:pPr>
              <w:jc w:val="center"/>
            </w:pPr>
            <w:r>
              <w:rPr>
                <w:color w:val="000000"/>
                <w:sz w:val="24"/>
              </w:rPr>
              <w:t>-</w:t>
            </w:r>
          </w:p>
        </w:tc>
      </w:tr>
      <w:tr w:rsidR="00EA3F40" w:rsidRPr="004A3251" w:rsidTr="00053472">
        <w:trPr>
          <w:trHeight w:val="340"/>
          <w:jc w:val="center"/>
        </w:trPr>
        <w:tc>
          <w:tcPr>
            <w:tcW w:type="dxa" w:w="1253"/>
            <w:vAlign w:val="center"/>
          </w:tcPr>
          <w:p w:rsidP="00025C5D" w:rsidR="00EA3F40" w:rsidRDefault="00EA3F40" w:rsidRPr="002C17D5">
            <w:pPr>
              <w:pStyle w:val="ac"/>
              <w:adjustRightInd w:val="0"/>
              <w:snapToGrid w:val="0"/>
              <w:spacing w:line="360" w:lineRule="exact"/>
              <w:jc w:val="center"/>
              <w:rPr>
                <w:color w:val="000000"/>
                <w:kern w:val="0"/>
                <w:szCs w:val="24"/>
              </w:rPr>
            </w:pPr>
            <w:r w:rsidRPr="002C17D5">
              <w:rPr>
                <w:color w:val="000000"/>
                <w:kern w:val="0"/>
                <w:szCs w:val="24"/>
              </w:rPr>
              <w:t>合计</w:t>
            </w:r>
          </w:p>
        </w:tc>
        <w:tc>
          <w:tcPr>
            <w:tcW w:type="dxa" w:w="1851"/>
          </w:tcPr>
          <w:p w:rsidP="00025C5D" w:rsidR="00EA3F40" w:rsidRDefault="00EA3F40" w:rsidRPr="00613409">
            <w:pPr>
              <w:adjustRightInd w:val="0"/>
              <w:snapToGrid w:val="0"/>
              <w:spacing w:line="360" w:lineRule="exact"/>
              <w:jc w:val="right"/>
              <w:rPr>
                <w:color w:val="0000FF"/>
                <w:kern w:val="0"/>
                <w:sz w:val="18"/>
              </w:rPr>
            </w:pPr>
          </w:p>
        </w:tc>
        <w:tc>
          <w:tcPr>
            <w:tcW w:type="dxa" w:w="1370"/>
          </w:tcPr>
          <w:p w:rsidP="00025C5D" w:rsidR="00EA3F40" w:rsidRDefault="00EA3F40" w:rsidRPr="00613409">
            <w:pPr>
              <w:adjustRightInd w:val="0"/>
              <w:snapToGrid w:val="0"/>
              <w:spacing w:line="360" w:lineRule="exact"/>
              <w:jc w:val="right"/>
              <w:rPr>
                <w:color w:val="0000FF"/>
                <w:kern w:val="0"/>
                <w:sz w:val="18"/>
              </w:rPr>
            </w:pPr>
          </w:p>
        </w:tc>
        <w:tc>
          <w:tcPr>
            <w:tcW w:type="dxa" w:w="1814"/>
          </w:tcPr>
          <w:p w:rsidP="00025C5D" w:rsidR="00EA3F40" w:rsidRDefault="00EA3F40" w:rsidRPr="00613409">
            <w:pPr>
              <w:adjustRightInd w:val="0"/>
              <w:snapToGrid w:val="0"/>
              <w:spacing w:line="360" w:lineRule="exact"/>
              <w:jc w:val="right"/>
              <w:rPr>
                <w:color w:val="000000"/>
                <w:sz w:val="24"/>
              </w:rPr>
            </w:pPr>
            <w:r w:rsidRPr="00613409">
              <w:rPr>
                <w:color w:val="000000"/>
                <w:sz w:val="24"/>
              </w:rPr>
              <w:t>455,783,057.73</w:t>
            </w:r>
          </w:p>
        </w:tc>
        <w:tc>
          <w:tcPr>
            <w:tcW w:type="dxa" w:w="2268"/>
          </w:tcPr>
          <w:p w:rsidP="00025C5D" w:rsidR="00EA3F40" w:rsidRDefault="00EA3F40" w:rsidRPr="00613409">
            <w:pPr>
              <w:adjustRightInd w:val="0"/>
              <w:snapToGrid w:val="0"/>
              <w:spacing w:line="360" w:lineRule="exact"/>
              <w:jc w:val="right"/>
              <w:rPr>
                <w:color w:val="000000"/>
                <w:sz w:val="24"/>
              </w:rPr>
            </w:pPr>
            <w:r w:rsidRPr="00613409">
              <w:rPr>
                <w:color w:val="000000"/>
                <w:sz w:val="24"/>
              </w:rPr>
              <w:t>455,783,057.73</w:t>
            </w:r>
          </w:p>
        </w:tc>
        <w:tc>
          <w:tcPr>
            <w:tcW w:type="dxa" w:w="1198"/>
            <w:vAlign w:val="center"/>
          </w:tcPr>
          <w:p w:rsidP="00025C5D" w:rsidR="00EA3F40" w:rsidRDefault="00EA3F40" w:rsidRPr="00613409">
            <w:pPr>
              <w:adjustRightInd w:val="0"/>
              <w:snapToGrid w:val="0"/>
              <w:spacing w:line="360" w:lineRule="exact"/>
              <w:jc w:val="right"/>
              <w:rPr>
                <w:color w:val="0000FF"/>
                <w:kern w:val="0"/>
                <w:sz w:val="18"/>
              </w:rPr>
            </w:pPr>
          </w:p>
        </w:tc>
      </w:tr>
    </w:tbl>
    <w:p w:rsidP="001752C7" w:rsidR="00EA3F40" w:rsidRDefault="00EA3F40" w:rsidRPr="001752C7">
      <w:pPr>
        <w:adjustRightInd w:val="0"/>
        <w:spacing w:line="360" w:lineRule="auto"/>
        <w:ind w:firstLine="480" w:firstLineChars="200"/>
        <w:rPr>
          <w:color w:val="000000"/>
          <w:sz w:val="24"/>
        </w:rPr>
      </w:pPr>
      <w:r w:rsidRPr="001752C7">
        <w:rPr>
          <w:color w:val="000000"/>
          <w:sz w:val="24"/>
        </w:rPr>
        <w:t>注：本基金按日计算并分配收益，本报告期的收益分配列示在“红利再投资”项下汇总披露。</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color w:val="000000"/>
          <w:kern w:val="0"/>
          <w:sz w:val="24"/>
          <w:szCs w:val="24"/>
        </w:rPr>
        <w:t/>
      </w:r>
      <w:r w:rsidRPr="0097021E">
        <w:rPr>
          <w:rFonts w:ascii="宋体" w:cs="Arial" w:hAnsi="宋体"/>
          <w:color w:val="000000"/>
          <w:kern w:val="0"/>
          <w:sz w:val="24"/>
          <w:szCs w:val="24"/>
        </w:rPr>
        <w:t xml:space="preserve">8  </w:t>
      </w:r>
      <w:r w:rsidRPr="0097021E">
        <w:rPr>
          <w:rFonts w:ascii="宋体" w:cs="Arial" w:hAnsi="宋体" w:hint="eastAsia"/>
          <w:color w:val="000000"/>
          <w:kern w:val="0"/>
          <w:sz w:val="24"/>
          <w:szCs w:val="24"/>
        </w:rPr>
        <w:t>备查文件目录</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pPr>
        <w:adjustRightInd w:val="0"/>
        <w:spacing w:line="360" w:lineRule="auto"/>
        <w:ind w:firstLine="480" w:firstLineChars="200"/>
        <w:rPr>
          <w:color w:val="000000"/>
          <w:sz w:val="24"/>
        </w:rPr>
      </w:pPr>
      <w:r>
        <w:rPr>
          <w:color w:val="000000"/>
          <w:sz w:val="24"/>
        </w:rPr>
        <w:t>1.中国证监会核准易方达现金增利货币市场基金募集的文件；</w:t>
      </w:r>
    </w:p>
    <w:p>
      <w:pPr>
        <w:adjustRightInd w:val="0"/>
        <w:spacing w:line="360" w:lineRule="auto"/>
        <w:ind w:firstLine="480" w:firstLineChars="200"/>
        <w:rPr>
          <w:color w:val="000000"/>
          <w:sz w:val="24"/>
        </w:rPr>
      </w:pPr>
      <w:r>
        <w:rPr>
          <w:color w:val="000000"/>
          <w:sz w:val="24"/>
        </w:rPr>
        <w:t>2.《易方达现金增利货币市场基金基金合同》；</w:t>
      </w:r>
    </w:p>
    <w:p>
      <w:pPr>
        <w:adjustRightInd w:val="0"/>
        <w:spacing w:line="360" w:lineRule="auto"/>
        <w:ind w:firstLine="480" w:firstLineChars="200"/>
        <w:rPr>
          <w:color w:val="000000"/>
          <w:sz w:val="24"/>
        </w:rPr>
      </w:pPr>
      <w:r>
        <w:rPr>
          <w:color w:val="000000"/>
          <w:sz w:val="24"/>
        </w:rPr>
        <w:t>3.《易方达现金增利货币市场基金托管协议》；</w:t>
      </w:r>
    </w:p>
    <w:p>
      <w:pPr>
        <w:adjustRightInd w:val="0"/>
        <w:spacing w:line="360" w:lineRule="auto"/>
        <w:ind w:firstLine="480" w:firstLineChars="200"/>
        <w:rPr>
          <w:color w:val="000000"/>
          <w:sz w:val="24"/>
        </w:rPr>
      </w:pPr>
      <w:r>
        <w:rPr>
          <w:color w:val="000000"/>
          <w:sz w:val="24"/>
        </w:rPr>
        <w:t>4.《易方达基金管理有限公司开放式基金业务规则》；</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5.基金管理人业务资格批件、营业执照。</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广州市天河区珠江新城珠江东路30号广州银行大厦40-43楼。</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投资者可在营业时间免费查阅，也可按工本费购买复印件。</w:t>
      </w: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196812" w:rsidR="00EA3F40" w:rsidRDefault="00EA3F40" w:rsidRPr="0097021E">
      <w:pPr>
        <w:spacing w:line="360" w:lineRule="auto"/>
        <w:ind w:left="840"/>
        <w:jc w:val="right"/>
        <w:rPr>
          <w:rFonts w:ascii="宋体"/>
          <w:color w:val="000000"/>
          <w:sz w:val="24"/>
        </w:rPr>
      </w:pPr>
    </w:p>
    <w:p w:rsidP="00394BC1" w:rsidR="00EA3F40" w:rsidRDefault="00EA3F40" w:rsidRPr="0097021E">
      <w:pPr>
        <w:spacing w:line="360" w:lineRule="auto"/>
        <w:jc w:val="right"/>
        <w:rPr>
          <w:rFonts w:ascii="宋体" w:hAnsi="宋体"/>
          <w:b/>
          <w:bCs/>
          <w:sz w:val="24"/>
        </w:rPr>
      </w:pPr>
      <w:r w:rsidRPr="0097021E">
        <w:rPr>
          <w:rFonts w:ascii="宋体"/>
          <w:b/>
          <w:bCs/>
          <w:sz w:val="24"/>
        </w:rPr>
        <w:t/>
      </w:r>
      <w:r w:rsidRPr="0097021E">
        <w:rPr>
          <w:rFonts w:ascii="宋体" w:hAnsi="宋体"/>
          <w:b/>
          <w:bCs/>
          <w:sz w:val="24"/>
        </w:rPr>
        <w:t>易方达基金管理有限公司</w:t>
      </w:r>
    </w:p>
    <w:p w:rsidP="00394BC1" w:rsidR="00EA3F40" w:rsidRDefault="00EA3F40" w:rsidRPr="0097021E">
      <w:pPr>
        <w:spacing w:line="360" w:lineRule="auto"/>
        <w:jc w:val="right"/>
        <w:rPr>
          <w:rFonts w:ascii="宋体" w:hAnsi="宋体"/>
          <w:b/>
          <w:bCs/>
          <w:sz w:val="24"/>
        </w:rPr>
      </w:pPr>
      <w:r w:rsidRPr="0097021E">
        <w:rPr>
          <w:rFonts w:ascii="宋体" w:hAnsi="宋体"/>
          <w:b/>
          <w:bCs/>
          <w:sz w:val="24"/>
        </w:rPr>
        <w:t>二〇二〇年七月二十一日</w:t>
      </w:r>
    </w:p>
    <w:sectPr w:rsidR="00EA3F40" w:rsidRPr="0097021E" w:rsidSect="00075BBB">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95B" w:rsidRDefault="0038195B">
      <w:r>
        <w:separator/>
      </w:r>
    </w:p>
  </w:endnote>
  <w:endnote w:type="continuationSeparator" w:id="0">
    <w:p w:rsidR="0038195B" w:rsidRDefault="0038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FC1146" w:rsidRDefault="00FC1146" w:rsidRPr="001D0DB0">
    <w:pPr>
      <w:pStyle w:val="a5"/>
      <w:jc w:val="center"/>
    </w:pPr>
    <w:r>
      <w:rPr>
        <w:rFonts w:hint="eastAsia"/>
        <w:szCs w:val="21"/>
      </w:rPr>
      <w:t>第</w:t>
    </w:r>
    <w:r>
      <w:rPr>
        <w:szCs w:val="21"/>
      </w:rPr>
      <w:fldChar w:fldCharType="begin"/>
    </w:r>
    <w:r>
      <w:rPr>
        <w:szCs w:val="21"/>
      </w:rPr>
      <w:instrText xml:space="preserve"> PAGE </w:instrText>
    </w:r>
    <w:r>
      <w:rPr>
        <w:szCs w:val="21"/>
      </w:rPr>
      <w:fldChar w:fldCharType="separate"/>
    </w:r>
    <w:r w:rsidR="00B261EB">
      <w:rPr>
        <w:noProof/>
        <w:szCs w:val="21"/>
      </w:rPr>
      <w:t>21</w:t>
    </w:r>
    <w:r>
      <w:rPr>
        <w:szCs w:val="21"/>
      </w:rPr>
      <w:fldChar w:fldCharType="end"/>
    </w:r>
    <w:r>
      <w:rPr>
        <w:rFonts w:hint="eastAsia"/>
        <w:szCs w:val="21"/>
      </w:rPr>
      <w:t>页共</w:t>
    </w:r>
    <w:r>
      <w:rPr>
        <w:szCs w:val="21"/>
      </w:rPr>
      <w:fldChar w:fldCharType="begin"/>
    </w:r>
    <w:r>
      <w:rPr>
        <w:szCs w:val="21"/>
      </w:rPr>
      <w:instrText xml:space="preserve"> NUMPAGES </w:instrText>
    </w:r>
    <w:r>
      <w:rPr>
        <w:szCs w:val="21"/>
      </w:rPr>
      <w:fldChar w:fldCharType="separate"/>
    </w:r>
    <w:r w:rsidR="00B261EB">
      <w:rPr>
        <w:noProof/>
        <w:szCs w:val="21"/>
      </w:rPr>
      <w:t>28</w:t>
    </w:r>
    <w:r>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38195B" w:rsidRDefault="0038195B">
      <w:r>
        <w:separator/>
      </w:r>
    </w:p>
  </w:footnote>
  <w:footnote w:id="0" w:type="continuationSeparator">
    <w:p w:rsidR="0038195B" w:rsidRDefault="0038195B">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8379E2" w:rsidR="00FC1146" w:rsidRDefault="00FC1146" w:rsidRPr="00936106">
    <w:pPr>
      <w:pStyle w:val="a4"/>
      <w:pBdr>
        <w:bottom w:color="auto" w:space="0" w:sz="6" w:val="single"/>
      </w:pBdr>
      <w:jc w:val="right"/>
      <w:rPr>
        <w:sz w:val="15"/>
      </w:rPr>
    </w:pPr>
    <w:r w:rsidRPr="00936106">
      <w:rPr>
        <w:szCs w:val="21"/>
      </w:rPr>
      <w:t>易方达现金增利货币市场基金2020年第2季度报告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abstractNum w:abstractNumId="1">
    <w:nsid w:val="76E15721"/>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 w:numId="2">
    <w:abstractNumId w:val="1"/>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embedSystemFonts/>
  <w:bordersDoNotSurroundHeader/>
  <w:bordersDoNotSurroundFooter/>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283"/>
    <w:rsid w:val="000028CE"/>
    <w:rsid w:val="00004DE7"/>
    <w:rsid w:val="00005433"/>
    <w:rsid w:val="0001552D"/>
    <w:rsid w:val="0001566B"/>
    <w:rsid w:val="000175F5"/>
    <w:rsid w:val="0002085F"/>
    <w:rsid w:val="00025C5D"/>
    <w:rsid w:val="000321E9"/>
    <w:rsid w:val="00034C31"/>
    <w:rsid w:val="00035596"/>
    <w:rsid w:val="000417E0"/>
    <w:rsid w:val="00044724"/>
    <w:rsid w:val="00047661"/>
    <w:rsid w:val="00052CA4"/>
    <w:rsid w:val="00053472"/>
    <w:rsid w:val="00054470"/>
    <w:rsid w:val="0005518A"/>
    <w:rsid w:val="00057D26"/>
    <w:rsid w:val="00063BA4"/>
    <w:rsid w:val="0006697D"/>
    <w:rsid w:val="00067A21"/>
    <w:rsid w:val="00070092"/>
    <w:rsid w:val="0007109E"/>
    <w:rsid w:val="00075BBB"/>
    <w:rsid w:val="00075CA2"/>
    <w:rsid w:val="0007770D"/>
    <w:rsid w:val="00086731"/>
    <w:rsid w:val="000A39AB"/>
    <w:rsid w:val="000A466F"/>
    <w:rsid w:val="000B2044"/>
    <w:rsid w:val="000B2266"/>
    <w:rsid w:val="000C469F"/>
    <w:rsid w:val="000D0F44"/>
    <w:rsid w:val="000D6294"/>
    <w:rsid w:val="000E0F6E"/>
    <w:rsid w:val="000F3C21"/>
    <w:rsid w:val="000F4826"/>
    <w:rsid w:val="000F5947"/>
    <w:rsid w:val="00101278"/>
    <w:rsid w:val="00102307"/>
    <w:rsid w:val="001038EF"/>
    <w:rsid w:val="00103B93"/>
    <w:rsid w:val="001074D6"/>
    <w:rsid w:val="001136E5"/>
    <w:rsid w:val="00113777"/>
    <w:rsid w:val="00114C97"/>
    <w:rsid w:val="00127B62"/>
    <w:rsid w:val="001302DB"/>
    <w:rsid w:val="00157B55"/>
    <w:rsid w:val="00162222"/>
    <w:rsid w:val="001635C7"/>
    <w:rsid w:val="001669F2"/>
    <w:rsid w:val="001752C7"/>
    <w:rsid w:val="0018401C"/>
    <w:rsid w:val="00185622"/>
    <w:rsid w:val="00186667"/>
    <w:rsid w:val="001878B0"/>
    <w:rsid w:val="00191B28"/>
    <w:rsid w:val="00192A36"/>
    <w:rsid w:val="00193BCF"/>
    <w:rsid w:val="00195C6F"/>
    <w:rsid w:val="00196812"/>
    <w:rsid w:val="00197ED0"/>
    <w:rsid w:val="001A2524"/>
    <w:rsid w:val="001B42BE"/>
    <w:rsid w:val="001B72D6"/>
    <w:rsid w:val="001B7CC6"/>
    <w:rsid w:val="001C5D80"/>
    <w:rsid w:val="001D0D4C"/>
    <w:rsid w:val="001D0DB0"/>
    <w:rsid w:val="001D3FAC"/>
    <w:rsid w:val="001D65C8"/>
    <w:rsid w:val="001D6ECD"/>
    <w:rsid w:val="001D75D9"/>
    <w:rsid w:val="001F0286"/>
    <w:rsid w:val="0020640F"/>
    <w:rsid w:val="0021251E"/>
    <w:rsid w:val="00220437"/>
    <w:rsid w:val="002315A5"/>
    <w:rsid w:val="00231F37"/>
    <w:rsid w:val="00232095"/>
    <w:rsid w:val="00233014"/>
    <w:rsid w:val="0024424F"/>
    <w:rsid w:val="002507FE"/>
    <w:rsid w:val="0025157E"/>
    <w:rsid w:val="002525C7"/>
    <w:rsid w:val="00255320"/>
    <w:rsid w:val="002611C3"/>
    <w:rsid w:val="002622E8"/>
    <w:rsid w:val="00264E55"/>
    <w:rsid w:val="00267283"/>
    <w:rsid w:val="00274FAC"/>
    <w:rsid w:val="0027576B"/>
    <w:rsid w:val="002767C1"/>
    <w:rsid w:val="00281E3B"/>
    <w:rsid w:val="00282892"/>
    <w:rsid w:val="00291428"/>
    <w:rsid w:val="002A4B7F"/>
    <w:rsid w:val="002B45A4"/>
    <w:rsid w:val="002B6EAF"/>
    <w:rsid w:val="002C17D5"/>
    <w:rsid w:val="002C308A"/>
    <w:rsid w:val="002D3ADF"/>
    <w:rsid w:val="002D680F"/>
    <w:rsid w:val="002D7BD9"/>
    <w:rsid w:val="002E040C"/>
    <w:rsid w:val="002E0F4A"/>
    <w:rsid w:val="002E41BD"/>
    <w:rsid w:val="002F0E9D"/>
    <w:rsid w:val="002F6539"/>
    <w:rsid w:val="00307062"/>
    <w:rsid w:val="0031055A"/>
    <w:rsid w:val="00311ADA"/>
    <w:rsid w:val="00311AEB"/>
    <w:rsid w:val="00322B07"/>
    <w:rsid w:val="0032323A"/>
    <w:rsid w:val="00323377"/>
    <w:rsid w:val="00327FB0"/>
    <w:rsid w:val="00331FAB"/>
    <w:rsid w:val="0033525E"/>
    <w:rsid w:val="00340292"/>
    <w:rsid w:val="00340456"/>
    <w:rsid w:val="00340C3A"/>
    <w:rsid w:val="00343648"/>
    <w:rsid w:val="00343AF0"/>
    <w:rsid w:val="003451F3"/>
    <w:rsid w:val="00346359"/>
    <w:rsid w:val="00346B82"/>
    <w:rsid w:val="0035022C"/>
    <w:rsid w:val="0035215C"/>
    <w:rsid w:val="00362E2A"/>
    <w:rsid w:val="0036392B"/>
    <w:rsid w:val="00371E26"/>
    <w:rsid w:val="00373AAB"/>
    <w:rsid w:val="0038195B"/>
    <w:rsid w:val="00383631"/>
    <w:rsid w:val="00384942"/>
    <w:rsid w:val="00394BC1"/>
    <w:rsid w:val="003A0EC1"/>
    <w:rsid w:val="003A1E1E"/>
    <w:rsid w:val="003B2989"/>
    <w:rsid w:val="003B36B4"/>
    <w:rsid w:val="003B5756"/>
    <w:rsid w:val="003B6DC6"/>
    <w:rsid w:val="003B7F31"/>
    <w:rsid w:val="003C0E8C"/>
    <w:rsid w:val="003C1137"/>
    <w:rsid w:val="003C38DE"/>
    <w:rsid w:val="003C495A"/>
    <w:rsid w:val="003D1ECF"/>
    <w:rsid w:val="003D21F4"/>
    <w:rsid w:val="003E14FE"/>
    <w:rsid w:val="003E565B"/>
    <w:rsid w:val="003F43EB"/>
    <w:rsid w:val="00402654"/>
    <w:rsid w:val="00403ED2"/>
    <w:rsid w:val="00407CC3"/>
    <w:rsid w:val="00413FA3"/>
    <w:rsid w:val="004250C5"/>
    <w:rsid w:val="00425438"/>
    <w:rsid w:val="00426E31"/>
    <w:rsid w:val="00433C1E"/>
    <w:rsid w:val="004369B0"/>
    <w:rsid w:val="00440828"/>
    <w:rsid w:val="004409FE"/>
    <w:rsid w:val="0044257C"/>
    <w:rsid w:val="0044342F"/>
    <w:rsid w:val="00446474"/>
    <w:rsid w:val="004527E3"/>
    <w:rsid w:val="00452D31"/>
    <w:rsid w:val="00460000"/>
    <w:rsid w:val="00461A70"/>
    <w:rsid w:val="004702DF"/>
    <w:rsid w:val="00470F55"/>
    <w:rsid w:val="00473E10"/>
    <w:rsid w:val="00473EC9"/>
    <w:rsid w:val="00474896"/>
    <w:rsid w:val="004771B9"/>
    <w:rsid w:val="004950A3"/>
    <w:rsid w:val="00496B2E"/>
    <w:rsid w:val="004A0C6B"/>
    <w:rsid w:val="004A2432"/>
    <w:rsid w:val="004A3251"/>
    <w:rsid w:val="004A357E"/>
    <w:rsid w:val="004A46A0"/>
    <w:rsid w:val="004B1C09"/>
    <w:rsid w:val="004C5B7C"/>
    <w:rsid w:val="004D22E1"/>
    <w:rsid w:val="004D581E"/>
    <w:rsid w:val="004D72C7"/>
    <w:rsid w:val="004E041A"/>
    <w:rsid w:val="004E1DC5"/>
    <w:rsid w:val="004E3452"/>
    <w:rsid w:val="004E4E63"/>
    <w:rsid w:val="004F3BE1"/>
    <w:rsid w:val="004F459B"/>
    <w:rsid w:val="00500487"/>
    <w:rsid w:val="00506EF6"/>
    <w:rsid w:val="005141F5"/>
    <w:rsid w:val="0051505A"/>
    <w:rsid w:val="00515166"/>
    <w:rsid w:val="0051578D"/>
    <w:rsid w:val="005212AE"/>
    <w:rsid w:val="00532457"/>
    <w:rsid w:val="00533490"/>
    <w:rsid w:val="0053782E"/>
    <w:rsid w:val="0054464B"/>
    <w:rsid w:val="00546492"/>
    <w:rsid w:val="00546747"/>
    <w:rsid w:val="0054785C"/>
    <w:rsid w:val="00555883"/>
    <w:rsid w:val="00560F94"/>
    <w:rsid w:val="005633AD"/>
    <w:rsid w:val="00564C24"/>
    <w:rsid w:val="00570F8C"/>
    <w:rsid w:val="00575970"/>
    <w:rsid w:val="00582960"/>
    <w:rsid w:val="00587524"/>
    <w:rsid w:val="00592D0A"/>
    <w:rsid w:val="00594DCA"/>
    <w:rsid w:val="00595285"/>
    <w:rsid w:val="005A60B7"/>
    <w:rsid w:val="005B527B"/>
    <w:rsid w:val="005D1572"/>
    <w:rsid w:val="005D1BAF"/>
    <w:rsid w:val="005D21B9"/>
    <w:rsid w:val="005D4E63"/>
    <w:rsid w:val="005D596C"/>
    <w:rsid w:val="005D6807"/>
    <w:rsid w:val="005E05CC"/>
    <w:rsid w:val="005E2087"/>
    <w:rsid w:val="005E4559"/>
    <w:rsid w:val="005E6FA5"/>
    <w:rsid w:val="005F1343"/>
    <w:rsid w:val="005F1712"/>
    <w:rsid w:val="005F17EC"/>
    <w:rsid w:val="005F41D2"/>
    <w:rsid w:val="005F5A09"/>
    <w:rsid w:val="005F668B"/>
    <w:rsid w:val="005F6B28"/>
    <w:rsid w:val="00613327"/>
    <w:rsid w:val="00613409"/>
    <w:rsid w:val="006214E4"/>
    <w:rsid w:val="006254A5"/>
    <w:rsid w:val="006317E8"/>
    <w:rsid w:val="0063302E"/>
    <w:rsid w:val="00633177"/>
    <w:rsid w:val="006331F2"/>
    <w:rsid w:val="00636261"/>
    <w:rsid w:val="00636B17"/>
    <w:rsid w:val="0064191E"/>
    <w:rsid w:val="00664834"/>
    <w:rsid w:val="006662B2"/>
    <w:rsid w:val="00672BEF"/>
    <w:rsid w:val="00673BA5"/>
    <w:rsid w:val="00680A32"/>
    <w:rsid w:val="006911A1"/>
    <w:rsid w:val="006961CC"/>
    <w:rsid w:val="006A1E40"/>
    <w:rsid w:val="006A2D00"/>
    <w:rsid w:val="006B4C67"/>
    <w:rsid w:val="006B56E1"/>
    <w:rsid w:val="006D0BD6"/>
    <w:rsid w:val="006D27DD"/>
    <w:rsid w:val="006D4647"/>
    <w:rsid w:val="006D4C22"/>
    <w:rsid w:val="006E4EB5"/>
    <w:rsid w:val="006F1C55"/>
    <w:rsid w:val="006F3CEE"/>
    <w:rsid w:val="006F622C"/>
    <w:rsid w:val="00705970"/>
    <w:rsid w:val="00707CB2"/>
    <w:rsid w:val="00710487"/>
    <w:rsid w:val="00710B11"/>
    <w:rsid w:val="00714B3D"/>
    <w:rsid w:val="00714FD1"/>
    <w:rsid w:val="007277D1"/>
    <w:rsid w:val="00727EA0"/>
    <w:rsid w:val="00730216"/>
    <w:rsid w:val="0073105A"/>
    <w:rsid w:val="00734B8E"/>
    <w:rsid w:val="00737060"/>
    <w:rsid w:val="00741288"/>
    <w:rsid w:val="0074455F"/>
    <w:rsid w:val="007521F9"/>
    <w:rsid w:val="00756489"/>
    <w:rsid w:val="00756EA2"/>
    <w:rsid w:val="00757F37"/>
    <w:rsid w:val="007600BC"/>
    <w:rsid w:val="00762326"/>
    <w:rsid w:val="00762E87"/>
    <w:rsid w:val="00764CF7"/>
    <w:rsid w:val="007723FD"/>
    <w:rsid w:val="00772687"/>
    <w:rsid w:val="007746B3"/>
    <w:rsid w:val="00774E1E"/>
    <w:rsid w:val="00780252"/>
    <w:rsid w:val="007806BE"/>
    <w:rsid w:val="0078105B"/>
    <w:rsid w:val="00782061"/>
    <w:rsid w:val="00785C32"/>
    <w:rsid w:val="007A1ACF"/>
    <w:rsid w:val="007A339E"/>
    <w:rsid w:val="007A3C26"/>
    <w:rsid w:val="007B082A"/>
    <w:rsid w:val="007B1C3E"/>
    <w:rsid w:val="007C3671"/>
    <w:rsid w:val="007C42E5"/>
    <w:rsid w:val="007C5CCD"/>
    <w:rsid w:val="007C65CB"/>
    <w:rsid w:val="007E0C02"/>
    <w:rsid w:val="007F1DE3"/>
    <w:rsid w:val="007F7BD7"/>
    <w:rsid w:val="008056FA"/>
    <w:rsid w:val="008115B6"/>
    <w:rsid w:val="00812956"/>
    <w:rsid w:val="00813897"/>
    <w:rsid w:val="00814461"/>
    <w:rsid w:val="00823B47"/>
    <w:rsid w:val="00823E09"/>
    <w:rsid w:val="00824D84"/>
    <w:rsid w:val="00825EA5"/>
    <w:rsid w:val="00833555"/>
    <w:rsid w:val="008347B3"/>
    <w:rsid w:val="00834D9F"/>
    <w:rsid w:val="008356E6"/>
    <w:rsid w:val="00835BDD"/>
    <w:rsid w:val="008379E2"/>
    <w:rsid w:val="00841A22"/>
    <w:rsid w:val="00852119"/>
    <w:rsid w:val="0085498E"/>
    <w:rsid w:val="0086245E"/>
    <w:rsid w:val="00870A3C"/>
    <w:rsid w:val="00870FF9"/>
    <w:rsid w:val="00873386"/>
    <w:rsid w:val="00877329"/>
    <w:rsid w:val="00880EE6"/>
    <w:rsid w:val="008821D9"/>
    <w:rsid w:val="00882323"/>
    <w:rsid w:val="00893021"/>
    <w:rsid w:val="008B23BD"/>
    <w:rsid w:val="008C579A"/>
    <w:rsid w:val="008D0A39"/>
    <w:rsid w:val="008D55F2"/>
    <w:rsid w:val="008E4638"/>
    <w:rsid w:val="008E71D2"/>
    <w:rsid w:val="008F44F3"/>
    <w:rsid w:val="009004F7"/>
    <w:rsid w:val="00902E3F"/>
    <w:rsid w:val="00903E98"/>
    <w:rsid w:val="00906C9B"/>
    <w:rsid w:val="00910FB5"/>
    <w:rsid w:val="00911C0E"/>
    <w:rsid w:val="009153D7"/>
    <w:rsid w:val="00917991"/>
    <w:rsid w:val="009216A0"/>
    <w:rsid w:val="009223B5"/>
    <w:rsid w:val="00922A49"/>
    <w:rsid w:val="00934C3D"/>
    <w:rsid w:val="00936106"/>
    <w:rsid w:val="0094213C"/>
    <w:rsid w:val="0094236C"/>
    <w:rsid w:val="00943AFD"/>
    <w:rsid w:val="00950BF5"/>
    <w:rsid w:val="0097021E"/>
    <w:rsid w:val="00971C19"/>
    <w:rsid w:val="00971D35"/>
    <w:rsid w:val="00976A1A"/>
    <w:rsid w:val="0098023C"/>
    <w:rsid w:val="00987902"/>
    <w:rsid w:val="0099296A"/>
    <w:rsid w:val="009965A5"/>
    <w:rsid w:val="009A0BE2"/>
    <w:rsid w:val="009A56D7"/>
    <w:rsid w:val="009A6938"/>
    <w:rsid w:val="009A755D"/>
    <w:rsid w:val="009B15FD"/>
    <w:rsid w:val="009B2693"/>
    <w:rsid w:val="009B3C3F"/>
    <w:rsid w:val="009B73A7"/>
    <w:rsid w:val="009C0C44"/>
    <w:rsid w:val="009C1A42"/>
    <w:rsid w:val="009D60EB"/>
    <w:rsid w:val="009D74FC"/>
    <w:rsid w:val="009E07F4"/>
    <w:rsid w:val="009E2527"/>
    <w:rsid w:val="009E2BAA"/>
    <w:rsid w:val="009E3E0B"/>
    <w:rsid w:val="009F2322"/>
    <w:rsid w:val="009F480F"/>
    <w:rsid w:val="00A01505"/>
    <w:rsid w:val="00A1530B"/>
    <w:rsid w:val="00A16747"/>
    <w:rsid w:val="00A16D78"/>
    <w:rsid w:val="00A24DC0"/>
    <w:rsid w:val="00A333CB"/>
    <w:rsid w:val="00A4003E"/>
    <w:rsid w:val="00A40052"/>
    <w:rsid w:val="00A42A96"/>
    <w:rsid w:val="00A455A0"/>
    <w:rsid w:val="00A50D92"/>
    <w:rsid w:val="00A6166A"/>
    <w:rsid w:val="00A62DD4"/>
    <w:rsid w:val="00A63D5F"/>
    <w:rsid w:val="00A65A66"/>
    <w:rsid w:val="00A7219D"/>
    <w:rsid w:val="00A74DD3"/>
    <w:rsid w:val="00A805BC"/>
    <w:rsid w:val="00A80F9F"/>
    <w:rsid w:val="00A81075"/>
    <w:rsid w:val="00A87550"/>
    <w:rsid w:val="00A91D2A"/>
    <w:rsid w:val="00A95FA9"/>
    <w:rsid w:val="00AA5B03"/>
    <w:rsid w:val="00AA68D4"/>
    <w:rsid w:val="00AB24CA"/>
    <w:rsid w:val="00AB373C"/>
    <w:rsid w:val="00AB5159"/>
    <w:rsid w:val="00AB67DE"/>
    <w:rsid w:val="00AB7D0C"/>
    <w:rsid w:val="00AC2B47"/>
    <w:rsid w:val="00AC3D9E"/>
    <w:rsid w:val="00AC6C3D"/>
    <w:rsid w:val="00AD1ADB"/>
    <w:rsid w:val="00AD6777"/>
    <w:rsid w:val="00AD6BD5"/>
    <w:rsid w:val="00AE17F1"/>
    <w:rsid w:val="00AE27A3"/>
    <w:rsid w:val="00AE2FB9"/>
    <w:rsid w:val="00AE342F"/>
    <w:rsid w:val="00AE4F96"/>
    <w:rsid w:val="00AE6D9A"/>
    <w:rsid w:val="00AE7435"/>
    <w:rsid w:val="00AF2397"/>
    <w:rsid w:val="00AF27F9"/>
    <w:rsid w:val="00AF3D19"/>
    <w:rsid w:val="00B040BC"/>
    <w:rsid w:val="00B0441A"/>
    <w:rsid w:val="00B044FC"/>
    <w:rsid w:val="00B06458"/>
    <w:rsid w:val="00B213AC"/>
    <w:rsid w:val="00B25119"/>
    <w:rsid w:val="00B261EB"/>
    <w:rsid w:val="00B27004"/>
    <w:rsid w:val="00B33F45"/>
    <w:rsid w:val="00B33FA5"/>
    <w:rsid w:val="00B415B8"/>
    <w:rsid w:val="00B420AC"/>
    <w:rsid w:val="00B4354A"/>
    <w:rsid w:val="00B461D8"/>
    <w:rsid w:val="00B54CC5"/>
    <w:rsid w:val="00B60E27"/>
    <w:rsid w:val="00B64D62"/>
    <w:rsid w:val="00B65C2B"/>
    <w:rsid w:val="00B76BBB"/>
    <w:rsid w:val="00B83944"/>
    <w:rsid w:val="00B94B49"/>
    <w:rsid w:val="00BA7AF1"/>
    <w:rsid w:val="00BB03CC"/>
    <w:rsid w:val="00BB252C"/>
    <w:rsid w:val="00BB5126"/>
    <w:rsid w:val="00BB7518"/>
    <w:rsid w:val="00BC0205"/>
    <w:rsid w:val="00BC14F5"/>
    <w:rsid w:val="00BC2146"/>
    <w:rsid w:val="00BD0F36"/>
    <w:rsid w:val="00BD6918"/>
    <w:rsid w:val="00BE1FC8"/>
    <w:rsid w:val="00BE439F"/>
    <w:rsid w:val="00BE5584"/>
    <w:rsid w:val="00BF1111"/>
    <w:rsid w:val="00BF3886"/>
    <w:rsid w:val="00C006E9"/>
    <w:rsid w:val="00C009AF"/>
    <w:rsid w:val="00C0152D"/>
    <w:rsid w:val="00C2005E"/>
    <w:rsid w:val="00C205E4"/>
    <w:rsid w:val="00C2782D"/>
    <w:rsid w:val="00C3040F"/>
    <w:rsid w:val="00C31708"/>
    <w:rsid w:val="00C343F3"/>
    <w:rsid w:val="00C361A1"/>
    <w:rsid w:val="00C36C15"/>
    <w:rsid w:val="00C4213A"/>
    <w:rsid w:val="00C4371A"/>
    <w:rsid w:val="00C4627A"/>
    <w:rsid w:val="00C526E2"/>
    <w:rsid w:val="00C637D1"/>
    <w:rsid w:val="00C640B8"/>
    <w:rsid w:val="00C7033B"/>
    <w:rsid w:val="00C75870"/>
    <w:rsid w:val="00C83157"/>
    <w:rsid w:val="00C91200"/>
    <w:rsid w:val="00C927D5"/>
    <w:rsid w:val="00CA0730"/>
    <w:rsid w:val="00CA1C04"/>
    <w:rsid w:val="00CA3808"/>
    <w:rsid w:val="00CA592F"/>
    <w:rsid w:val="00CA65DD"/>
    <w:rsid w:val="00CB0E8A"/>
    <w:rsid w:val="00CB6152"/>
    <w:rsid w:val="00CC0035"/>
    <w:rsid w:val="00CC05B9"/>
    <w:rsid w:val="00CC3F83"/>
    <w:rsid w:val="00CC40F7"/>
    <w:rsid w:val="00CC57FC"/>
    <w:rsid w:val="00CC7DB0"/>
    <w:rsid w:val="00CD3D1C"/>
    <w:rsid w:val="00CD5F24"/>
    <w:rsid w:val="00CE0E18"/>
    <w:rsid w:val="00CE193A"/>
    <w:rsid w:val="00CE6A71"/>
    <w:rsid w:val="00CF6DF0"/>
    <w:rsid w:val="00CF7A26"/>
    <w:rsid w:val="00CF7E28"/>
    <w:rsid w:val="00D02B35"/>
    <w:rsid w:val="00D06255"/>
    <w:rsid w:val="00D06394"/>
    <w:rsid w:val="00D15D82"/>
    <w:rsid w:val="00D1705E"/>
    <w:rsid w:val="00D25602"/>
    <w:rsid w:val="00D271A9"/>
    <w:rsid w:val="00D30BD3"/>
    <w:rsid w:val="00D33791"/>
    <w:rsid w:val="00D33BA8"/>
    <w:rsid w:val="00D364EB"/>
    <w:rsid w:val="00D40363"/>
    <w:rsid w:val="00D41D32"/>
    <w:rsid w:val="00D451BC"/>
    <w:rsid w:val="00D51E96"/>
    <w:rsid w:val="00D568AA"/>
    <w:rsid w:val="00D568BB"/>
    <w:rsid w:val="00D63B9E"/>
    <w:rsid w:val="00D65D90"/>
    <w:rsid w:val="00D66016"/>
    <w:rsid w:val="00D769BA"/>
    <w:rsid w:val="00D8034F"/>
    <w:rsid w:val="00D81755"/>
    <w:rsid w:val="00D8617C"/>
    <w:rsid w:val="00D87D00"/>
    <w:rsid w:val="00D94E23"/>
    <w:rsid w:val="00DA1983"/>
    <w:rsid w:val="00DA2F1E"/>
    <w:rsid w:val="00DA5831"/>
    <w:rsid w:val="00DB17B8"/>
    <w:rsid w:val="00DB2873"/>
    <w:rsid w:val="00DC4482"/>
    <w:rsid w:val="00DD5028"/>
    <w:rsid w:val="00DD5350"/>
    <w:rsid w:val="00DE38DA"/>
    <w:rsid w:val="00DE4550"/>
    <w:rsid w:val="00DF1198"/>
    <w:rsid w:val="00E009CD"/>
    <w:rsid w:val="00E067CB"/>
    <w:rsid w:val="00E12082"/>
    <w:rsid w:val="00E17870"/>
    <w:rsid w:val="00E21589"/>
    <w:rsid w:val="00E23C1B"/>
    <w:rsid w:val="00E24D9E"/>
    <w:rsid w:val="00E257C8"/>
    <w:rsid w:val="00E26581"/>
    <w:rsid w:val="00E2722E"/>
    <w:rsid w:val="00E325AB"/>
    <w:rsid w:val="00E3447D"/>
    <w:rsid w:val="00E431CE"/>
    <w:rsid w:val="00E445F8"/>
    <w:rsid w:val="00E503E4"/>
    <w:rsid w:val="00E55E02"/>
    <w:rsid w:val="00E571C4"/>
    <w:rsid w:val="00E63B3D"/>
    <w:rsid w:val="00E64479"/>
    <w:rsid w:val="00E67D99"/>
    <w:rsid w:val="00E75556"/>
    <w:rsid w:val="00E75EFA"/>
    <w:rsid w:val="00E76F1F"/>
    <w:rsid w:val="00E80BE2"/>
    <w:rsid w:val="00E8309D"/>
    <w:rsid w:val="00E90A9C"/>
    <w:rsid w:val="00E95356"/>
    <w:rsid w:val="00E966E5"/>
    <w:rsid w:val="00EA3D96"/>
    <w:rsid w:val="00EA3F40"/>
    <w:rsid w:val="00EA6B69"/>
    <w:rsid w:val="00EA6B7B"/>
    <w:rsid w:val="00EB25E4"/>
    <w:rsid w:val="00EB3D8B"/>
    <w:rsid w:val="00EB7416"/>
    <w:rsid w:val="00EC06C6"/>
    <w:rsid w:val="00EC104E"/>
    <w:rsid w:val="00EC4453"/>
    <w:rsid w:val="00ED0D44"/>
    <w:rsid w:val="00ED1B77"/>
    <w:rsid w:val="00ED5511"/>
    <w:rsid w:val="00ED57D1"/>
    <w:rsid w:val="00EE2BF2"/>
    <w:rsid w:val="00EF172D"/>
    <w:rsid w:val="00EF3B7C"/>
    <w:rsid w:val="00EF56FA"/>
    <w:rsid w:val="00EF6216"/>
    <w:rsid w:val="00EF6E42"/>
    <w:rsid w:val="00F0613C"/>
    <w:rsid w:val="00F07CBB"/>
    <w:rsid w:val="00F11244"/>
    <w:rsid w:val="00F14A7B"/>
    <w:rsid w:val="00F1658B"/>
    <w:rsid w:val="00F2540D"/>
    <w:rsid w:val="00F26602"/>
    <w:rsid w:val="00F31380"/>
    <w:rsid w:val="00F333BF"/>
    <w:rsid w:val="00F34499"/>
    <w:rsid w:val="00F406E3"/>
    <w:rsid w:val="00F40C82"/>
    <w:rsid w:val="00F50707"/>
    <w:rsid w:val="00F5114E"/>
    <w:rsid w:val="00F53B1A"/>
    <w:rsid w:val="00F54568"/>
    <w:rsid w:val="00F56FBC"/>
    <w:rsid w:val="00F57249"/>
    <w:rsid w:val="00F62DE3"/>
    <w:rsid w:val="00F77131"/>
    <w:rsid w:val="00F85D7E"/>
    <w:rsid w:val="00FA041A"/>
    <w:rsid w:val="00FA4C13"/>
    <w:rsid w:val="00FA7550"/>
    <w:rsid w:val="00FB345F"/>
    <w:rsid w:val="00FB4DA5"/>
    <w:rsid w:val="00FC1146"/>
    <w:rsid w:val="00FC57A1"/>
    <w:rsid w:val="00FC6D26"/>
    <w:rsid w:val="00FD3820"/>
    <w:rsid w:val="00FE6E6D"/>
    <w:rsid w:val="00FF0DAE"/>
    <w:rsid w:val="00FF3092"/>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33525E"/>
    <w:pPr>
      <w:widowControl w:val="0"/>
      <w:jc w:val="both"/>
    </w:pPr>
    <w:rPr>
      <w:kern w:val="2"/>
      <w:sz w:val="21"/>
      <w:szCs w:val="24"/>
    </w:rPr>
  </w:style>
  <w:style w:styleId="1" w:type="paragraph">
    <w:name w:val="heading 1"/>
    <w:basedOn w:val="a"/>
    <w:next w:val="a"/>
    <w:link w:val="1Char"/>
    <w:uiPriority w:val="99"/>
    <w:qFormat/>
    <w:rsid w:val="00CA65D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CA65DD"/>
    <w:rPr>
      <w:rFonts w:cs="Times New Roman"/>
      <w:b/>
      <w:bCs/>
      <w:kern w:val="44"/>
      <w:sz w:val="44"/>
      <w:szCs w:val="44"/>
    </w:rPr>
  </w:style>
  <w:style w:customStyle="1" w:styleId="2Char" w:type="character">
    <w:name w:val="标题 2 Char"/>
    <w:link w:val="2"/>
    <w:uiPriority w:val="9"/>
    <w:semiHidden/>
    <w:rsid w:val="006F6012"/>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8379E2"/>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6F6012"/>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6F6012"/>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E63B3D"/>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6F6012"/>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212AE"/>
    <w:pPr>
      <w:shd w:color="auto" w:fill="000080" w:val="clear"/>
    </w:pPr>
    <w:rPr>
      <w:kern w:val="0"/>
      <w:sz w:val="0"/>
      <w:szCs w:val="0"/>
    </w:rPr>
  </w:style>
  <w:style w:customStyle="1" w:styleId="Char3" w:type="character">
    <w:name w:val="文档结构图 Char"/>
    <w:link w:val="a7"/>
    <w:uiPriority w:val="99"/>
    <w:semiHidden/>
    <w:rsid w:val="006F6012"/>
    <w:rPr>
      <w:sz w:val="0"/>
      <w:szCs w:val="0"/>
    </w:rPr>
  </w:style>
  <w:style w:styleId="a8" w:type="paragraph">
    <w:name w:val="Balloon Text"/>
    <w:basedOn w:val="a"/>
    <w:link w:val="Char4"/>
    <w:uiPriority w:val="99"/>
    <w:rsid w:val="00E63B3D"/>
    <w:rPr>
      <w:sz w:val="18"/>
      <w:szCs w:val="18"/>
    </w:rPr>
  </w:style>
  <w:style w:customStyle="1" w:styleId="Char4" w:type="character">
    <w:name w:val="批注框文本 Char"/>
    <w:link w:val="a8"/>
    <w:uiPriority w:val="99"/>
    <w:locked/>
    <w:rsid w:val="00E63B3D"/>
    <w:rPr>
      <w:rFonts w:cs="Times New Roman"/>
      <w:kern w:val="2"/>
      <w:sz w:val="18"/>
      <w:szCs w:val="18"/>
    </w:rPr>
  </w:style>
  <w:style w:styleId="a9" w:type="paragraph">
    <w:name w:val="List Paragraph"/>
    <w:basedOn w:val="a"/>
    <w:uiPriority w:val="99"/>
    <w:qFormat/>
    <w:rsid w:val="005F668B"/>
    <w:pPr>
      <w:ind w:firstLine="420" w:firstLineChars="200"/>
    </w:pPr>
  </w:style>
  <w:style w:styleId="aa" w:type="table">
    <w:name w:val="Table Grid"/>
    <w:basedOn w:val="a2"/>
    <w:qFormat/>
    <w:rsid w:val="005A60B7"/>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styleId="ab" w:type="paragraph">
    <w:name w:val="Normal (Web)"/>
    <w:basedOn w:val="a"/>
    <w:uiPriority w:val="99"/>
    <w:rsid w:val="008B23BD"/>
    <w:pPr>
      <w:widowControl/>
      <w:spacing w:after="100" w:afterAutospacing="1" w:before="100" w:beforeAutospacing="1"/>
    </w:pPr>
    <w:rPr>
      <w:rFonts w:ascii="宋体" w:hAnsi="宋体"/>
      <w:kern w:val="0"/>
      <w:sz w:val="24"/>
      <w:szCs w:val="20"/>
    </w:rPr>
  </w:style>
  <w:style w:styleId="ac" w:type="paragraph">
    <w:name w:val="Date"/>
    <w:basedOn w:val="a"/>
    <w:next w:val="a"/>
    <w:link w:val="Char5"/>
    <w:uiPriority w:val="99"/>
    <w:rsid w:val="00D66016"/>
    <w:rPr>
      <w:sz w:val="24"/>
      <w:szCs w:val="20"/>
    </w:rPr>
  </w:style>
  <w:style w:customStyle="1" w:styleId="Char5" w:type="character">
    <w:name w:val="日期 Char"/>
    <w:link w:val="ac"/>
    <w:uiPriority w:val="99"/>
    <w:locked/>
    <w:rsid w:val="00D66016"/>
    <w:rPr>
      <w:rFonts w:cs="Times New Roman"/>
      <w:kern w:val="2"/>
      <w:sz w:val="24"/>
    </w:rPr>
  </w:style>
  <w:style w:styleId="ad" w:type="paragraph">
    <w:name w:val="footnote text"/>
    <w:basedOn w:val="a"/>
    <w:link w:val="Char6"/>
    <w:uiPriority w:val="99"/>
    <w:rsid w:val="006B56E1"/>
    <w:pPr>
      <w:snapToGrid w:val="0"/>
      <w:jc w:val="left"/>
    </w:pPr>
    <w:rPr>
      <w:sz w:val="18"/>
      <w:szCs w:val="18"/>
    </w:rPr>
  </w:style>
  <w:style w:customStyle="1" w:styleId="Char6" w:type="character">
    <w:name w:val="脚注文本 Char"/>
    <w:link w:val="ad"/>
    <w:uiPriority w:val="99"/>
    <w:locked/>
    <w:rsid w:val="006B56E1"/>
    <w:rPr>
      <w:rFonts w:cs="Times New Roman"/>
      <w:kern w:val="2"/>
      <w:sz w:val="18"/>
      <w:szCs w:val="18"/>
    </w:rPr>
  </w:style>
  <w:style w:styleId="ae" w:type="character">
    <w:name w:val="footnote reference"/>
    <w:uiPriority w:val="99"/>
    <w:rsid w:val="006B56E1"/>
    <w:rPr>
      <w:rFonts w:cs="Times New Roman"/>
      <w:vertAlign w:val="superscript"/>
    </w:rPr>
  </w:style>
  <w:style w:styleId="af" w:type="character">
    <w:name w:val="Strong"/>
    <w:uiPriority w:val="22"/>
    <w:qFormat/>
    <w:locked/>
    <w:rsid w:val="001136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1063">
      <w:bodyDiv w:val="1"/>
      <w:marLeft w:val="0"/>
      <w:marRight w:val="0"/>
      <w:marTop w:val="0"/>
      <w:marBottom w:val="0"/>
      <w:divBdr>
        <w:top w:val="none" w:sz="0" w:space="0" w:color="auto"/>
        <w:left w:val="none" w:sz="0" w:space="0" w:color="auto"/>
        <w:bottom w:val="none" w:sz="0" w:space="0" w:color="auto"/>
        <w:right w:val="none" w:sz="0" w:space="0" w:color="auto"/>
      </w:divBdr>
    </w:div>
    <w:div w:id="691616685">
      <w:bodyDiv w:val="1"/>
      <w:marLeft w:val="0"/>
      <w:marRight w:val="0"/>
      <w:marTop w:val="0"/>
      <w:marBottom w:val="0"/>
      <w:divBdr>
        <w:top w:val="none" w:sz="0" w:space="0" w:color="auto"/>
        <w:left w:val="none" w:sz="0" w:space="0" w:color="auto"/>
        <w:bottom w:val="none" w:sz="0" w:space="0" w:color="auto"/>
        <w:right w:val="none" w:sz="0" w:space="0" w:color="auto"/>
      </w:divBdr>
    </w:div>
    <w:div w:id="737367738">
      <w:bodyDiv w:val="1"/>
      <w:marLeft w:val="0"/>
      <w:marRight w:val="0"/>
      <w:marTop w:val="0"/>
      <w:marBottom w:val="0"/>
      <w:divBdr>
        <w:top w:val="none" w:sz="0" w:space="0" w:color="auto"/>
        <w:left w:val="none" w:sz="0" w:space="0" w:color="auto"/>
        <w:bottom w:val="none" w:sz="0" w:space="0" w:color="auto"/>
        <w:right w:val="none" w:sz="0" w:space="0" w:color="auto"/>
      </w:divBdr>
    </w:div>
    <w:div w:id="801459287">
      <w:bodyDiv w:val="1"/>
      <w:marLeft w:val="0"/>
      <w:marRight w:val="0"/>
      <w:marTop w:val="0"/>
      <w:marBottom w:val="0"/>
      <w:divBdr>
        <w:top w:val="none" w:sz="0" w:space="0" w:color="auto"/>
        <w:left w:val="none" w:sz="0" w:space="0" w:color="auto"/>
        <w:bottom w:val="none" w:sz="0" w:space="0" w:color="auto"/>
        <w:right w:val="none" w:sz="0" w:space="0" w:color="auto"/>
      </w:divBdr>
    </w:div>
    <w:div w:id="1718818727">
      <w:marLeft w:val="0"/>
      <w:marRight w:val="0"/>
      <w:marTop w:val="0"/>
      <w:marBottom w:val="0"/>
      <w:divBdr>
        <w:top w:val="none" w:sz="0" w:space="0" w:color="auto"/>
        <w:left w:val="none" w:sz="0" w:space="0" w:color="auto"/>
        <w:bottom w:val="none" w:sz="0" w:space="0" w:color="auto"/>
        <w:right w:val="none" w:sz="0" w:space="0" w:color="auto"/>
      </w:divBdr>
    </w:div>
    <w:div w:id="1718818728">
      <w:marLeft w:val="0"/>
      <w:marRight w:val="0"/>
      <w:marTop w:val="0"/>
      <w:marBottom w:val="0"/>
      <w:divBdr>
        <w:top w:val="none" w:sz="0" w:space="0" w:color="auto"/>
        <w:left w:val="none" w:sz="0" w:space="0" w:color="auto"/>
        <w:bottom w:val="none" w:sz="0" w:space="0" w:color="auto"/>
        <w:right w:val="none" w:sz="0" w:space="0" w:color="auto"/>
      </w:divBdr>
    </w:div>
    <w:div w:id="1718818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media/image3.jpeg" Type="http://schemas.openxmlformats.org/officeDocument/2006/relationships/image"/>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28</Pages>
  <Words>3999</Words>
  <Characters>22796</Characters>
  <Application>Microsoft Office Word</Application>
  <DocSecurity>0</DocSecurity>
  <Lines>189</Lines>
  <Paragraphs>53</Paragraphs>
  <ScaleCrop>false</ScaleCrop>
  <Company>jysld</Company>
  <LinksUpToDate>false</LinksUpToDate>
  <CharactersWithSpaces>26742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2013-12-25T02:47:00Z</dcterms:created>
  <dc:creator>bonnieliu</dc:creator>
  <cp:lastModifiedBy>sirong han</cp:lastModifiedBy>
  <cp:lastPrinted>2009-01-22T10:11:00Z</cp:lastPrinted>
  <dcterms:modified xsi:type="dcterms:W3CDTF">2020-07-09T02:58:00Z</dcterms:modified>
  <cp:revision>95</cp:revision>
</cp:coreProperties>
</file>