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易方达创新驱动灵活配置混合型证券投资基金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易方达创新驱动混合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000603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000603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2015年2月13日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1,578,085,427.62</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本基金在严格控制风险的前提下，追求超越业绩比较基准的投资回报和资产的长期稳健增值。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确定组合中股票、债券、货币市场工具及其他金融工具的比例。在资产配置的基础上，本基金重点关注所在行业景气度较高且具有可持续性、所在行业竞争格局良好、管理层素质较高的创新驱动型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50%×沪深300指数收益率+50%×中债总财富指数收益率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本基金为混合型基金，理论上其风险收益水平低于股票型基金，高于债券型基金和货币市场基金。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143,248,064.80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435,045,535.62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0.2595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1,806,916,227.53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1.145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29.52%</w:t>
            </w:r>
          </w:p>
        </w:tc>
        <w:tc>
          <w:tcPr>
            <w:vAlign w:val="center"/>
          </w:tcPr>
          <w:p>
            <w:pPr>
              <w:jc w:val="center"/>
            </w:pPr>
            <w:r>
              <w:rPr>
                <w:color w:val="000000"/>
                <w:kern w:val="0"/>
                <w:sz w:val="24"/>
                <w:szCs w:val="24"/>
              </w:rPr>
              <w:t>1.02%</w:t>
            </w:r>
          </w:p>
        </w:tc>
        <w:tc>
          <w:tcPr>
            <w:vAlign w:val="center"/>
          </w:tcPr>
          <w:p>
            <w:pPr>
              <w:jc w:val="center"/>
            </w:pPr>
            <w:r>
              <w:rPr>
                <w:color w:val="000000"/>
                <w:kern w:val="0"/>
                <w:sz w:val="24"/>
                <w:szCs w:val="24"/>
              </w:rPr>
              <w:t>6.07%</w:t>
            </w:r>
          </w:p>
        </w:tc>
        <w:tc>
          <w:tcPr>
            <w:vAlign w:val="center"/>
          </w:tcPr>
          <w:p>
            <w:pPr>
              <w:jc w:val="center"/>
            </w:pPr>
            <w:r>
              <w:rPr>
                <w:color w:val="000000"/>
                <w:kern w:val="0"/>
                <w:sz w:val="24"/>
                <w:szCs w:val="24"/>
              </w:rPr>
              <w:t>0.45%</w:t>
            </w:r>
          </w:p>
        </w:tc>
        <w:tc>
          <w:tcPr>
            <w:vAlign w:val="center"/>
          </w:tcPr>
          <w:p>
            <w:pPr>
              <w:jc w:val="center"/>
            </w:pPr>
            <w:r>
              <w:rPr>
                <w:color w:val="000000"/>
                <w:kern w:val="0"/>
                <w:sz w:val="24"/>
                <w:szCs w:val="24"/>
              </w:rPr>
              <w:t>23.45%</w:t>
            </w:r>
          </w:p>
        </w:tc>
        <w:tc>
          <w:tcPr>
            <w:vAlign w:val="center"/>
          </w:tcPr>
          <w:p>
            <w:pPr>
              <w:jc w:val="center"/>
            </w:pPr>
            <w:r>
              <w:rPr>
                <w:color w:val="000000"/>
                <w:kern w:val="0"/>
                <w:sz w:val="24"/>
                <w:szCs w:val="24"/>
              </w:rPr>
              <w:t>0.57%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18.29%</w:t>
            </w:r>
          </w:p>
        </w:tc>
        <w:tc>
          <w:tcPr>
            <w:vAlign w:val="center"/>
          </w:tcPr>
          <w:p>
            <w:pPr>
              <w:jc w:val="center"/>
            </w:pPr>
            <w:r>
              <w:rPr>
                <w:color w:val="000000"/>
                <w:kern w:val="0"/>
                <w:sz w:val="24"/>
                <w:szCs w:val="24"/>
              </w:rPr>
              <w:t>1.72%</w:t>
            </w:r>
          </w:p>
        </w:tc>
        <w:tc>
          <w:tcPr>
            <w:vAlign w:val="center"/>
          </w:tcPr>
          <w:p>
            <w:pPr>
              <w:jc w:val="center"/>
            </w:pPr>
            <w:r>
              <w:rPr>
                <w:color w:val="000000"/>
                <w:kern w:val="0"/>
                <w:sz w:val="24"/>
                <w:szCs w:val="24"/>
              </w:rPr>
              <w:t>2.15%</w:t>
            </w:r>
          </w:p>
        </w:tc>
        <w:tc>
          <w:tcPr>
            <w:vAlign w:val="center"/>
          </w:tcPr>
          <w:p>
            <w:pPr>
              <w:jc w:val="center"/>
            </w:pPr>
            <w:r>
              <w:rPr>
                <w:color w:val="000000"/>
                <w:kern w:val="0"/>
                <w:sz w:val="24"/>
                <w:szCs w:val="24"/>
              </w:rPr>
              <w:t>0.73%</w:t>
            </w:r>
          </w:p>
        </w:tc>
        <w:tc>
          <w:tcPr>
            <w:vAlign w:val="center"/>
          </w:tcPr>
          <w:p>
            <w:pPr>
              <w:jc w:val="center"/>
            </w:pPr>
            <w:r>
              <w:rPr>
                <w:color w:val="000000"/>
                <w:kern w:val="0"/>
                <w:sz w:val="24"/>
                <w:szCs w:val="24"/>
              </w:rPr>
              <w:t>16.14%</w:t>
            </w:r>
          </w:p>
        </w:tc>
        <w:tc>
          <w:tcPr>
            <w:vAlign w:val="center"/>
          </w:tcPr>
          <w:p>
            <w:pPr>
              <w:jc w:val="center"/>
            </w:pPr>
            <w:r>
              <w:rPr>
                <w:color w:val="000000"/>
                <w:kern w:val="0"/>
                <w:sz w:val="24"/>
                <w:szCs w:val="24"/>
              </w:rPr>
              <w:t>0.99%</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34.07%</w:t>
            </w:r>
          </w:p>
        </w:tc>
        <w:tc>
          <w:tcPr>
            <w:vAlign w:val="center"/>
          </w:tcPr>
          <w:p>
            <w:pPr>
              <w:jc w:val="center"/>
            </w:pPr>
            <w:r>
              <w:rPr>
                <w:color w:val="000000"/>
                <w:kern w:val="0"/>
                <w:sz w:val="24"/>
                <w:szCs w:val="24"/>
              </w:rPr>
              <w:t>1.38%</w:t>
            </w:r>
          </w:p>
        </w:tc>
        <w:tc>
          <w:tcPr>
            <w:vAlign w:val="center"/>
          </w:tcPr>
          <w:p>
            <w:pPr>
              <w:jc w:val="center"/>
            </w:pPr>
            <w:r>
              <w:rPr>
                <w:color w:val="000000"/>
                <w:kern w:val="0"/>
                <w:sz w:val="24"/>
                <w:szCs w:val="24"/>
              </w:rPr>
              <w:t>7.20%</w:t>
            </w:r>
          </w:p>
        </w:tc>
        <w:tc>
          <w:tcPr>
            <w:vAlign w:val="center"/>
          </w:tcPr>
          <w:p>
            <w:pPr>
              <w:jc w:val="center"/>
            </w:pPr>
            <w:r>
              <w:rPr>
                <w:color w:val="000000"/>
                <w:kern w:val="0"/>
                <w:sz w:val="24"/>
                <w:szCs w:val="24"/>
              </w:rPr>
              <w:t>0.59%</w:t>
            </w:r>
          </w:p>
        </w:tc>
        <w:tc>
          <w:tcPr>
            <w:vAlign w:val="center"/>
          </w:tcPr>
          <w:p>
            <w:pPr>
              <w:jc w:val="center"/>
            </w:pPr>
            <w:r>
              <w:rPr>
                <w:color w:val="000000"/>
                <w:kern w:val="0"/>
                <w:sz w:val="24"/>
                <w:szCs w:val="24"/>
              </w:rPr>
              <w:t>26.87%</w:t>
            </w:r>
          </w:p>
        </w:tc>
        <w:tc>
          <w:tcPr>
            <w:vAlign w:val="center"/>
          </w:tcPr>
          <w:p>
            <w:pPr>
              <w:jc w:val="center"/>
            </w:pPr>
            <w:r>
              <w:rPr>
                <w:color w:val="000000"/>
                <w:kern w:val="0"/>
                <w:sz w:val="24"/>
                <w:szCs w:val="24"/>
              </w:rPr>
              <w:t>0.79%</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25.41%</w:t>
            </w:r>
          </w:p>
        </w:tc>
        <w:tc>
          <w:tcPr>
            <w:vAlign w:val="center"/>
          </w:tcPr>
          <w:p>
            <w:pPr>
              <w:jc w:val="center"/>
            </w:pPr>
            <w:r>
              <w:rPr>
                <w:color w:val="000000"/>
                <w:kern w:val="0"/>
                <w:sz w:val="24"/>
                <w:szCs w:val="24"/>
              </w:rPr>
              <w:t>1.50%</w:t>
            </w:r>
          </w:p>
        </w:tc>
        <w:tc>
          <w:tcPr>
            <w:vAlign w:val="center"/>
          </w:tcPr>
          <w:p>
            <w:pPr>
              <w:jc w:val="center"/>
            </w:pPr>
            <w:r>
              <w:rPr>
                <w:color w:val="000000"/>
                <w:kern w:val="0"/>
                <w:sz w:val="24"/>
                <w:szCs w:val="24"/>
              </w:rPr>
              <w:t>15.19%</w:t>
            </w:r>
          </w:p>
        </w:tc>
        <w:tc>
          <w:tcPr>
            <w:vAlign w:val="center"/>
          </w:tcPr>
          <w:p>
            <w:pPr>
              <w:jc w:val="center"/>
            </w:pPr>
            <w:r>
              <w:rPr>
                <w:color w:val="000000"/>
                <w:kern w:val="0"/>
                <w:sz w:val="24"/>
                <w:szCs w:val="24"/>
              </w:rPr>
              <w:t>0.61%</w:t>
            </w:r>
          </w:p>
        </w:tc>
        <w:tc>
          <w:tcPr>
            <w:vAlign w:val="center"/>
          </w:tcPr>
          <w:p>
            <w:pPr>
              <w:jc w:val="center"/>
            </w:pPr>
            <w:r>
              <w:rPr>
                <w:color w:val="000000"/>
                <w:kern w:val="0"/>
                <w:sz w:val="24"/>
                <w:szCs w:val="24"/>
              </w:rPr>
              <w:t>10.22%</w:t>
            </w:r>
          </w:p>
        </w:tc>
        <w:tc>
          <w:tcPr>
            <w:vAlign w:val="center"/>
          </w:tcPr>
          <w:p>
            <w:pPr>
              <w:jc w:val="center"/>
            </w:pPr>
            <w:r>
              <w:rPr>
                <w:color w:val="000000"/>
                <w:kern w:val="0"/>
                <w:sz w:val="24"/>
                <w:szCs w:val="24"/>
              </w:rPr>
              <w:t>0.89%</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-20.15%</w:t>
            </w:r>
          </w:p>
        </w:tc>
        <w:tc>
          <w:tcPr>
            <w:vAlign w:val="center"/>
          </w:tcPr>
          <w:p>
            <w:pPr>
              <w:jc w:val="center"/>
            </w:pPr>
            <w:r>
              <w:rPr>
                <w:color w:val="000000"/>
                <w:kern w:val="0"/>
                <w:sz w:val="24"/>
                <w:szCs w:val="24"/>
              </w:rPr>
              <w:t>1.97%</w:t>
            </w:r>
          </w:p>
        </w:tc>
        <w:tc>
          <w:tcPr>
            <w:vAlign w:val="center"/>
          </w:tcPr>
          <w:p>
            <w:pPr>
              <w:jc w:val="center"/>
            </w:pPr>
            <w:r>
              <w:rPr>
                <w:color w:val="000000"/>
                <w:kern w:val="0"/>
                <w:sz w:val="24"/>
                <w:szCs w:val="24"/>
              </w:rPr>
              <w:t>8.44%</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-28.59%</w:t>
            </w:r>
          </w:p>
        </w:tc>
        <w:tc>
          <w:tcPr>
            <w:vAlign w:val="center"/>
          </w:tcPr>
          <w:p>
            <w:pPr>
              <w:jc w:val="center"/>
            </w:pPr>
            <w:r>
              <w:rPr>
                <w:color w:val="000000"/>
                <w:kern w:val="0"/>
                <w:sz w:val="24"/>
                <w:szCs w:val="24"/>
              </w:rPr>
              <w:t>1.25%</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14.50%</w:t>
            </w:r>
          </w:p>
        </w:tc>
        <w:tc>
          <w:tcPr>
            <w:vAlign w:val="center"/>
          </w:tcPr>
          <w:p>
            <w:pPr>
              <w:jc w:val="center"/>
            </w:pPr>
            <w:r>
              <w:rPr>
                <w:color w:val="000000"/>
                <w:kern w:val="0"/>
                <w:sz w:val="24"/>
                <w:szCs w:val="24"/>
              </w:rPr>
              <w:t>2.07%</w:t>
            </w:r>
          </w:p>
        </w:tc>
        <w:tc>
          <w:tcPr>
            <w:vAlign w:val="center"/>
          </w:tcPr>
          <w:p>
            <w:pPr>
              <w:jc w:val="center"/>
            </w:pPr>
            <w:r>
              <w:rPr>
                <w:color w:val="000000"/>
                <w:kern w:val="0"/>
                <w:sz w:val="24"/>
                <w:szCs w:val="24"/>
              </w:rPr>
              <w:t>22.87%</w:t>
            </w:r>
          </w:p>
        </w:tc>
        <w:tc>
          <w:tcPr>
            <w:vAlign w:val="center"/>
          </w:tcPr>
          <w:p>
            <w:pPr>
              <w:jc w:val="center"/>
            </w:pPr>
            <w:r>
              <w:rPr>
                <w:color w:val="000000"/>
                <w:kern w:val="0"/>
                <w:sz w:val="24"/>
                <w:szCs w:val="24"/>
              </w:rPr>
              <w:t>0.76%</w:t>
            </w:r>
          </w:p>
        </w:tc>
        <w:tc>
          <w:tcPr>
            <w:vAlign w:val="center"/>
          </w:tcPr>
          <w:p>
            <w:pPr>
              <w:jc w:val="center"/>
            </w:pPr>
            <w:r>
              <w:rPr>
                <w:color w:val="000000"/>
                <w:kern w:val="0"/>
                <w:sz w:val="24"/>
                <w:szCs w:val="24"/>
              </w:rPr>
              <w:t>-8.37%</w:t>
            </w:r>
          </w:p>
        </w:tc>
        <w:tc>
          <w:tcPr>
            <w:vAlign w:val="center"/>
          </w:tcPr>
          <w:p>
            <w:pPr>
              <w:jc w:val="center"/>
            </w:pPr>
            <w:r>
              <w:rPr>
                <w:color w:val="000000"/>
                <w:kern w:val="0"/>
                <w:sz w:val="24"/>
                <w:szCs w:val="24"/>
              </w:rPr>
              <w:t>1.31%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易方达创新驱动灵活配置混合型证券投资基金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2015年2月13日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注：自基金合同生效至报告期末，基金份额净值增长率为14.50%，同期业绩比较基准收益率为22.87%。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葛秋石</w:t>
            </w:r>
          </w:p>
        </w:tc>
        <w:tc>
          <w:tcPr>
            <w:vAlign w:val="center"/>
          </w:tcPr>
          <w:p>
            <w:pPr>
              <w:jc w:val="left"/>
            </w:pPr>
            <w:r>
              <w:rPr>
                <w:color w:val="000000"/>
                <w:sz w:val="24"/>
              </w:rPr>
              <w:t>本基金的基金经理、易方达价值精选混合型证券投资基金的基金经理</w:t>
            </w:r>
          </w:p>
        </w:tc>
        <w:tc>
          <w:tcPr>
            <w:vAlign w:val="center"/>
          </w:tcPr>
          <w:p>
            <w:pPr>
              <w:jc w:val="center"/>
            </w:pPr>
            <w:r>
              <w:rPr>
                <w:color w:val="000000"/>
                <w:sz w:val="24"/>
              </w:rPr>
              <w:t>2018-03-30</w:t>
            </w:r>
          </w:p>
        </w:tc>
        <w:tc>
          <w:tcPr>
            <w:vAlign w:val="center"/>
          </w:tcPr>
          <w:p>
            <w:pPr>
              <w:jc w:val="center"/>
            </w:pPr>
            <w:r>
              <w:rPr>
                <w:color w:val="000000"/>
                <w:sz w:val="24"/>
              </w:rPr>
              <w:t>-</w:t>
            </w:r>
          </w:p>
        </w:tc>
        <w:tc>
          <w:tcPr>
            <w:vAlign w:val="center"/>
          </w:tcPr>
          <w:p>
            <w:pPr>
              <w:jc w:val="center"/>
            </w:pPr>
            <w:r>
              <w:rPr>
                <w:color w:val="000000"/>
                <w:sz w:val="24"/>
              </w:rPr>
              <w:t>8年</w:t>
            </w:r>
          </w:p>
        </w:tc>
        <w:tc>
          <w:tcPr>
            <w:vAlign w:val="center"/>
          </w:tcPr>
          <w:p>
            <w:pPr>
              <w:jc w:val="both"/>
            </w:pPr>
            <w:r>
              <w:rPr>
                <w:color w:val="000000"/>
                <w:sz w:val="24"/>
              </w:rPr>
              <w:t>硕士研究生，具有基金从业资格。曾任易方达基金管理有限公司行业研究员、易方达价值成长混合型证券投资基金基金经理助理。</w:t>
            </w:r>
          </w:p>
        </w:tc>
      </w:tr>
      <w:tr>
        <w:tc>
          <w:tcPr>
            <w:vAlign w:val="center"/>
          </w:tcPr>
          <w:p>
            <w:pPr>
              <w:jc w:val="center"/>
            </w:pPr>
            <w:r>
              <w:rPr>
                <w:color w:val="000000"/>
                <w:sz w:val="24"/>
              </w:rPr>
              <w:t>祁禾</w:t>
            </w:r>
          </w:p>
        </w:tc>
        <w:tc>
          <w:tcPr>
            <w:vAlign w:val="center"/>
          </w:tcPr>
          <w:p>
            <w:pPr>
              <w:jc w:val="left"/>
            </w:pPr>
            <w:r>
              <w:rPr>
                <w:color w:val="000000"/>
                <w:sz w:val="24"/>
              </w:rPr>
              <w:t>本基金的基金经理、易方达环保主题灵活配置混合型证券投资基金的基金经理、易方达新丝路灵活配置混合型证券投资基金的基金经理、易方达高端制造混合型发起式证券投资基金的基金经理、行业研究员</w:t>
            </w:r>
          </w:p>
        </w:tc>
        <w:tc>
          <w:tcPr>
            <w:vAlign w:val="center"/>
          </w:tcPr>
          <w:p>
            <w:pPr>
              <w:jc w:val="center"/>
            </w:pPr>
            <w:r>
              <w:rPr>
                <w:color w:val="000000"/>
                <w:sz w:val="24"/>
              </w:rPr>
              <w:t>2018-12-11</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华泰联合证券有限责任公司研究所研究员，博时基金管理有限公司研究部研究员、易方达基金管理有限公司易方达科汇灵活配置混合型证券投资基金基金经理、易方达环保主题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2020年二季度沪深300指数上涨12.96%，创业板指数上涨30.25%。疫情后的流动性宽松环境和优势企业在该背景下扩张份额的利好，驱动市场出现结构性行情。</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在报告期内坚持一贯的投资思路，精选竞争力突出、具备创新能力的企业作重点配置，同时结合估值因素对配置进行优化调整，借助疫情发酵带来的回调机会，增加了对消费电子配置，减持了部分估值较高的云计算标的。在中国经济转型下，创新是持续发展的动力，本基金重点关注以下领域的投资机会：一是代表中国高端制造前进方向、竞争力强的公司，比如新能源、家电、通信、电子、软件；二是具有国际竞争优势和创新能力的传统行业企业，比如化工、建材；三是具备创新能力的优质消费企业。</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截至报告期末，本基金份额净值为1.145元，本报告期份额净值增长率为29.52%，同期业绩比较基准收益率为6.07%。</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1,656,681,452.95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89.31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1,656,681,452.95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89.31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166,777,302.65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8.99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31,607,966.56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1,855,066,722.16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1,382,018,398.69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76.48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66,887,817.99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3.70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0.31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157,746,453.15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8.73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44,435,456.00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1,656,681,452.95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91.69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603806</w:t>
            </w:r>
          </w:p>
        </w:tc>
        <w:tc>
          <w:tcPr>
            <w:vAlign w:val="center"/>
          </w:tcPr>
          <w:p>
            <w:pPr>
              <w:jc w:val="center"/>
            </w:pPr>
            <w:r>
              <w:rPr>
                <w:color w:val="000000"/>
                <w:kern w:val="0"/>
                <w:sz w:val="24"/>
                <w:szCs w:val="24"/>
              </w:rPr>
              <w:t>福斯特</w:t>
            </w:r>
          </w:p>
        </w:tc>
        <w:tc>
          <w:tcPr>
            <w:vAlign w:val="center"/>
          </w:tcPr>
          <w:p>
            <w:pPr>
              <w:jc w:val="right"/>
            </w:pPr>
            <w:r>
              <w:rPr>
                <w:color w:val="000000"/>
                <w:kern w:val="0"/>
                <w:sz w:val="24"/>
                <w:szCs w:val="24"/>
              </w:rPr>
              <w:t>3,465,657</w:t>
            </w:r>
          </w:p>
        </w:tc>
        <w:tc>
          <w:tcPr>
            <w:vAlign w:val="center"/>
          </w:tcPr>
          <w:p>
            <w:pPr>
              <w:jc w:val="right"/>
            </w:pPr>
            <w:r>
              <w:rPr>
                <w:color w:val="000000"/>
                <w:kern w:val="0"/>
                <w:sz w:val="24"/>
                <w:szCs w:val="24"/>
              </w:rPr>
              <w:t>172,970,940.87</w:t>
            </w:r>
          </w:p>
        </w:tc>
        <w:tc>
          <w:tcPr>
            <w:vAlign w:val="center"/>
          </w:tcPr>
          <w:p>
            <w:pPr>
              <w:jc w:val="right"/>
            </w:pPr>
            <w:r>
              <w:rPr>
                <w:color w:val="000000"/>
                <w:kern w:val="0"/>
                <w:sz w:val="24"/>
                <w:szCs w:val="24"/>
              </w:rPr>
              <w:t>9.57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2,638,627</w:t>
            </w:r>
          </w:p>
        </w:tc>
        <w:tc>
          <w:tcPr>
            <w:vAlign w:val="center"/>
          </w:tcPr>
          <w:p>
            <w:pPr>
              <w:jc w:val="right"/>
            </w:pPr>
            <w:r>
              <w:rPr>
                <w:color w:val="000000"/>
                <w:kern w:val="0"/>
                <w:sz w:val="24"/>
                <w:szCs w:val="24"/>
              </w:rPr>
              <w:t>157,763,508.33</w:t>
            </w:r>
          </w:p>
        </w:tc>
        <w:tc>
          <w:tcPr>
            <w:vAlign w:val="center"/>
          </w:tcPr>
          <w:p>
            <w:pPr>
              <w:jc w:val="right"/>
            </w:pPr>
            <w:r>
              <w:rPr>
                <w:color w:val="000000"/>
                <w:kern w:val="0"/>
                <w:sz w:val="24"/>
                <w:szCs w:val="24"/>
              </w:rPr>
              <w:t>8.73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002384</w:t>
            </w:r>
          </w:p>
        </w:tc>
        <w:tc>
          <w:tcPr>
            <w:vAlign w:val="center"/>
          </w:tcPr>
          <w:p>
            <w:pPr>
              <w:jc w:val="center"/>
            </w:pPr>
            <w:r>
              <w:rPr>
                <w:color w:val="000000"/>
                <w:kern w:val="0"/>
                <w:sz w:val="24"/>
                <w:szCs w:val="24"/>
              </w:rPr>
              <w:t>东山精密</w:t>
            </w:r>
          </w:p>
        </w:tc>
        <w:tc>
          <w:tcPr>
            <w:vAlign w:val="center"/>
          </w:tcPr>
          <w:p>
            <w:pPr>
              <w:jc w:val="right"/>
            </w:pPr>
            <w:r>
              <w:rPr>
                <w:color w:val="000000"/>
                <w:kern w:val="0"/>
                <w:sz w:val="24"/>
                <w:szCs w:val="24"/>
              </w:rPr>
              <w:t>3,587,246</w:t>
            </w:r>
          </w:p>
        </w:tc>
        <w:tc>
          <w:tcPr>
            <w:vAlign w:val="center"/>
          </w:tcPr>
          <w:p>
            <w:pPr>
              <w:jc w:val="right"/>
            </w:pPr>
            <w:r>
              <w:rPr>
                <w:color w:val="000000"/>
                <w:kern w:val="0"/>
                <w:sz w:val="24"/>
                <w:szCs w:val="24"/>
              </w:rPr>
              <w:t>107,438,017.70</w:t>
            </w:r>
          </w:p>
        </w:tc>
        <w:tc>
          <w:tcPr>
            <w:vAlign w:val="center"/>
          </w:tcPr>
          <w:p>
            <w:pPr>
              <w:jc w:val="right"/>
            </w:pPr>
            <w:r>
              <w:rPr>
                <w:color w:val="000000"/>
                <w:kern w:val="0"/>
                <w:sz w:val="24"/>
                <w:szCs w:val="24"/>
              </w:rPr>
              <w:t>5.95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300628</w:t>
            </w:r>
          </w:p>
        </w:tc>
        <w:tc>
          <w:tcPr>
            <w:vAlign w:val="center"/>
          </w:tcPr>
          <w:p>
            <w:pPr>
              <w:jc w:val="center"/>
            </w:pPr>
            <w:r>
              <w:rPr>
                <w:color w:val="000000"/>
                <w:kern w:val="0"/>
                <w:sz w:val="24"/>
                <w:szCs w:val="24"/>
              </w:rPr>
              <w:t>亿联网络</w:t>
            </w:r>
          </w:p>
        </w:tc>
        <w:tc>
          <w:tcPr>
            <w:vAlign w:val="center"/>
          </w:tcPr>
          <w:p>
            <w:pPr>
              <w:jc w:val="right"/>
            </w:pPr>
            <w:r>
              <w:rPr>
                <w:color w:val="000000"/>
                <w:kern w:val="0"/>
                <w:sz w:val="24"/>
                <w:szCs w:val="24"/>
              </w:rPr>
              <w:t>1,411,451</w:t>
            </w:r>
          </w:p>
        </w:tc>
        <w:tc>
          <w:tcPr>
            <w:vAlign w:val="center"/>
          </w:tcPr>
          <w:p>
            <w:pPr>
              <w:jc w:val="right"/>
            </w:pPr>
            <w:r>
              <w:rPr>
                <w:color w:val="000000"/>
                <w:kern w:val="0"/>
                <w:sz w:val="24"/>
                <w:szCs w:val="24"/>
              </w:rPr>
              <w:t>96,345,645.26</w:t>
            </w:r>
          </w:p>
        </w:tc>
        <w:tc>
          <w:tcPr>
            <w:vAlign w:val="center"/>
          </w:tcPr>
          <w:p>
            <w:pPr>
              <w:jc w:val="right"/>
            </w:pPr>
            <w:r>
              <w:rPr>
                <w:color w:val="000000"/>
                <w:kern w:val="0"/>
                <w:sz w:val="24"/>
                <w:szCs w:val="24"/>
              </w:rPr>
              <w:t>5.33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002402</w:t>
            </w:r>
          </w:p>
        </w:tc>
        <w:tc>
          <w:tcPr>
            <w:vAlign w:val="center"/>
          </w:tcPr>
          <w:p>
            <w:pPr>
              <w:jc w:val="center"/>
            </w:pPr>
            <w:r>
              <w:rPr>
                <w:color w:val="000000"/>
                <w:kern w:val="0"/>
                <w:sz w:val="24"/>
                <w:szCs w:val="24"/>
              </w:rPr>
              <w:t>和而泰</w:t>
            </w:r>
          </w:p>
        </w:tc>
        <w:tc>
          <w:tcPr>
            <w:vAlign w:val="center"/>
          </w:tcPr>
          <w:p>
            <w:pPr>
              <w:jc w:val="right"/>
            </w:pPr>
            <w:r>
              <w:rPr>
                <w:color w:val="000000"/>
                <w:kern w:val="0"/>
                <w:sz w:val="24"/>
                <w:szCs w:val="24"/>
              </w:rPr>
              <w:t>5,526,515</w:t>
            </w:r>
          </w:p>
        </w:tc>
        <w:tc>
          <w:tcPr>
            <w:vAlign w:val="center"/>
          </w:tcPr>
          <w:p>
            <w:pPr>
              <w:jc w:val="right"/>
            </w:pPr>
            <w:r>
              <w:rPr>
                <w:color w:val="000000"/>
                <w:kern w:val="0"/>
                <w:sz w:val="24"/>
                <w:szCs w:val="24"/>
              </w:rPr>
              <w:t>89,584,808.15</w:t>
            </w:r>
          </w:p>
        </w:tc>
        <w:tc>
          <w:tcPr>
            <w:vAlign w:val="center"/>
          </w:tcPr>
          <w:p>
            <w:pPr>
              <w:jc w:val="right"/>
            </w:pPr>
            <w:r>
              <w:rPr>
                <w:color w:val="000000"/>
                <w:kern w:val="0"/>
                <w:sz w:val="24"/>
                <w:szCs w:val="24"/>
              </w:rPr>
              <w:t>4.96</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600486</w:t>
            </w:r>
          </w:p>
        </w:tc>
        <w:tc>
          <w:tcPr>
            <w:vAlign w:val="center"/>
          </w:tcPr>
          <w:p>
            <w:pPr>
              <w:jc w:val="center"/>
            </w:pPr>
            <w:r>
              <w:rPr>
                <w:color w:val="000000"/>
                <w:kern w:val="0"/>
                <w:sz w:val="24"/>
                <w:szCs w:val="24"/>
              </w:rPr>
              <w:t>扬农化工</w:t>
            </w:r>
          </w:p>
        </w:tc>
        <w:tc>
          <w:tcPr>
            <w:vAlign w:val="center"/>
          </w:tcPr>
          <w:p>
            <w:pPr>
              <w:jc w:val="right"/>
            </w:pPr>
            <w:r>
              <w:rPr>
                <w:color w:val="000000"/>
                <w:kern w:val="0"/>
                <w:sz w:val="24"/>
                <w:szCs w:val="24"/>
              </w:rPr>
              <w:t>1,048,385</w:t>
            </w:r>
          </w:p>
        </w:tc>
        <w:tc>
          <w:tcPr>
            <w:vAlign w:val="center"/>
          </w:tcPr>
          <w:p>
            <w:pPr>
              <w:jc w:val="right"/>
            </w:pPr>
            <w:r>
              <w:rPr>
                <w:color w:val="000000"/>
                <w:kern w:val="0"/>
                <w:sz w:val="24"/>
                <w:szCs w:val="24"/>
              </w:rPr>
              <w:t>86,491,762.50</w:t>
            </w:r>
          </w:p>
        </w:tc>
        <w:tc>
          <w:tcPr>
            <w:vAlign w:val="center"/>
          </w:tcPr>
          <w:p>
            <w:pPr>
              <w:jc w:val="right"/>
            </w:pPr>
            <w:r>
              <w:rPr>
                <w:color w:val="000000"/>
                <w:kern w:val="0"/>
                <w:sz w:val="24"/>
                <w:szCs w:val="24"/>
              </w:rPr>
              <w:t>4.79</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601636</w:t>
            </w:r>
          </w:p>
        </w:tc>
        <w:tc>
          <w:tcPr>
            <w:vAlign w:val="center"/>
          </w:tcPr>
          <w:p>
            <w:pPr>
              <w:jc w:val="center"/>
            </w:pPr>
            <w:r>
              <w:rPr>
                <w:color w:val="000000"/>
                <w:kern w:val="0"/>
                <w:sz w:val="24"/>
                <w:szCs w:val="24"/>
              </w:rPr>
              <w:t>旗滨集团</w:t>
            </w:r>
          </w:p>
        </w:tc>
        <w:tc>
          <w:tcPr>
            <w:vAlign w:val="center"/>
          </w:tcPr>
          <w:p>
            <w:pPr>
              <w:jc w:val="right"/>
            </w:pPr>
            <w:r>
              <w:rPr>
                <w:color w:val="000000"/>
                <w:kern w:val="0"/>
                <w:sz w:val="24"/>
                <w:szCs w:val="24"/>
              </w:rPr>
              <w:t>14,041,953</w:t>
            </w:r>
          </w:p>
        </w:tc>
        <w:tc>
          <w:tcPr>
            <w:vAlign w:val="center"/>
          </w:tcPr>
          <w:p>
            <w:pPr>
              <w:jc w:val="right"/>
            </w:pPr>
            <w:r>
              <w:rPr>
                <w:color w:val="000000"/>
                <w:kern w:val="0"/>
                <w:sz w:val="24"/>
                <w:szCs w:val="24"/>
              </w:rPr>
              <w:t>83,128,361.76</w:t>
            </w:r>
          </w:p>
        </w:tc>
        <w:tc>
          <w:tcPr>
            <w:vAlign w:val="center"/>
          </w:tcPr>
          <w:p>
            <w:pPr>
              <w:jc w:val="right"/>
            </w:pPr>
            <w:r>
              <w:rPr>
                <w:color w:val="000000"/>
                <w:kern w:val="0"/>
                <w:sz w:val="24"/>
                <w:szCs w:val="24"/>
              </w:rPr>
              <w:t>4.60</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002396</w:t>
            </w:r>
          </w:p>
        </w:tc>
        <w:tc>
          <w:tcPr>
            <w:vAlign w:val="center"/>
          </w:tcPr>
          <w:p>
            <w:pPr>
              <w:jc w:val="center"/>
            </w:pPr>
            <w:r>
              <w:rPr>
                <w:color w:val="000000"/>
                <w:kern w:val="0"/>
                <w:sz w:val="24"/>
                <w:szCs w:val="24"/>
              </w:rPr>
              <w:t>星网锐捷</w:t>
            </w:r>
          </w:p>
        </w:tc>
        <w:tc>
          <w:tcPr>
            <w:vAlign w:val="center"/>
          </w:tcPr>
          <w:p>
            <w:pPr>
              <w:jc w:val="right"/>
            </w:pPr>
            <w:r>
              <w:rPr>
                <w:color w:val="000000"/>
                <w:kern w:val="0"/>
                <w:sz w:val="24"/>
                <w:szCs w:val="24"/>
              </w:rPr>
              <w:t>2,295,750</w:t>
            </w:r>
          </w:p>
        </w:tc>
        <w:tc>
          <w:tcPr>
            <w:vAlign w:val="center"/>
          </w:tcPr>
          <w:p>
            <w:pPr>
              <w:jc w:val="right"/>
            </w:pPr>
            <w:r>
              <w:rPr>
                <w:color w:val="000000"/>
                <w:kern w:val="0"/>
                <w:sz w:val="24"/>
                <w:szCs w:val="24"/>
              </w:rPr>
              <w:t>81,108,847.50</w:t>
            </w:r>
          </w:p>
        </w:tc>
        <w:tc>
          <w:tcPr>
            <w:vAlign w:val="center"/>
          </w:tcPr>
          <w:p>
            <w:pPr>
              <w:jc w:val="right"/>
            </w:pPr>
            <w:r>
              <w:rPr>
                <w:color w:val="000000"/>
                <w:kern w:val="0"/>
                <w:sz w:val="24"/>
                <w:szCs w:val="24"/>
              </w:rPr>
              <w:t>4.49</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300033</w:t>
            </w:r>
          </w:p>
        </w:tc>
        <w:tc>
          <w:tcPr>
            <w:vAlign w:val="center"/>
          </w:tcPr>
          <w:p>
            <w:pPr>
              <w:jc w:val="center"/>
            </w:pPr>
            <w:r>
              <w:rPr>
                <w:color w:val="000000"/>
                <w:kern w:val="0"/>
                <w:sz w:val="24"/>
                <w:szCs w:val="24"/>
              </w:rPr>
              <w:t>同花顺</w:t>
            </w:r>
          </w:p>
        </w:tc>
        <w:tc>
          <w:tcPr>
            <w:vAlign w:val="center"/>
          </w:tcPr>
          <w:p>
            <w:pPr>
              <w:jc w:val="right"/>
            </w:pPr>
            <w:r>
              <w:rPr>
                <w:color w:val="000000"/>
                <w:kern w:val="0"/>
                <w:sz w:val="24"/>
                <w:szCs w:val="24"/>
              </w:rPr>
              <w:t>568,703</w:t>
            </w:r>
          </w:p>
        </w:tc>
        <w:tc>
          <w:tcPr>
            <w:vAlign w:val="center"/>
          </w:tcPr>
          <w:p>
            <w:pPr>
              <w:jc w:val="right"/>
            </w:pPr>
            <w:r>
              <w:rPr>
                <w:color w:val="000000"/>
                <w:kern w:val="0"/>
                <w:sz w:val="24"/>
                <w:szCs w:val="24"/>
              </w:rPr>
              <w:t>75,682,995.24</w:t>
            </w:r>
          </w:p>
        </w:tc>
        <w:tc>
          <w:tcPr>
            <w:vAlign w:val="center"/>
          </w:tcPr>
          <w:p>
            <w:pPr>
              <w:jc w:val="right"/>
            </w:pPr>
            <w:r>
              <w:rPr>
                <w:color w:val="000000"/>
                <w:kern w:val="0"/>
                <w:sz w:val="24"/>
                <w:szCs w:val="24"/>
              </w:rPr>
              <w:t>4.19</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000100</w:t>
            </w:r>
          </w:p>
        </w:tc>
        <w:tc>
          <w:tcPr>
            <w:vAlign w:val="center"/>
          </w:tcPr>
          <w:p>
            <w:pPr>
              <w:jc w:val="center"/>
            </w:pPr>
            <w:r>
              <w:rPr>
                <w:color w:val="000000"/>
                <w:kern w:val="0"/>
                <w:sz w:val="24"/>
                <w:szCs w:val="24"/>
              </w:rPr>
              <w:t>TCL科技</w:t>
            </w:r>
          </w:p>
        </w:tc>
        <w:tc>
          <w:tcPr>
            <w:vAlign w:val="center"/>
          </w:tcPr>
          <w:p>
            <w:pPr>
              <w:jc w:val="right"/>
            </w:pPr>
            <w:r>
              <w:rPr>
                <w:color w:val="000000"/>
                <w:kern w:val="0"/>
                <w:sz w:val="24"/>
                <w:szCs w:val="24"/>
              </w:rPr>
              <w:t>11,895,000</w:t>
            </w:r>
          </w:p>
        </w:tc>
        <w:tc>
          <w:tcPr>
            <w:vAlign w:val="center"/>
          </w:tcPr>
          <w:p>
            <w:pPr>
              <w:jc w:val="right"/>
            </w:pPr>
            <w:r>
              <w:rPr>
                <w:color w:val="000000"/>
                <w:kern w:val="0"/>
                <w:sz w:val="24"/>
                <w:szCs w:val="24"/>
              </w:rPr>
              <w:t>73,749,000.00</w:t>
            </w:r>
          </w:p>
        </w:tc>
        <w:tc>
          <w:tcPr>
            <w:vAlign w:val="center"/>
          </w:tcPr>
          <w:p>
            <w:pPr>
              <w:jc w:val="right"/>
            </w:pPr>
            <w:r>
              <w:rPr>
                <w:color w:val="000000"/>
                <w:kern w:val="0"/>
                <w:sz w:val="24"/>
                <w:szCs w:val="24"/>
              </w:rPr>
              <w:t>4.08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2019年9月26日，美国国际贸易委员会(ITC)根据美国Global Foundries公司提出的申请，决定对包括TCL集团（现已更名为“TCL科技”）在内的多家公司提起337调查，指控包括该公司在内的一系列企业对美出口、在美进口和在美销售的相关产品侵犯其专利权。2019年10月29日，上述337调查的芯片制程工艺方与Global Foundries公司联合宣布已就双方现有及未来十年将申请的半导体技术专利达成全球专利交互授权协议，并撤销双方之间及与各自客户相关的所有法律诉讼。</w:t>
      </w:r>
    </w:p>
    <w:p>
      <w:pPr>
        <w:spacing w:line="360" w:lineRule="auto"/>
        <w:rPr>
          <w:rFonts w:ascii="宋体" w:hAnsi="宋体"/>
          <w:color w:val="000000"/>
          <w:sz w:val="24"/>
          <w:szCs w:val="24"/>
        </w:rPr>
      </w:pPr>
      <w:r>
        <w:rPr>
          <w:rFonts w:ascii="宋体" w:hAnsi="宋体"/>
          <w:color w:val="000000"/>
          <w:sz w:val="24"/>
          <w:szCs w:val="24"/>
        </w:rPr>
        <w:t>本基金投资TCL科技的投资决策程序符合公司投资制度的规定。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除TCL科技外，本基金投资的前十名证券的发行主体本期没有出现被监管部门立案调查，或在报告编制日前一年内受到公开谴责、处罚的情形。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524,864.53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29,312,267.98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30,134.31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1,740,699.74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31,607,966.56</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1,747,609,597.31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17,121,072.32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186,645,242.01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1,578,085,427.62</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1.中国证监会核准易方达创新驱动灵活配置混合型证券投资基金募集的文件；</w:t>
      </w:r>
    </w:p>
    <w:p>
      <w:pPr>
        <w:spacing w:line="360" w:lineRule="auto"/>
        <w:ind w:firstLine="480" w:firstLineChars="200"/>
        <w:rPr>
          <w:color w:val="000000"/>
          <w:sz w:val="24"/>
          <w:szCs w:val="24"/>
        </w:rPr>
      </w:pPr>
      <w:r>
        <w:rPr>
          <w:color w:val="000000"/>
          <w:sz w:val="24"/>
          <w:szCs w:val="24"/>
        </w:rPr>
        <w:t>2.《易方达创新驱动灵活配置混合型证券投资基金基金合同》；</w:t>
      </w:r>
    </w:p>
    <w:p>
      <w:pPr>
        <w:spacing w:line="360" w:lineRule="auto"/>
        <w:ind w:firstLine="480" w:firstLineChars="200"/>
        <w:rPr>
          <w:color w:val="000000"/>
          <w:sz w:val="24"/>
          <w:szCs w:val="24"/>
        </w:rPr>
      </w:pPr>
      <w:r>
        <w:rPr>
          <w:color w:val="000000"/>
          <w:sz w:val="24"/>
          <w:szCs w:val="24"/>
        </w:rPr>
        <w:t>3.《易方达创新驱动灵活配置混合型证券投资基金托管协议》；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易方达创新驱动灵活配置混合型证券投资基金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