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易方达裕惠回报定期开放式混合型发起式证券投资基金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兴业银行股份有限公司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基金托管人兴业银行股份有限公司根据本基金合同规定，于2020年7月17日复核了本报告中的财务指标、净值表现和投资组合报告等内容，保证复核内容不存在虚假记载、误导性陈述或者重大遗漏。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易方达裕惠定开混合发起式</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000436</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000436</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2014年8月18日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1,985,037,183.75</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在控制基金资产净值波动的基础上，力争实现基金资产的长期稳健增值。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本基金在封闭期与开放期将采取不同的投资策略，力争为基金持有人提供持续稳定的高于业绩比较基准的收益，实现基金资产的长期增值。</w:t>
            </w:r>
          </w:p>
          <w:p>
            <w:pPr>
              <w:adjustRightInd w:val="0"/>
              <w:spacing w:before="29" w:line="360" w:lineRule="auto"/>
              <w:ind w:left="17"/>
              <w:jc w:val="left"/>
              <w:rPr>
                <w:color w:val="000000"/>
                <w:sz w:val="24"/>
                <w:szCs w:val="24"/>
              </w:rPr>
            </w:pPr>
            <w:r>
              <w:rPr>
                <w:color w:val="000000"/>
                <w:kern w:val="0"/>
                <w:sz w:val="24"/>
                <w:szCs w:val="24"/>
              </w:rPr>
              <w:t>封闭期内，在遵循债券组合久期与封闭期适当匹配的基础上，本基金通过对宏观经济变量和宏观经济政策的分析，预测未来的市场利率、信用利差水平、利率期限结构的变化，并据此对债券组合进行调整，力争提高债券组合的总投资收益。</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开放期内，本基金为保持较高的组合整体收益水平，在遵守本基金有关投资限制与投资比例的前提下，逐步提升组合杠杆比例，将更多资产配置与债券资产上，降低存款配置比例，组合还将在整体资产中保持适度比例流动性高的投资品种，以提升组合的流动性。</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中国人民银行公布的三年期银行定期整存整取存款利率（税后）+1.75%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本基金为混合型基金，基金整体的长期平均风险和预期收益率理论上低于股票型基金、高于债券型基金和货币市场基金。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兴业银行股份有限公司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42,303,705.94</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3,271,079.63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0.0016</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3,239,575,172.40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1.632</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1.43%</w:t>
            </w:r>
          </w:p>
        </w:tc>
        <w:tc>
          <w:tcPr>
            <w:vAlign w:val="center"/>
          </w:tcPr>
          <w:p>
            <w:pPr>
              <w:jc w:val="center"/>
            </w:pPr>
            <w:r>
              <w:rPr>
                <w:color w:val="000000"/>
                <w:kern w:val="0"/>
                <w:sz w:val="24"/>
                <w:szCs w:val="24"/>
              </w:rPr>
              <w:t>0.17%</w:t>
            </w:r>
          </w:p>
        </w:tc>
        <w:tc>
          <w:tcPr>
            <w:vAlign w:val="center"/>
          </w:tcPr>
          <w:p>
            <w:pPr>
              <w:jc w:val="center"/>
            </w:pPr>
            <w:r>
              <w:rPr>
                <w:color w:val="000000"/>
                <w:kern w:val="0"/>
                <w:sz w:val="24"/>
                <w:szCs w:val="24"/>
              </w:rPr>
              <w:t>2.28%</w:t>
            </w:r>
          </w:p>
        </w:tc>
        <w:tc>
          <w:tcPr>
            <w:vAlign w:val="center"/>
          </w:tcPr>
          <w:p>
            <w:pPr>
              <w:jc w:val="center"/>
            </w:pPr>
            <w:r>
              <w:rPr>
                <w:color w:val="000000"/>
                <w:kern w:val="0"/>
                <w:sz w:val="24"/>
                <w:szCs w:val="24"/>
              </w:rPr>
              <w:t>0.02%</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0.15%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6.25%</w:t>
            </w:r>
          </w:p>
        </w:tc>
        <w:tc>
          <w:tcPr>
            <w:vAlign w:val="center"/>
          </w:tcPr>
          <w:p>
            <w:pPr>
              <w:jc w:val="center"/>
            </w:pPr>
            <w:r>
              <w:rPr>
                <w:color w:val="000000"/>
                <w:kern w:val="0"/>
                <w:sz w:val="24"/>
                <w:szCs w:val="24"/>
              </w:rPr>
              <w:t>0.13%</w:t>
            </w:r>
          </w:p>
        </w:tc>
        <w:tc>
          <w:tcPr>
            <w:vAlign w:val="center"/>
          </w:tcPr>
          <w:p>
            <w:pPr>
              <w:jc w:val="center"/>
            </w:pPr>
            <w:r>
              <w:rPr>
                <w:color w:val="000000"/>
                <w:kern w:val="0"/>
                <w:sz w:val="24"/>
                <w:szCs w:val="24"/>
              </w:rPr>
              <w:t>4.58%</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1.67%</w:t>
            </w:r>
          </w:p>
        </w:tc>
        <w:tc>
          <w:tcPr>
            <w:vAlign w:val="center"/>
          </w:tcPr>
          <w:p>
            <w:pPr>
              <w:jc w:val="center"/>
            </w:pPr>
            <w:r>
              <w:rPr>
                <w:color w:val="000000"/>
                <w:kern w:val="0"/>
                <w:sz w:val="24"/>
                <w:szCs w:val="24"/>
              </w:rPr>
              <w:t>0.12%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21.77%</w:t>
            </w:r>
          </w:p>
        </w:tc>
        <w:tc>
          <w:tcPr>
            <w:vAlign w:val="center"/>
          </w:tcPr>
          <w:p>
            <w:pPr>
              <w:jc w:val="center"/>
            </w:pPr>
            <w:r>
              <w:rPr>
                <w:color w:val="000000"/>
                <w:kern w:val="0"/>
                <w:sz w:val="24"/>
                <w:szCs w:val="24"/>
              </w:rPr>
              <w:t>0.14%</w:t>
            </w:r>
          </w:p>
        </w:tc>
        <w:tc>
          <w:tcPr>
            <w:vAlign w:val="center"/>
          </w:tcPr>
          <w:p>
            <w:pPr>
              <w:jc w:val="center"/>
            </w:pPr>
            <w:r>
              <w:rPr>
                <w:color w:val="000000"/>
                <w:kern w:val="0"/>
                <w:sz w:val="24"/>
                <w:szCs w:val="24"/>
              </w:rPr>
              <w:t>13.70%</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8.07%</w:t>
            </w:r>
          </w:p>
        </w:tc>
        <w:tc>
          <w:tcPr>
            <w:vAlign w:val="center"/>
          </w:tcPr>
          <w:p>
            <w:pPr>
              <w:jc w:val="center"/>
            </w:pPr>
            <w:r>
              <w:rPr>
                <w:color w:val="000000"/>
                <w:kern w:val="0"/>
                <w:sz w:val="24"/>
                <w:szCs w:val="24"/>
              </w:rPr>
              <w:t>0.13%</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46.26%</w:t>
            </w:r>
          </w:p>
        </w:tc>
        <w:tc>
          <w:tcPr>
            <w:vAlign w:val="center"/>
          </w:tcPr>
          <w:p>
            <w:pPr>
              <w:jc w:val="center"/>
            </w:pPr>
            <w:r>
              <w:rPr>
                <w:color w:val="000000"/>
                <w:kern w:val="0"/>
                <w:sz w:val="24"/>
                <w:szCs w:val="24"/>
              </w:rPr>
              <w:t>0.20%</w:t>
            </w:r>
          </w:p>
        </w:tc>
        <w:tc>
          <w:tcPr>
            <w:vAlign w:val="center"/>
          </w:tcPr>
          <w:p>
            <w:pPr>
              <w:jc w:val="center"/>
            </w:pPr>
            <w:r>
              <w:rPr>
                <w:color w:val="000000"/>
                <w:kern w:val="0"/>
                <w:sz w:val="24"/>
                <w:szCs w:val="24"/>
              </w:rPr>
              <w:t>22.96%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23.30%</w:t>
            </w:r>
          </w:p>
        </w:tc>
        <w:tc>
          <w:tcPr>
            <w:vAlign w:val="center"/>
          </w:tcPr>
          <w:p>
            <w:pPr>
              <w:jc w:val="center"/>
            </w:pPr>
            <w:r>
              <w:rPr>
                <w:color w:val="000000"/>
                <w:kern w:val="0"/>
                <w:sz w:val="24"/>
                <w:szCs w:val="24"/>
              </w:rPr>
              <w:t>0.19%</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91.86%</w:t>
            </w:r>
          </w:p>
        </w:tc>
        <w:tc>
          <w:tcPr>
            <w:vAlign w:val="center"/>
          </w:tcPr>
          <w:p>
            <w:pPr>
              <w:jc w:val="center"/>
            </w:pPr>
            <w:r>
              <w:rPr>
                <w:color w:val="000000"/>
                <w:kern w:val="0"/>
                <w:sz w:val="24"/>
                <w:szCs w:val="24"/>
              </w:rPr>
              <w:t>0.21%</w:t>
            </w:r>
          </w:p>
        </w:tc>
        <w:tc>
          <w:tcPr>
            <w:vAlign w:val="center"/>
          </w:tcPr>
          <w:p>
            <w:pPr>
              <w:jc w:val="center"/>
            </w:pPr>
            <w:r>
              <w:rPr>
                <w:color w:val="000000"/>
                <w:kern w:val="0"/>
                <w:sz w:val="24"/>
                <w:szCs w:val="24"/>
              </w:rPr>
              <w:t>27.96%</w:t>
            </w:r>
          </w:p>
        </w:tc>
        <w:tc>
          <w:tcPr>
            <w:vAlign w:val="center"/>
          </w:tcPr>
          <w:p>
            <w:pPr>
              <w:jc w:val="center"/>
            </w:pPr>
            <w:r>
              <w:rPr>
                <w:color w:val="000000"/>
                <w:kern w:val="0"/>
                <w:sz w:val="24"/>
                <w:szCs w:val="24"/>
              </w:rPr>
              <w:t>0.01%</w:t>
            </w:r>
          </w:p>
        </w:tc>
        <w:tc>
          <w:tcPr>
            <w:vAlign w:val="center"/>
          </w:tcPr>
          <w:p>
            <w:pPr>
              <w:jc w:val="center"/>
            </w:pPr>
            <w:r>
              <w:rPr>
                <w:color w:val="000000"/>
                <w:kern w:val="0"/>
                <w:sz w:val="24"/>
                <w:szCs w:val="24"/>
              </w:rPr>
              <w:t>63.90%</w:t>
            </w:r>
          </w:p>
        </w:tc>
        <w:tc>
          <w:tcPr>
            <w:vAlign w:val="center"/>
          </w:tcPr>
          <w:p>
            <w:pPr>
              <w:jc w:val="center"/>
            </w:pPr>
            <w:r>
              <w:rPr>
                <w:color w:val="000000"/>
                <w:kern w:val="0"/>
                <w:sz w:val="24"/>
                <w:szCs w:val="24"/>
              </w:rPr>
              <w:t>0.20%</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自基金转型以来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易方达裕惠回报定期开放式混合型发起式证券投资基金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2014年8月18日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注：自基金转型至报告期末，基金份额净值增长率为91.86%，同期业绩比较基准收益率为27.96%。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胡剑</w:t>
            </w:r>
          </w:p>
        </w:tc>
        <w:tc>
          <w:tcPr>
            <w:vAlign w:val="center"/>
          </w:tcPr>
          <w:p>
            <w:pPr>
              <w:jc w:val="left"/>
            </w:pPr>
            <w:r>
              <w:rPr>
                <w:color w:val="000000"/>
                <w:sz w:val="24"/>
              </w:rPr>
              <w:t>本基金的基金经理、易方达稳健收益债券型证券投资基金的基金经理、易方达信用债债券型证券投资基金的基金经理、易方达丰惠混合型证券投资基金的基金经理（自2017年03月24日至2020年06月08日）、易方达瑞富灵活配置混合型证券投资基金的基金经理、易方达3年封闭运作战略配售灵活配置混合型证券投资基金（LOF）的基金经理、易方达岁丰添利债券型证券投资基金的基金经理、易方达恒利3个月定期开放债券型发起式证券投资基金的基金经理、易方达恒益定期开放债券型发起式证券投资基金的基金经理、易方达恒盛3个月定期开放混合型发起式证券投资基金的基金经理、易方达富惠纯债债券型证券投资基金的基金经理、易方达中债7-10年期国开行债券指数证券投资基金的基金经理、易方达中债3-5年期国债指数证券投资基金的基金经理、固定收益研究部总经理、固定收益投资部总经理</w:t>
            </w:r>
          </w:p>
        </w:tc>
        <w:tc>
          <w:tcPr>
            <w:vAlign w:val="center"/>
          </w:tcPr>
          <w:p>
            <w:pPr>
              <w:jc w:val="center"/>
            </w:pPr>
            <w:r>
              <w:rPr>
                <w:color w:val="000000"/>
                <w:sz w:val="24"/>
              </w:rPr>
              <w:t>2013-12-17</w:t>
            </w:r>
          </w:p>
        </w:tc>
        <w:tc>
          <w:tcPr>
            <w:vAlign w:val="center"/>
          </w:tcPr>
          <w:p>
            <w:pPr>
              <w:jc w:val="center"/>
            </w:pPr>
            <w:r>
              <w:rPr>
                <w:color w:val="000000"/>
                <w:sz w:val="24"/>
              </w:rPr>
              <w:t>-</w:t>
            </w:r>
          </w:p>
        </w:tc>
        <w:tc>
          <w:tcPr>
            <w:vAlign w:val="center"/>
          </w:tcPr>
          <w:p>
            <w:pPr>
              <w:jc w:val="center"/>
            </w:pPr>
            <w:r>
              <w:rPr>
                <w:color w:val="000000"/>
                <w:sz w:val="24"/>
              </w:rPr>
              <w:t>14年</w:t>
            </w:r>
          </w:p>
        </w:tc>
        <w:tc>
          <w:tcPr>
            <w:vAlign w:val="center"/>
          </w:tcPr>
          <w:p>
            <w:pPr>
              <w:jc w:val="both"/>
            </w:pPr>
            <w:r>
              <w:rPr>
                <w:color w:val="000000"/>
                <w:sz w:val="24"/>
              </w:rPr>
              <w:t>硕士研究生，具有基金从业资格。曾任易方达基金管理有限公司固定收益部债券研究员、基金经理助理、固定收益研究部负责人、固定收益总部总经理助理、易方达中债新综合债券指数发起式证券投资基金（LOF）基金经理、易方达纯债债券型证券投资基金基金经理、易方达永旭添利定期开放债券型证券投资基金基金经理、易方达纯债1年定期开放债券型证券投资基金基金经理、易方达裕景添利6个月定期开放债券型证券投资基金基金经理、易方达瑞智灵活配置混合型证券投资基金基金经理、易方达瑞兴灵活配置混合型证券投资基金基金经理、易方达瑞祥灵活配置混合型证券投资基金基金经理、易方达高等级信用债债券型证券投资基金基金经理、易方达瑞祺灵活配置混合型证券投资基金基金经理、易方达瑞财灵活配置混合型证券投资基金基金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szCs w:val="24"/>
        </w:rPr>
      </w:pPr>
      <w:r>
        <w:rPr>
          <w:color w:val="000000"/>
          <w:sz w:val="24"/>
          <w:szCs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pPr>
        <w:spacing w:line="360" w:lineRule="auto"/>
        <w:ind w:firstLine="480" w:firstLineChars="200"/>
        <w:rPr>
          <w:color w:val="000000"/>
          <w:sz w:val="24"/>
          <w:szCs w:val="24"/>
        </w:rPr>
      </w:pPr>
      <w:r>
        <w:rPr>
          <w:color w:val="000000"/>
          <w:sz w:val="24"/>
          <w:szCs w:val="24"/>
        </w:rPr>
        <w:t>与债券市场走势相异，在投资者对于经济修复预期提升的背景下，二季度权益市场震荡走高，沪深300指数上涨12.96%。</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操作上，组合债券资产久期及杠杆处于中性偏高水平，以获取持有期收益为主要投资策略。权益部分持仓以盈利基本面较好的价值型股票为主。</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截至报告期末，本基金份额净值为1.632元，本报告期份额净值增长率为0.12%，同期业绩比较基准收益率为1.14%。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231,659,604.74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231,659,604.74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4.38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4,900,074,891.47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92.71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4,900,074,891.47</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92.71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58,820,306.99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94,947,274.92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5,285,502,078.12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969,150.00</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0.03</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115,616,419.93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3.57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5,831,338.00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0.18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6,261,568.18</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16,836,016.73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0.52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370,481.77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55,165,627.93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24,752,463.60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5,856,538.60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0.18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231,659,604.74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7.15</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000401</w:t>
            </w:r>
          </w:p>
        </w:tc>
        <w:tc>
          <w:tcPr>
            <w:vAlign w:val="center"/>
          </w:tcPr>
          <w:p>
            <w:pPr>
              <w:jc w:val="center"/>
            </w:pPr>
            <w:r>
              <w:rPr>
                <w:color w:val="000000"/>
                <w:kern w:val="0"/>
                <w:sz w:val="24"/>
                <w:szCs w:val="24"/>
              </w:rPr>
              <w:t>冀东水泥</w:t>
            </w:r>
          </w:p>
        </w:tc>
        <w:tc>
          <w:tcPr>
            <w:vAlign w:val="center"/>
          </w:tcPr>
          <w:p>
            <w:pPr>
              <w:jc w:val="right"/>
            </w:pPr>
            <w:r>
              <w:rPr>
                <w:color w:val="000000"/>
                <w:kern w:val="0"/>
                <w:sz w:val="24"/>
                <w:szCs w:val="24"/>
              </w:rPr>
              <w:t>1,836,098</w:t>
            </w:r>
          </w:p>
        </w:tc>
        <w:tc>
          <w:tcPr>
            <w:vAlign w:val="center"/>
          </w:tcPr>
          <w:p>
            <w:pPr>
              <w:jc w:val="right"/>
            </w:pPr>
            <w:r>
              <w:rPr>
                <w:color w:val="000000"/>
                <w:kern w:val="0"/>
                <w:sz w:val="24"/>
                <w:szCs w:val="24"/>
              </w:rPr>
              <w:t>29,451,011.92</w:t>
            </w:r>
          </w:p>
        </w:tc>
        <w:tc>
          <w:tcPr>
            <w:vAlign w:val="center"/>
          </w:tcPr>
          <w:p>
            <w:pPr>
              <w:jc w:val="right"/>
            </w:pPr>
            <w:r>
              <w:rPr>
                <w:color w:val="000000"/>
                <w:kern w:val="0"/>
                <w:sz w:val="24"/>
                <w:szCs w:val="24"/>
              </w:rPr>
              <w:t>0.91</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600690</w:t>
            </w:r>
          </w:p>
        </w:tc>
        <w:tc>
          <w:tcPr>
            <w:vAlign w:val="center"/>
          </w:tcPr>
          <w:p>
            <w:pPr>
              <w:jc w:val="center"/>
            </w:pPr>
            <w:r>
              <w:rPr>
                <w:color w:val="000000"/>
                <w:kern w:val="0"/>
                <w:sz w:val="24"/>
                <w:szCs w:val="24"/>
              </w:rPr>
              <w:t>海尔智家</w:t>
            </w:r>
          </w:p>
        </w:tc>
        <w:tc>
          <w:tcPr>
            <w:vAlign w:val="center"/>
          </w:tcPr>
          <w:p>
            <w:pPr>
              <w:jc w:val="right"/>
            </w:pPr>
            <w:r>
              <w:rPr>
                <w:color w:val="000000"/>
                <w:kern w:val="0"/>
                <w:sz w:val="24"/>
                <w:szCs w:val="24"/>
              </w:rPr>
              <w:t>1,353,766</w:t>
            </w:r>
          </w:p>
        </w:tc>
        <w:tc>
          <w:tcPr>
            <w:vAlign w:val="center"/>
          </w:tcPr>
          <w:p>
            <w:pPr>
              <w:jc w:val="right"/>
            </w:pPr>
            <w:r>
              <w:rPr>
                <w:color w:val="000000"/>
                <w:kern w:val="0"/>
                <w:sz w:val="24"/>
                <w:szCs w:val="24"/>
              </w:rPr>
              <w:t>23,961,658.20</w:t>
            </w:r>
          </w:p>
        </w:tc>
        <w:tc>
          <w:tcPr>
            <w:vAlign w:val="center"/>
          </w:tcPr>
          <w:p>
            <w:pPr>
              <w:jc w:val="right"/>
            </w:pPr>
            <w:r>
              <w:rPr>
                <w:color w:val="000000"/>
                <w:kern w:val="0"/>
                <w:sz w:val="24"/>
                <w:szCs w:val="24"/>
              </w:rPr>
              <w:t>0.74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601398</w:t>
            </w:r>
          </w:p>
        </w:tc>
        <w:tc>
          <w:tcPr>
            <w:vAlign w:val="center"/>
          </w:tcPr>
          <w:p>
            <w:pPr>
              <w:jc w:val="center"/>
            </w:pPr>
            <w:r>
              <w:rPr>
                <w:color w:val="000000"/>
                <w:kern w:val="0"/>
                <w:sz w:val="24"/>
                <w:szCs w:val="24"/>
              </w:rPr>
              <w:t>工商银行</w:t>
            </w:r>
          </w:p>
        </w:tc>
        <w:tc>
          <w:tcPr>
            <w:vAlign w:val="center"/>
          </w:tcPr>
          <w:p>
            <w:pPr>
              <w:jc w:val="right"/>
            </w:pPr>
            <w:r>
              <w:rPr>
                <w:color w:val="000000"/>
                <w:kern w:val="0"/>
                <w:sz w:val="24"/>
                <w:szCs w:val="24"/>
              </w:rPr>
              <w:t>3,052,047</w:t>
            </w:r>
          </w:p>
        </w:tc>
        <w:tc>
          <w:tcPr>
            <w:vAlign w:val="center"/>
          </w:tcPr>
          <w:p>
            <w:pPr>
              <w:jc w:val="right"/>
            </w:pPr>
            <w:r>
              <w:rPr>
                <w:color w:val="000000"/>
                <w:kern w:val="0"/>
                <w:sz w:val="24"/>
                <w:szCs w:val="24"/>
              </w:rPr>
              <w:t>15,199,194.06</w:t>
            </w:r>
          </w:p>
        </w:tc>
        <w:tc>
          <w:tcPr>
            <w:vAlign w:val="center"/>
          </w:tcPr>
          <w:p>
            <w:pPr>
              <w:jc w:val="right"/>
            </w:pPr>
            <w:r>
              <w:rPr>
                <w:color w:val="000000"/>
                <w:kern w:val="0"/>
                <w:sz w:val="24"/>
                <w:szCs w:val="24"/>
              </w:rPr>
              <w:t>0.47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601012</w:t>
            </w:r>
          </w:p>
        </w:tc>
        <w:tc>
          <w:tcPr>
            <w:vAlign w:val="center"/>
          </w:tcPr>
          <w:p>
            <w:pPr>
              <w:jc w:val="center"/>
            </w:pPr>
            <w:r>
              <w:rPr>
                <w:color w:val="000000"/>
                <w:kern w:val="0"/>
                <w:sz w:val="24"/>
                <w:szCs w:val="24"/>
              </w:rPr>
              <w:t>隆基股份</w:t>
            </w:r>
          </w:p>
        </w:tc>
        <w:tc>
          <w:tcPr>
            <w:vAlign w:val="center"/>
          </w:tcPr>
          <w:p>
            <w:pPr>
              <w:jc w:val="right"/>
            </w:pPr>
            <w:r>
              <w:rPr>
                <w:color w:val="000000"/>
                <w:kern w:val="0"/>
                <w:sz w:val="24"/>
                <w:szCs w:val="24"/>
              </w:rPr>
              <w:t>319,633</w:t>
            </w:r>
          </w:p>
        </w:tc>
        <w:tc>
          <w:tcPr>
            <w:vAlign w:val="center"/>
          </w:tcPr>
          <w:p>
            <w:pPr>
              <w:jc w:val="right"/>
            </w:pPr>
            <w:r>
              <w:rPr>
                <w:color w:val="000000"/>
                <w:kern w:val="0"/>
                <w:sz w:val="24"/>
                <w:szCs w:val="24"/>
              </w:rPr>
              <w:t>13,018,652.09</w:t>
            </w:r>
          </w:p>
        </w:tc>
        <w:tc>
          <w:tcPr>
            <w:vAlign w:val="center"/>
          </w:tcPr>
          <w:p>
            <w:pPr>
              <w:jc w:val="right"/>
            </w:pPr>
            <w:r>
              <w:rPr>
                <w:color w:val="000000"/>
                <w:kern w:val="0"/>
                <w:sz w:val="24"/>
                <w:szCs w:val="24"/>
              </w:rPr>
              <w:t>0.40</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000001</w:t>
            </w:r>
          </w:p>
        </w:tc>
        <w:tc>
          <w:tcPr>
            <w:vAlign w:val="center"/>
          </w:tcPr>
          <w:p>
            <w:pPr>
              <w:jc w:val="center"/>
            </w:pPr>
            <w:r>
              <w:rPr>
                <w:color w:val="000000"/>
                <w:kern w:val="0"/>
                <w:sz w:val="24"/>
                <w:szCs w:val="24"/>
              </w:rPr>
              <w:t>平安银行</w:t>
            </w:r>
          </w:p>
        </w:tc>
        <w:tc>
          <w:tcPr>
            <w:vAlign w:val="center"/>
          </w:tcPr>
          <w:p>
            <w:pPr>
              <w:jc w:val="right"/>
            </w:pPr>
            <w:r>
              <w:rPr>
                <w:color w:val="000000"/>
                <w:kern w:val="0"/>
                <w:sz w:val="24"/>
                <w:szCs w:val="24"/>
              </w:rPr>
              <w:t>946,538</w:t>
            </w:r>
          </w:p>
        </w:tc>
        <w:tc>
          <w:tcPr>
            <w:vAlign w:val="center"/>
          </w:tcPr>
          <w:p>
            <w:pPr>
              <w:jc w:val="right"/>
            </w:pPr>
            <w:r>
              <w:rPr>
                <w:color w:val="000000"/>
                <w:kern w:val="0"/>
                <w:sz w:val="24"/>
                <w:szCs w:val="24"/>
              </w:rPr>
              <w:t>12,115,686.40</w:t>
            </w:r>
          </w:p>
        </w:tc>
        <w:tc>
          <w:tcPr>
            <w:vAlign w:val="center"/>
          </w:tcPr>
          <w:p>
            <w:pPr>
              <w:jc w:val="right"/>
            </w:pPr>
            <w:r>
              <w:rPr>
                <w:color w:val="000000"/>
                <w:kern w:val="0"/>
                <w:sz w:val="24"/>
                <w:szCs w:val="24"/>
              </w:rPr>
              <w:t>0.37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002415</w:t>
            </w:r>
          </w:p>
        </w:tc>
        <w:tc>
          <w:tcPr>
            <w:vAlign w:val="center"/>
          </w:tcPr>
          <w:p>
            <w:pPr>
              <w:jc w:val="center"/>
            </w:pPr>
            <w:r>
              <w:rPr>
                <w:color w:val="000000"/>
                <w:kern w:val="0"/>
                <w:sz w:val="24"/>
                <w:szCs w:val="24"/>
              </w:rPr>
              <w:t>海康威视</w:t>
            </w:r>
          </w:p>
        </w:tc>
        <w:tc>
          <w:tcPr>
            <w:vAlign w:val="center"/>
          </w:tcPr>
          <w:p>
            <w:pPr>
              <w:jc w:val="right"/>
            </w:pPr>
            <w:r>
              <w:rPr>
                <w:color w:val="000000"/>
                <w:kern w:val="0"/>
                <w:sz w:val="24"/>
                <w:szCs w:val="24"/>
              </w:rPr>
              <w:t>389,700</w:t>
            </w:r>
          </w:p>
        </w:tc>
        <w:tc>
          <w:tcPr>
            <w:vAlign w:val="center"/>
          </w:tcPr>
          <w:p>
            <w:pPr>
              <w:jc w:val="right"/>
            </w:pPr>
            <w:r>
              <w:rPr>
                <w:color w:val="000000"/>
                <w:kern w:val="0"/>
                <w:sz w:val="24"/>
                <w:szCs w:val="24"/>
              </w:rPr>
              <w:t>11,827,395.00</w:t>
            </w:r>
          </w:p>
        </w:tc>
        <w:tc>
          <w:tcPr>
            <w:vAlign w:val="center"/>
          </w:tcPr>
          <w:p>
            <w:pPr>
              <w:jc w:val="right"/>
            </w:pPr>
            <w:r>
              <w:rPr>
                <w:color w:val="000000"/>
                <w:kern w:val="0"/>
                <w:sz w:val="24"/>
                <w:szCs w:val="24"/>
              </w:rPr>
              <w:t>0.37</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000402</w:t>
            </w:r>
          </w:p>
        </w:tc>
        <w:tc>
          <w:tcPr>
            <w:vAlign w:val="center"/>
          </w:tcPr>
          <w:p>
            <w:pPr>
              <w:jc w:val="center"/>
            </w:pPr>
            <w:r>
              <w:rPr>
                <w:color w:val="000000"/>
                <w:kern w:val="0"/>
                <w:sz w:val="24"/>
                <w:szCs w:val="24"/>
              </w:rPr>
              <w:t>金融街</w:t>
            </w:r>
          </w:p>
        </w:tc>
        <w:tc>
          <w:tcPr>
            <w:vAlign w:val="center"/>
          </w:tcPr>
          <w:p>
            <w:pPr>
              <w:jc w:val="right"/>
            </w:pPr>
            <w:r>
              <w:rPr>
                <w:color w:val="000000"/>
                <w:kern w:val="0"/>
                <w:sz w:val="24"/>
                <w:szCs w:val="24"/>
              </w:rPr>
              <w:t>1,739,140</w:t>
            </w:r>
          </w:p>
        </w:tc>
        <w:tc>
          <w:tcPr>
            <w:vAlign w:val="center"/>
          </w:tcPr>
          <w:p>
            <w:pPr>
              <w:jc w:val="right"/>
            </w:pPr>
            <w:r>
              <w:rPr>
                <w:color w:val="000000"/>
                <w:kern w:val="0"/>
                <w:sz w:val="24"/>
                <w:szCs w:val="24"/>
              </w:rPr>
              <w:t>11,547,889.60</w:t>
            </w:r>
          </w:p>
        </w:tc>
        <w:tc>
          <w:tcPr>
            <w:vAlign w:val="center"/>
          </w:tcPr>
          <w:p>
            <w:pPr>
              <w:jc w:val="right"/>
            </w:pPr>
            <w:r>
              <w:rPr>
                <w:color w:val="000000"/>
                <w:kern w:val="0"/>
                <w:sz w:val="24"/>
                <w:szCs w:val="24"/>
              </w:rPr>
              <w:t>0.36</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159,490</w:t>
            </w:r>
          </w:p>
        </w:tc>
        <w:tc>
          <w:tcPr>
            <w:vAlign w:val="center"/>
          </w:tcPr>
          <w:p>
            <w:pPr>
              <w:jc w:val="right"/>
            </w:pPr>
            <w:r>
              <w:rPr>
                <w:color w:val="000000"/>
                <w:kern w:val="0"/>
                <w:sz w:val="24"/>
                <w:szCs w:val="24"/>
              </w:rPr>
              <w:t>11,387,586.00</w:t>
            </w:r>
          </w:p>
        </w:tc>
        <w:tc>
          <w:tcPr>
            <w:vAlign w:val="center"/>
          </w:tcPr>
          <w:p>
            <w:pPr>
              <w:jc w:val="right"/>
            </w:pPr>
            <w:r>
              <w:rPr>
                <w:color w:val="000000"/>
                <w:kern w:val="0"/>
                <w:sz w:val="24"/>
                <w:szCs w:val="24"/>
              </w:rPr>
              <w:t>0.35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601636</w:t>
            </w:r>
          </w:p>
        </w:tc>
        <w:tc>
          <w:tcPr>
            <w:vAlign w:val="center"/>
          </w:tcPr>
          <w:p>
            <w:pPr>
              <w:jc w:val="center"/>
            </w:pPr>
            <w:r>
              <w:rPr>
                <w:color w:val="000000"/>
                <w:kern w:val="0"/>
                <w:sz w:val="24"/>
                <w:szCs w:val="24"/>
              </w:rPr>
              <w:t>旗滨集团</w:t>
            </w:r>
          </w:p>
        </w:tc>
        <w:tc>
          <w:tcPr>
            <w:vAlign w:val="center"/>
          </w:tcPr>
          <w:p>
            <w:pPr>
              <w:jc w:val="right"/>
            </w:pPr>
            <w:r>
              <w:rPr>
                <w:color w:val="000000"/>
                <w:kern w:val="0"/>
                <w:sz w:val="24"/>
                <w:szCs w:val="24"/>
              </w:rPr>
              <w:t>1,505,288</w:t>
            </w:r>
          </w:p>
        </w:tc>
        <w:tc>
          <w:tcPr>
            <w:vAlign w:val="center"/>
          </w:tcPr>
          <w:p>
            <w:pPr>
              <w:jc w:val="right"/>
            </w:pPr>
            <w:r>
              <w:rPr>
                <w:color w:val="000000"/>
                <w:kern w:val="0"/>
                <w:sz w:val="24"/>
                <w:szCs w:val="24"/>
              </w:rPr>
              <w:t>8,911,304.96</w:t>
            </w:r>
          </w:p>
        </w:tc>
        <w:tc>
          <w:tcPr>
            <w:vAlign w:val="center"/>
          </w:tcPr>
          <w:p>
            <w:pPr>
              <w:jc w:val="right"/>
            </w:pPr>
            <w:r>
              <w:rPr>
                <w:color w:val="000000"/>
                <w:kern w:val="0"/>
                <w:sz w:val="24"/>
                <w:szCs w:val="24"/>
              </w:rPr>
              <w:t>0.28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601872</w:t>
            </w:r>
          </w:p>
        </w:tc>
        <w:tc>
          <w:tcPr>
            <w:vAlign w:val="center"/>
          </w:tcPr>
          <w:p>
            <w:pPr>
              <w:jc w:val="center"/>
            </w:pPr>
            <w:r>
              <w:rPr>
                <w:color w:val="000000"/>
                <w:kern w:val="0"/>
                <w:sz w:val="24"/>
                <w:szCs w:val="24"/>
              </w:rPr>
              <w:t>招商轮船</w:t>
            </w:r>
          </w:p>
        </w:tc>
        <w:tc>
          <w:tcPr>
            <w:vAlign w:val="center"/>
          </w:tcPr>
          <w:p>
            <w:pPr>
              <w:jc w:val="right"/>
            </w:pPr>
            <w:r>
              <w:rPr>
                <w:color w:val="000000"/>
                <w:kern w:val="0"/>
                <w:sz w:val="24"/>
                <w:szCs w:val="24"/>
              </w:rPr>
              <w:t>1,541,202</w:t>
            </w:r>
          </w:p>
        </w:tc>
        <w:tc>
          <w:tcPr>
            <w:vAlign w:val="center"/>
          </w:tcPr>
          <w:p>
            <w:pPr>
              <w:jc w:val="right"/>
            </w:pPr>
            <w:r>
              <w:rPr>
                <w:color w:val="000000"/>
                <w:kern w:val="0"/>
                <w:sz w:val="24"/>
                <w:szCs w:val="24"/>
              </w:rPr>
              <w:t>8,263,193.37</w:t>
            </w:r>
          </w:p>
        </w:tc>
        <w:tc>
          <w:tcPr>
            <w:vAlign w:val="center"/>
          </w:tcPr>
          <w:p>
            <w:pPr>
              <w:jc w:val="right"/>
            </w:pPr>
            <w:r>
              <w:rPr>
                <w:color w:val="000000"/>
                <w:kern w:val="0"/>
                <w:sz w:val="24"/>
                <w:szCs w:val="24"/>
              </w:rPr>
              <w:t>0.26</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9,698,000.00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0.30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19,928,668.00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0.62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19,886,000.00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0.61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2,471,221,217.05</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76.28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80,287,000.00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2.48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2,134,253,500.00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65.88</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135,941,506.42</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4.20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48,745,000.00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1.50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4,900,074,891.47</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151.26</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122444</w:t>
            </w:r>
          </w:p>
        </w:tc>
        <w:tc>
          <w:tcPr>
            <w:vAlign w:val="center"/>
          </w:tcPr>
          <w:p>
            <w:pPr>
              <w:jc w:val="center"/>
            </w:pPr>
            <w:r>
              <w:rPr>
                <w:color w:val="000000"/>
                <w:kern w:val="0"/>
                <w:sz w:val="24"/>
                <w:szCs w:val="24"/>
              </w:rPr>
              <w:t>15冠城债</w:t>
            </w:r>
          </w:p>
        </w:tc>
        <w:tc>
          <w:tcPr>
            <w:vAlign w:val="center"/>
          </w:tcPr>
          <w:p>
            <w:pPr>
              <w:jc w:val="right"/>
            </w:pPr>
            <w:r>
              <w:rPr>
                <w:color w:val="000000"/>
                <w:kern w:val="0"/>
                <w:sz w:val="24"/>
                <w:szCs w:val="24"/>
              </w:rPr>
              <w:t>800,000</w:t>
            </w:r>
          </w:p>
        </w:tc>
        <w:tc>
          <w:tcPr>
            <w:vAlign w:val="center"/>
          </w:tcPr>
          <w:p>
            <w:pPr>
              <w:jc w:val="right"/>
            </w:pPr>
            <w:r>
              <w:rPr>
                <w:color w:val="000000"/>
                <w:kern w:val="0"/>
                <w:sz w:val="24"/>
                <w:szCs w:val="24"/>
              </w:rPr>
              <w:t>80,240,000.00</w:t>
            </w:r>
          </w:p>
        </w:tc>
        <w:tc>
          <w:tcPr>
            <w:vAlign w:val="center"/>
          </w:tcPr>
          <w:p>
            <w:pPr>
              <w:jc w:val="right"/>
            </w:pPr>
            <w:r>
              <w:rPr>
                <w:color w:val="000000"/>
                <w:kern w:val="0"/>
                <w:sz w:val="24"/>
                <w:szCs w:val="24"/>
              </w:rPr>
              <w:t>2.48</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143366</w:t>
            </w:r>
          </w:p>
        </w:tc>
        <w:tc>
          <w:tcPr>
            <w:vAlign w:val="center"/>
          </w:tcPr>
          <w:p>
            <w:pPr>
              <w:jc w:val="center"/>
            </w:pPr>
            <w:r>
              <w:rPr>
                <w:color w:val="000000"/>
                <w:kern w:val="0"/>
                <w:sz w:val="24"/>
                <w:szCs w:val="24"/>
              </w:rPr>
              <w:t>17环能01</w:t>
            </w:r>
          </w:p>
        </w:tc>
        <w:tc>
          <w:tcPr>
            <w:vAlign w:val="center"/>
          </w:tcPr>
          <w:p>
            <w:pPr>
              <w:jc w:val="right"/>
            </w:pPr>
            <w:r>
              <w:rPr>
                <w:color w:val="000000"/>
                <w:kern w:val="0"/>
                <w:sz w:val="24"/>
                <w:szCs w:val="24"/>
              </w:rPr>
              <w:t>700,000</w:t>
            </w:r>
          </w:p>
        </w:tc>
        <w:tc>
          <w:tcPr>
            <w:vAlign w:val="center"/>
          </w:tcPr>
          <w:p>
            <w:pPr>
              <w:jc w:val="right"/>
            </w:pPr>
            <w:r>
              <w:rPr>
                <w:color w:val="000000"/>
                <w:kern w:val="0"/>
                <w:sz w:val="24"/>
                <w:szCs w:val="24"/>
              </w:rPr>
              <w:t>72,863,000.00</w:t>
            </w:r>
          </w:p>
        </w:tc>
        <w:tc>
          <w:tcPr>
            <w:vAlign w:val="center"/>
          </w:tcPr>
          <w:p>
            <w:pPr>
              <w:jc w:val="right"/>
            </w:pPr>
            <w:r>
              <w:rPr>
                <w:color w:val="000000"/>
                <w:kern w:val="0"/>
                <w:sz w:val="24"/>
                <w:szCs w:val="24"/>
              </w:rPr>
              <w:t>2.25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102000283</w:t>
            </w:r>
          </w:p>
        </w:tc>
        <w:tc>
          <w:tcPr>
            <w:vAlign w:val="center"/>
          </w:tcPr>
          <w:p>
            <w:pPr>
              <w:jc w:val="center"/>
            </w:pPr>
            <w:r>
              <w:rPr>
                <w:color w:val="000000"/>
                <w:kern w:val="0"/>
                <w:sz w:val="24"/>
                <w:szCs w:val="24"/>
              </w:rPr>
              <w:t>20中建材集(疫情防控债)MTN001</w:t>
            </w:r>
          </w:p>
        </w:tc>
        <w:tc>
          <w:tcPr>
            <w:vAlign w:val="center"/>
          </w:tcPr>
          <w:p>
            <w:pPr>
              <w:jc w:val="right"/>
            </w:pPr>
            <w:r>
              <w:rPr>
                <w:color w:val="000000"/>
                <w:kern w:val="0"/>
                <w:sz w:val="24"/>
                <w:szCs w:val="24"/>
              </w:rPr>
              <w:t>650,000</w:t>
            </w:r>
          </w:p>
        </w:tc>
        <w:tc>
          <w:tcPr>
            <w:vAlign w:val="center"/>
          </w:tcPr>
          <w:p>
            <w:pPr>
              <w:jc w:val="right"/>
            </w:pPr>
            <w:r>
              <w:rPr>
                <w:color w:val="000000"/>
                <w:kern w:val="0"/>
                <w:sz w:val="24"/>
                <w:szCs w:val="24"/>
              </w:rPr>
              <w:t>63,862,500.00</w:t>
            </w:r>
          </w:p>
        </w:tc>
        <w:tc>
          <w:tcPr>
            <w:vAlign w:val="center"/>
          </w:tcPr>
          <w:p>
            <w:pPr>
              <w:jc w:val="right"/>
            </w:pPr>
            <w:r>
              <w:rPr>
                <w:color w:val="000000"/>
                <w:kern w:val="0"/>
                <w:sz w:val="24"/>
                <w:szCs w:val="24"/>
              </w:rPr>
              <w:t>1.97</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101900002</w:t>
            </w:r>
          </w:p>
        </w:tc>
        <w:tc>
          <w:tcPr>
            <w:vAlign w:val="center"/>
          </w:tcPr>
          <w:p>
            <w:pPr>
              <w:jc w:val="center"/>
            </w:pPr>
            <w:r>
              <w:rPr>
                <w:color w:val="000000"/>
                <w:kern w:val="0"/>
                <w:sz w:val="24"/>
                <w:szCs w:val="24"/>
              </w:rPr>
              <w:t>19建发地产MTN001</w:t>
            </w:r>
          </w:p>
        </w:tc>
        <w:tc>
          <w:tcPr>
            <w:vAlign w:val="center"/>
          </w:tcPr>
          <w:p>
            <w:pPr>
              <w:jc w:val="right"/>
            </w:pPr>
            <w:r>
              <w:rPr>
                <w:color w:val="000000"/>
                <w:kern w:val="0"/>
                <w:sz w:val="24"/>
                <w:szCs w:val="24"/>
              </w:rPr>
              <w:t>600,000</w:t>
            </w:r>
          </w:p>
        </w:tc>
        <w:tc>
          <w:tcPr>
            <w:vAlign w:val="center"/>
          </w:tcPr>
          <w:p>
            <w:pPr>
              <w:jc w:val="right"/>
            </w:pPr>
            <w:r>
              <w:rPr>
                <w:color w:val="000000"/>
                <w:kern w:val="0"/>
                <w:sz w:val="24"/>
                <w:szCs w:val="24"/>
              </w:rPr>
              <w:t>61,356,000.00</w:t>
            </w:r>
          </w:p>
        </w:tc>
        <w:tc>
          <w:tcPr>
            <w:vAlign w:val="center"/>
          </w:tcPr>
          <w:p>
            <w:pPr>
              <w:jc w:val="right"/>
            </w:pPr>
            <w:r>
              <w:rPr>
                <w:color w:val="000000"/>
                <w:kern w:val="0"/>
                <w:sz w:val="24"/>
                <w:szCs w:val="24"/>
              </w:rPr>
              <w:t>1.89</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152442</w:t>
            </w:r>
          </w:p>
        </w:tc>
        <w:tc>
          <w:tcPr>
            <w:vAlign w:val="center"/>
          </w:tcPr>
          <w:p>
            <w:pPr>
              <w:jc w:val="center"/>
            </w:pPr>
            <w:r>
              <w:rPr>
                <w:color w:val="000000"/>
                <w:kern w:val="0"/>
                <w:sz w:val="24"/>
                <w:szCs w:val="24"/>
              </w:rPr>
              <w:t>20桂北01</w:t>
            </w:r>
          </w:p>
        </w:tc>
        <w:tc>
          <w:tcPr>
            <w:vAlign w:val="center"/>
          </w:tcPr>
          <w:p>
            <w:pPr>
              <w:jc w:val="right"/>
            </w:pPr>
            <w:r>
              <w:rPr>
                <w:color w:val="000000"/>
                <w:kern w:val="0"/>
                <w:sz w:val="24"/>
                <w:szCs w:val="24"/>
              </w:rPr>
              <w:t>600,000</w:t>
            </w:r>
          </w:p>
        </w:tc>
        <w:tc>
          <w:tcPr>
            <w:vAlign w:val="center"/>
          </w:tcPr>
          <w:p>
            <w:pPr>
              <w:jc w:val="right"/>
            </w:pPr>
            <w:r>
              <w:rPr>
                <w:color w:val="000000"/>
                <w:kern w:val="0"/>
                <w:sz w:val="24"/>
                <w:szCs w:val="24"/>
              </w:rPr>
              <w:t>59,640,000.00</w:t>
            </w:r>
          </w:p>
        </w:tc>
        <w:tc>
          <w:tcPr>
            <w:vAlign w:val="center"/>
          </w:tcPr>
          <w:p>
            <w:pPr>
              <w:jc w:val="right"/>
            </w:pPr>
            <w:r>
              <w:rPr>
                <w:color w:val="000000"/>
                <w:kern w:val="0"/>
                <w:sz w:val="24"/>
                <w:szCs w:val="24"/>
              </w:rPr>
              <w:t>1.84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11月15日，广西省钦州市自然资源局对广西北部湾投资集团有限公司“未经依法批准，擅自于2017年起在钦州市钦南区、钦北区动工扩建兰州至海口高速公路南宁经钦州至防城港段工程，现已建好高速公路的路面，实际使用土地面积1186410平方米（合1779.633亩）”的行为作出行政处罚决定：1．责令退还非法占用的1186410平方米（合1779.633亩）土地；2．对非法占用1186410平方米（合1779.633亩）土地的行为处以10元/平方米的罚款，计人民币壹仟壹佰捌拾陆万肆仟壹佰元整（￥11864100.00元）。</w:t>
      </w:r>
    </w:p>
    <w:p>
      <w:pPr>
        <w:spacing w:line="360" w:lineRule="auto"/>
        <w:rPr>
          <w:rFonts w:ascii="宋体" w:hAnsi="宋体"/>
          <w:color w:val="000000"/>
          <w:sz w:val="24"/>
          <w:szCs w:val="24"/>
        </w:rPr>
      </w:pPr>
      <w:r>
        <w:rPr>
          <w:rFonts w:ascii="宋体" w:hAnsi="宋体"/>
          <w:color w:val="000000"/>
          <w:sz w:val="24"/>
          <w:szCs w:val="24"/>
        </w:rPr>
        <w:t>本基金投资20桂北01的投资决策程序符合公司投资制度的规定。</w:t>
      </w:r>
    </w:p>
    <w:p>
      <w:pPr>
        <w:spacing w:line="360" w:lineRule="auto"/>
        <w:rPr>
          <w:rFonts w:ascii="宋体" w:hAnsi="宋体"/>
          <w:color w:val="000000"/>
          <w:sz w:val="24"/>
          <w:szCs w:val="24"/>
        </w:rPr>
      </w:pPr>
      <w:r>
        <w:rPr>
          <w:rFonts w:ascii="宋体" w:hAnsi="宋体"/>
          <w:color w:val="000000"/>
          <w:sz w:val="24"/>
          <w:szCs w:val="24"/>
        </w:rPr>
        <w:t>除20桂北01外，本基金投资的前十名证券的发行主体本期没有出现被监管部门立案调查，或在报告编制日前一年内受到公开谴责、处罚的情形。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232,944.51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3,156,547.83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91,557,782.58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94,947,274.92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132014</w:t>
            </w:r>
          </w:p>
        </w:tc>
        <w:tc>
          <w:tcPr>
            <w:vAlign w:val="center"/>
          </w:tcPr>
          <w:p>
            <w:pPr>
              <w:jc w:val="center"/>
            </w:pPr>
            <w:r>
              <w:rPr>
                <w:color w:val="000000"/>
                <w:kern w:val="0"/>
                <w:sz w:val="24"/>
                <w:szCs w:val="24"/>
              </w:rPr>
              <w:t>18中化EB</w:t>
            </w:r>
          </w:p>
        </w:tc>
        <w:tc>
          <w:tcPr>
            <w:vAlign w:val="center"/>
          </w:tcPr>
          <w:p>
            <w:pPr>
              <w:jc w:val="right"/>
            </w:pPr>
            <w:r>
              <w:rPr>
                <w:color w:val="000000"/>
                <w:kern w:val="0"/>
                <w:sz w:val="24"/>
                <w:szCs w:val="24"/>
              </w:rPr>
              <w:t>18,611,076.00</w:t>
            </w:r>
          </w:p>
        </w:tc>
        <w:tc>
          <w:tcPr>
            <w:vAlign w:val="center"/>
          </w:tcPr>
          <w:p>
            <w:pPr>
              <w:jc w:val="right"/>
            </w:pPr>
            <w:r>
              <w:rPr>
                <w:color w:val="000000"/>
                <w:kern w:val="0"/>
                <w:sz w:val="24"/>
                <w:szCs w:val="24"/>
              </w:rPr>
              <w:t>0.57</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113011</w:t>
            </w:r>
          </w:p>
        </w:tc>
        <w:tc>
          <w:tcPr>
            <w:vAlign w:val="center"/>
          </w:tcPr>
          <w:p>
            <w:pPr>
              <w:jc w:val="center"/>
            </w:pPr>
            <w:r>
              <w:rPr>
                <w:color w:val="000000"/>
                <w:kern w:val="0"/>
                <w:sz w:val="24"/>
                <w:szCs w:val="24"/>
              </w:rPr>
              <w:t>光大转债</w:t>
            </w:r>
          </w:p>
        </w:tc>
        <w:tc>
          <w:tcPr>
            <w:vAlign w:val="center"/>
          </w:tcPr>
          <w:p>
            <w:pPr>
              <w:jc w:val="right"/>
            </w:pPr>
            <w:r>
              <w:rPr>
                <w:color w:val="000000"/>
                <w:kern w:val="0"/>
                <w:sz w:val="24"/>
                <w:szCs w:val="24"/>
              </w:rPr>
              <w:t>16,750,851.60</w:t>
            </w:r>
          </w:p>
        </w:tc>
        <w:tc>
          <w:tcPr>
            <w:vAlign w:val="center"/>
          </w:tcPr>
          <w:p>
            <w:pPr>
              <w:jc w:val="right"/>
            </w:pPr>
            <w:r>
              <w:rPr>
                <w:color w:val="000000"/>
                <w:kern w:val="0"/>
                <w:sz w:val="24"/>
                <w:szCs w:val="24"/>
              </w:rPr>
              <w:t>0.52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110053</w:t>
            </w:r>
          </w:p>
        </w:tc>
        <w:tc>
          <w:tcPr>
            <w:vAlign w:val="center"/>
          </w:tcPr>
          <w:p>
            <w:pPr>
              <w:jc w:val="center"/>
            </w:pPr>
            <w:r>
              <w:rPr>
                <w:color w:val="000000"/>
                <w:kern w:val="0"/>
                <w:sz w:val="24"/>
                <w:szCs w:val="24"/>
              </w:rPr>
              <w:t>苏银转债</w:t>
            </w:r>
          </w:p>
        </w:tc>
        <w:tc>
          <w:tcPr>
            <w:vAlign w:val="center"/>
          </w:tcPr>
          <w:p>
            <w:pPr>
              <w:jc w:val="right"/>
            </w:pPr>
            <w:r>
              <w:rPr>
                <w:color w:val="000000"/>
                <w:kern w:val="0"/>
                <w:sz w:val="24"/>
                <w:szCs w:val="24"/>
              </w:rPr>
              <w:t>13,948,604.80</w:t>
            </w:r>
          </w:p>
        </w:tc>
        <w:tc>
          <w:tcPr>
            <w:vAlign w:val="center"/>
          </w:tcPr>
          <w:p>
            <w:pPr>
              <w:jc w:val="right"/>
            </w:pPr>
            <w:r>
              <w:rPr>
                <w:color w:val="000000"/>
                <w:kern w:val="0"/>
                <w:sz w:val="24"/>
                <w:szCs w:val="24"/>
              </w:rPr>
              <w:t>0.43</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110059</w:t>
            </w:r>
          </w:p>
        </w:tc>
        <w:tc>
          <w:tcPr>
            <w:vAlign w:val="center"/>
          </w:tcPr>
          <w:p>
            <w:pPr>
              <w:jc w:val="center"/>
            </w:pPr>
            <w:r>
              <w:rPr>
                <w:color w:val="000000"/>
                <w:kern w:val="0"/>
                <w:sz w:val="24"/>
                <w:szCs w:val="24"/>
              </w:rPr>
              <w:t>浦发转债</w:t>
            </w:r>
          </w:p>
        </w:tc>
        <w:tc>
          <w:tcPr>
            <w:vAlign w:val="center"/>
          </w:tcPr>
          <w:p>
            <w:pPr>
              <w:jc w:val="right"/>
            </w:pPr>
            <w:r>
              <w:rPr>
                <w:color w:val="000000"/>
                <w:kern w:val="0"/>
                <w:sz w:val="24"/>
                <w:szCs w:val="24"/>
              </w:rPr>
              <w:t>10,355,089.50</w:t>
            </w:r>
          </w:p>
        </w:tc>
        <w:tc>
          <w:tcPr>
            <w:vAlign w:val="center"/>
          </w:tcPr>
          <w:p>
            <w:pPr>
              <w:jc w:val="right"/>
            </w:pPr>
            <w:r>
              <w:rPr>
                <w:color w:val="000000"/>
                <w:kern w:val="0"/>
                <w:sz w:val="24"/>
                <w:szCs w:val="24"/>
              </w:rPr>
              <w:t>0.32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113026</w:t>
            </w:r>
          </w:p>
        </w:tc>
        <w:tc>
          <w:tcPr>
            <w:vAlign w:val="center"/>
          </w:tcPr>
          <w:p>
            <w:pPr>
              <w:jc w:val="center"/>
            </w:pPr>
            <w:r>
              <w:rPr>
                <w:color w:val="000000"/>
                <w:kern w:val="0"/>
                <w:sz w:val="24"/>
                <w:szCs w:val="24"/>
              </w:rPr>
              <w:t>核能转债</w:t>
            </w:r>
          </w:p>
        </w:tc>
        <w:tc>
          <w:tcPr>
            <w:vAlign w:val="center"/>
          </w:tcPr>
          <w:p>
            <w:pPr>
              <w:jc w:val="right"/>
            </w:pPr>
            <w:r>
              <w:rPr>
                <w:color w:val="000000"/>
                <w:kern w:val="0"/>
                <w:sz w:val="24"/>
                <w:szCs w:val="24"/>
              </w:rPr>
              <w:t>10,303,814.00</w:t>
            </w:r>
          </w:p>
        </w:tc>
        <w:tc>
          <w:tcPr>
            <w:vAlign w:val="center"/>
          </w:tcPr>
          <w:p>
            <w:pPr>
              <w:jc w:val="right"/>
            </w:pPr>
            <w:r>
              <w:rPr>
                <w:color w:val="000000"/>
                <w:kern w:val="0"/>
                <w:sz w:val="24"/>
                <w:szCs w:val="24"/>
              </w:rPr>
              <w:t>0.32</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110045</w:t>
            </w:r>
          </w:p>
        </w:tc>
        <w:tc>
          <w:tcPr>
            <w:vAlign w:val="center"/>
          </w:tcPr>
          <w:p>
            <w:pPr>
              <w:jc w:val="center"/>
            </w:pPr>
            <w:r>
              <w:rPr>
                <w:color w:val="000000"/>
                <w:kern w:val="0"/>
                <w:sz w:val="24"/>
                <w:szCs w:val="24"/>
              </w:rPr>
              <w:t>海澜转债</w:t>
            </w:r>
          </w:p>
        </w:tc>
        <w:tc>
          <w:tcPr>
            <w:vAlign w:val="center"/>
          </w:tcPr>
          <w:p>
            <w:pPr>
              <w:jc w:val="right"/>
            </w:pPr>
            <w:r>
              <w:rPr>
                <w:color w:val="000000"/>
                <w:kern w:val="0"/>
                <w:sz w:val="24"/>
                <w:szCs w:val="24"/>
              </w:rPr>
              <w:t>9,961,442.00</w:t>
            </w:r>
          </w:p>
        </w:tc>
        <w:tc>
          <w:tcPr>
            <w:vAlign w:val="center"/>
          </w:tcPr>
          <w:p>
            <w:pPr>
              <w:jc w:val="right"/>
            </w:pPr>
            <w:r>
              <w:rPr>
                <w:color w:val="000000"/>
                <w:kern w:val="0"/>
                <w:sz w:val="24"/>
                <w:szCs w:val="24"/>
              </w:rPr>
              <w:t>0.31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128032</w:t>
            </w:r>
          </w:p>
        </w:tc>
        <w:tc>
          <w:tcPr>
            <w:vAlign w:val="center"/>
          </w:tcPr>
          <w:p>
            <w:pPr>
              <w:jc w:val="center"/>
            </w:pPr>
            <w:r>
              <w:rPr>
                <w:color w:val="000000"/>
                <w:kern w:val="0"/>
                <w:sz w:val="24"/>
                <w:szCs w:val="24"/>
              </w:rPr>
              <w:t>双环转债</w:t>
            </w:r>
          </w:p>
        </w:tc>
        <w:tc>
          <w:tcPr>
            <w:vAlign w:val="center"/>
          </w:tcPr>
          <w:p>
            <w:pPr>
              <w:jc w:val="right"/>
            </w:pPr>
            <w:r>
              <w:rPr>
                <w:color w:val="000000"/>
                <w:kern w:val="0"/>
                <w:sz w:val="24"/>
                <w:szCs w:val="24"/>
              </w:rPr>
              <w:t>8,678,600.07</w:t>
            </w:r>
          </w:p>
        </w:tc>
        <w:tc>
          <w:tcPr>
            <w:vAlign w:val="center"/>
          </w:tcPr>
          <w:p>
            <w:pPr>
              <w:jc w:val="right"/>
            </w:pPr>
            <w:r>
              <w:rPr>
                <w:color w:val="000000"/>
                <w:kern w:val="0"/>
                <w:sz w:val="24"/>
                <w:szCs w:val="24"/>
              </w:rPr>
              <w:t>0.27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128019</w:t>
            </w:r>
          </w:p>
        </w:tc>
        <w:tc>
          <w:tcPr>
            <w:vAlign w:val="center"/>
          </w:tcPr>
          <w:p>
            <w:pPr>
              <w:jc w:val="center"/>
            </w:pPr>
            <w:r>
              <w:rPr>
                <w:color w:val="000000"/>
                <w:kern w:val="0"/>
                <w:sz w:val="24"/>
                <w:szCs w:val="24"/>
              </w:rPr>
              <w:t>久立转2</w:t>
            </w:r>
          </w:p>
        </w:tc>
        <w:tc>
          <w:tcPr>
            <w:vAlign w:val="center"/>
          </w:tcPr>
          <w:p>
            <w:pPr>
              <w:jc w:val="right"/>
            </w:pPr>
            <w:r>
              <w:rPr>
                <w:color w:val="000000"/>
                <w:kern w:val="0"/>
                <w:sz w:val="24"/>
                <w:szCs w:val="24"/>
              </w:rPr>
              <w:t>8,168,773.05</w:t>
            </w:r>
          </w:p>
        </w:tc>
        <w:tc>
          <w:tcPr>
            <w:vAlign w:val="center"/>
          </w:tcPr>
          <w:p>
            <w:pPr>
              <w:jc w:val="right"/>
            </w:pPr>
            <w:r>
              <w:rPr>
                <w:color w:val="000000"/>
                <w:kern w:val="0"/>
                <w:sz w:val="24"/>
                <w:szCs w:val="24"/>
              </w:rPr>
              <w:t>0.25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128037</w:t>
            </w:r>
          </w:p>
        </w:tc>
        <w:tc>
          <w:tcPr>
            <w:vAlign w:val="center"/>
          </w:tcPr>
          <w:p>
            <w:pPr>
              <w:jc w:val="center"/>
            </w:pPr>
            <w:r>
              <w:rPr>
                <w:color w:val="000000"/>
                <w:kern w:val="0"/>
                <w:sz w:val="24"/>
                <w:szCs w:val="24"/>
              </w:rPr>
              <w:t>岩土转债</w:t>
            </w:r>
          </w:p>
        </w:tc>
        <w:tc>
          <w:tcPr>
            <w:vAlign w:val="center"/>
          </w:tcPr>
          <w:p>
            <w:pPr>
              <w:jc w:val="right"/>
            </w:pPr>
            <w:r>
              <w:rPr>
                <w:color w:val="000000"/>
                <w:kern w:val="0"/>
                <w:sz w:val="24"/>
                <w:szCs w:val="24"/>
              </w:rPr>
              <w:t>7,321,686.12</w:t>
            </w:r>
          </w:p>
        </w:tc>
        <w:tc>
          <w:tcPr>
            <w:vAlign w:val="center"/>
          </w:tcPr>
          <w:p>
            <w:pPr>
              <w:jc w:val="right"/>
            </w:pPr>
            <w:r>
              <w:rPr>
                <w:color w:val="000000"/>
                <w:kern w:val="0"/>
                <w:sz w:val="24"/>
                <w:szCs w:val="24"/>
              </w:rPr>
              <w:t>0.23</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113012</w:t>
            </w:r>
          </w:p>
        </w:tc>
        <w:tc>
          <w:tcPr>
            <w:vAlign w:val="center"/>
          </w:tcPr>
          <w:p>
            <w:pPr>
              <w:jc w:val="center"/>
            </w:pPr>
            <w:r>
              <w:rPr>
                <w:color w:val="000000"/>
                <w:kern w:val="0"/>
                <w:sz w:val="24"/>
                <w:szCs w:val="24"/>
              </w:rPr>
              <w:t>骆驼转债</w:t>
            </w:r>
          </w:p>
        </w:tc>
        <w:tc>
          <w:tcPr>
            <w:vAlign w:val="center"/>
          </w:tcPr>
          <w:p>
            <w:pPr>
              <w:jc w:val="right"/>
            </w:pPr>
            <w:r>
              <w:rPr>
                <w:color w:val="000000"/>
                <w:kern w:val="0"/>
                <w:sz w:val="24"/>
                <w:szCs w:val="24"/>
              </w:rPr>
              <w:t>7,296,319.00</w:t>
            </w:r>
          </w:p>
        </w:tc>
        <w:tc>
          <w:tcPr>
            <w:vAlign w:val="center"/>
          </w:tcPr>
          <w:p>
            <w:pPr>
              <w:jc w:val="right"/>
            </w:pPr>
            <w:r>
              <w:rPr>
                <w:color w:val="000000"/>
                <w:kern w:val="0"/>
                <w:sz w:val="24"/>
                <w:szCs w:val="24"/>
              </w:rPr>
              <w:t>0.23</w:t>
            </w:r>
          </w:p>
        </w:tc>
      </w:tr>
      <w:tr>
        <w:tc>
          <w:tcPr>
            <w:vAlign w:val="center"/>
          </w:tcPr>
          <w:p>
            <w:pPr>
              <w:jc w:val="center"/>
            </w:pPr>
            <w:r>
              <w:rPr>
                <w:color w:val="000000"/>
                <w:kern w:val="0"/>
                <w:sz w:val="24"/>
                <w:szCs w:val="24"/>
              </w:rPr>
              <w:t>11</w:t>
            </w:r>
          </w:p>
        </w:tc>
        <w:tc>
          <w:tcPr>
            <w:vAlign w:val="center"/>
          </w:tcPr>
          <w:p>
            <w:pPr>
              <w:jc w:val="center"/>
            </w:pPr>
            <w:r>
              <w:rPr>
                <w:color w:val="000000"/>
                <w:kern w:val="0"/>
                <w:sz w:val="24"/>
                <w:szCs w:val="24"/>
              </w:rPr>
              <w:t>110031</w:t>
            </w:r>
          </w:p>
        </w:tc>
        <w:tc>
          <w:tcPr>
            <w:vAlign w:val="center"/>
          </w:tcPr>
          <w:p>
            <w:pPr>
              <w:jc w:val="center"/>
            </w:pPr>
            <w:r>
              <w:rPr>
                <w:color w:val="000000"/>
                <w:kern w:val="0"/>
                <w:sz w:val="24"/>
                <w:szCs w:val="24"/>
              </w:rPr>
              <w:t>航信转债</w:t>
            </w:r>
          </w:p>
        </w:tc>
        <w:tc>
          <w:tcPr>
            <w:vAlign w:val="center"/>
          </w:tcPr>
          <w:p>
            <w:pPr>
              <w:jc w:val="right"/>
            </w:pPr>
            <w:r>
              <w:rPr>
                <w:color w:val="000000"/>
                <w:kern w:val="0"/>
                <w:sz w:val="24"/>
                <w:szCs w:val="24"/>
              </w:rPr>
              <w:t>6,007,280.30</w:t>
            </w:r>
          </w:p>
        </w:tc>
        <w:tc>
          <w:tcPr>
            <w:vAlign w:val="center"/>
          </w:tcPr>
          <w:p>
            <w:pPr>
              <w:jc w:val="right"/>
            </w:pPr>
            <w:r>
              <w:rPr>
                <w:color w:val="000000"/>
                <w:kern w:val="0"/>
                <w:sz w:val="24"/>
                <w:szCs w:val="24"/>
              </w:rPr>
              <w:t>0.19</w:t>
            </w:r>
          </w:p>
        </w:tc>
      </w:tr>
      <w:tr>
        <w:tc>
          <w:tcPr>
            <w:vAlign w:val="center"/>
          </w:tcPr>
          <w:p>
            <w:pPr>
              <w:jc w:val="center"/>
            </w:pPr>
            <w:r>
              <w:rPr>
                <w:color w:val="000000"/>
                <w:kern w:val="0"/>
                <w:sz w:val="24"/>
                <w:szCs w:val="24"/>
              </w:rPr>
              <w:t>12</w:t>
            </w:r>
          </w:p>
        </w:tc>
        <w:tc>
          <w:tcPr>
            <w:vAlign w:val="center"/>
          </w:tcPr>
          <w:p>
            <w:pPr>
              <w:jc w:val="center"/>
            </w:pPr>
            <w:r>
              <w:rPr>
                <w:color w:val="000000"/>
                <w:kern w:val="0"/>
                <w:sz w:val="24"/>
                <w:szCs w:val="24"/>
              </w:rPr>
              <w:t>113014</w:t>
            </w:r>
          </w:p>
        </w:tc>
        <w:tc>
          <w:tcPr>
            <w:vAlign w:val="center"/>
          </w:tcPr>
          <w:p>
            <w:pPr>
              <w:jc w:val="center"/>
            </w:pPr>
            <w:r>
              <w:rPr>
                <w:color w:val="000000"/>
                <w:kern w:val="0"/>
                <w:sz w:val="24"/>
                <w:szCs w:val="24"/>
              </w:rPr>
              <w:t>林洋转债</w:t>
            </w:r>
          </w:p>
        </w:tc>
        <w:tc>
          <w:tcPr>
            <w:vAlign w:val="center"/>
          </w:tcPr>
          <w:p>
            <w:pPr>
              <w:jc w:val="right"/>
            </w:pPr>
            <w:r>
              <w:rPr>
                <w:color w:val="000000"/>
                <w:kern w:val="0"/>
                <w:sz w:val="24"/>
                <w:szCs w:val="24"/>
              </w:rPr>
              <w:t>5,010,500.00</w:t>
            </w:r>
          </w:p>
        </w:tc>
        <w:tc>
          <w:tcPr>
            <w:vAlign w:val="center"/>
          </w:tcPr>
          <w:p>
            <w:pPr>
              <w:jc w:val="right"/>
            </w:pPr>
            <w:r>
              <w:rPr>
                <w:color w:val="000000"/>
                <w:kern w:val="0"/>
                <w:sz w:val="24"/>
                <w:szCs w:val="24"/>
              </w:rPr>
              <w:t>0.15</w:t>
            </w:r>
          </w:p>
        </w:tc>
      </w:tr>
      <w:tr>
        <w:tc>
          <w:tcPr>
            <w:vAlign w:val="center"/>
          </w:tcPr>
          <w:p>
            <w:pPr>
              <w:jc w:val="center"/>
            </w:pPr>
            <w:r>
              <w:rPr>
                <w:color w:val="000000"/>
                <w:kern w:val="0"/>
                <w:sz w:val="24"/>
                <w:szCs w:val="24"/>
              </w:rPr>
              <w:t>13</w:t>
            </w:r>
          </w:p>
        </w:tc>
        <w:tc>
          <w:tcPr>
            <w:vAlign w:val="center"/>
          </w:tcPr>
          <w:p>
            <w:pPr>
              <w:jc w:val="center"/>
            </w:pPr>
            <w:r>
              <w:rPr>
                <w:color w:val="000000"/>
                <w:kern w:val="0"/>
                <w:sz w:val="24"/>
                <w:szCs w:val="24"/>
              </w:rPr>
              <w:t>127012</w:t>
            </w:r>
          </w:p>
        </w:tc>
        <w:tc>
          <w:tcPr>
            <w:vAlign w:val="center"/>
          </w:tcPr>
          <w:p>
            <w:pPr>
              <w:jc w:val="center"/>
            </w:pPr>
            <w:r>
              <w:rPr>
                <w:color w:val="000000"/>
                <w:kern w:val="0"/>
                <w:sz w:val="24"/>
                <w:szCs w:val="24"/>
              </w:rPr>
              <w:t>招路转债</w:t>
            </w:r>
          </w:p>
        </w:tc>
        <w:tc>
          <w:tcPr>
            <w:vAlign w:val="center"/>
          </w:tcPr>
          <w:p>
            <w:pPr>
              <w:jc w:val="right"/>
            </w:pPr>
            <w:r>
              <w:rPr>
                <w:color w:val="000000"/>
                <w:kern w:val="0"/>
                <w:sz w:val="24"/>
                <w:szCs w:val="24"/>
              </w:rPr>
              <w:t>3,728,017.30</w:t>
            </w:r>
          </w:p>
        </w:tc>
        <w:tc>
          <w:tcPr>
            <w:vAlign w:val="center"/>
          </w:tcPr>
          <w:p>
            <w:pPr>
              <w:jc w:val="right"/>
            </w:pPr>
            <w:r>
              <w:rPr>
                <w:color w:val="000000"/>
                <w:kern w:val="0"/>
                <w:sz w:val="24"/>
                <w:szCs w:val="24"/>
              </w:rPr>
              <w:t>0.12</w:t>
            </w:r>
          </w:p>
        </w:tc>
      </w:tr>
      <w:tr>
        <w:tc>
          <w:tcPr>
            <w:vAlign w:val="center"/>
          </w:tcPr>
          <w:p>
            <w:pPr>
              <w:jc w:val="center"/>
            </w:pPr>
            <w:r>
              <w:rPr>
                <w:color w:val="000000"/>
                <w:kern w:val="0"/>
                <w:sz w:val="24"/>
                <w:szCs w:val="24"/>
              </w:rPr>
              <w:t>14</w:t>
            </w:r>
          </w:p>
        </w:tc>
        <w:tc>
          <w:tcPr>
            <w:vAlign w:val="center"/>
          </w:tcPr>
          <w:p>
            <w:pPr>
              <w:jc w:val="center"/>
            </w:pPr>
            <w:r>
              <w:rPr>
                <w:color w:val="000000"/>
                <w:kern w:val="0"/>
                <w:sz w:val="24"/>
                <w:szCs w:val="24"/>
              </w:rPr>
              <w:t>120002</w:t>
            </w:r>
          </w:p>
        </w:tc>
        <w:tc>
          <w:tcPr>
            <w:vAlign w:val="center"/>
          </w:tcPr>
          <w:p>
            <w:pPr>
              <w:jc w:val="center"/>
            </w:pPr>
            <w:r>
              <w:rPr>
                <w:color w:val="000000"/>
                <w:kern w:val="0"/>
                <w:sz w:val="24"/>
                <w:szCs w:val="24"/>
              </w:rPr>
              <w:t>18中原EB</w:t>
            </w:r>
          </w:p>
        </w:tc>
        <w:tc>
          <w:tcPr>
            <w:vAlign w:val="center"/>
          </w:tcPr>
          <w:p>
            <w:pPr>
              <w:jc w:val="right"/>
            </w:pPr>
            <w:r>
              <w:rPr>
                <w:color w:val="000000"/>
                <w:kern w:val="0"/>
                <w:sz w:val="24"/>
                <w:szCs w:val="24"/>
              </w:rPr>
              <w:t>3,140,200.00</w:t>
            </w:r>
          </w:p>
        </w:tc>
        <w:tc>
          <w:tcPr>
            <w:vAlign w:val="center"/>
          </w:tcPr>
          <w:p>
            <w:pPr>
              <w:jc w:val="right"/>
            </w:pPr>
            <w:r>
              <w:rPr>
                <w:color w:val="000000"/>
                <w:kern w:val="0"/>
                <w:sz w:val="24"/>
                <w:szCs w:val="24"/>
              </w:rPr>
              <w:t>0.10</w:t>
            </w:r>
          </w:p>
        </w:tc>
      </w:tr>
      <w:tr>
        <w:tc>
          <w:tcPr>
            <w:vAlign w:val="center"/>
          </w:tcPr>
          <w:p>
            <w:pPr>
              <w:jc w:val="center"/>
            </w:pPr>
            <w:r>
              <w:rPr>
                <w:color w:val="000000"/>
                <w:kern w:val="0"/>
                <w:sz w:val="24"/>
                <w:szCs w:val="24"/>
              </w:rPr>
              <w:t>15</w:t>
            </w:r>
          </w:p>
        </w:tc>
        <w:tc>
          <w:tcPr>
            <w:vAlign w:val="center"/>
          </w:tcPr>
          <w:p>
            <w:pPr>
              <w:jc w:val="center"/>
            </w:pPr>
            <w:r>
              <w:rPr>
                <w:color w:val="000000"/>
                <w:kern w:val="0"/>
                <w:sz w:val="24"/>
                <w:szCs w:val="24"/>
              </w:rPr>
              <w:t>123023</w:t>
            </w:r>
          </w:p>
        </w:tc>
        <w:tc>
          <w:tcPr>
            <w:vAlign w:val="center"/>
          </w:tcPr>
          <w:p>
            <w:pPr>
              <w:jc w:val="center"/>
            </w:pPr>
            <w:r>
              <w:rPr>
                <w:color w:val="000000"/>
                <w:kern w:val="0"/>
                <w:sz w:val="24"/>
                <w:szCs w:val="24"/>
              </w:rPr>
              <w:t>迪森转债</w:t>
            </w:r>
          </w:p>
        </w:tc>
        <w:tc>
          <w:tcPr>
            <w:vAlign w:val="center"/>
          </w:tcPr>
          <w:p>
            <w:pPr>
              <w:jc w:val="right"/>
            </w:pPr>
            <w:r>
              <w:rPr>
                <w:color w:val="000000"/>
                <w:kern w:val="0"/>
                <w:sz w:val="24"/>
                <w:szCs w:val="24"/>
              </w:rPr>
              <w:t>1,865,105.90</w:t>
            </w:r>
          </w:p>
        </w:tc>
        <w:tc>
          <w:tcPr>
            <w:vAlign w:val="center"/>
          </w:tcPr>
          <w:p>
            <w:pPr>
              <w:jc w:val="right"/>
            </w:pPr>
            <w:r>
              <w:rPr>
                <w:color w:val="000000"/>
                <w:kern w:val="0"/>
                <w:sz w:val="24"/>
                <w:szCs w:val="24"/>
              </w:rPr>
              <w:t>0.06</w:t>
            </w:r>
          </w:p>
        </w:tc>
      </w:tr>
      <w:tr>
        <w:tc>
          <w:tcPr>
            <w:vAlign w:val="center"/>
          </w:tcPr>
          <w:p>
            <w:pPr>
              <w:jc w:val="center"/>
            </w:pPr>
            <w:r>
              <w:rPr>
                <w:color w:val="000000"/>
                <w:kern w:val="0"/>
                <w:sz w:val="24"/>
                <w:szCs w:val="24"/>
              </w:rPr>
              <w:t>16</w:t>
            </w:r>
          </w:p>
        </w:tc>
        <w:tc>
          <w:tcPr>
            <w:vAlign w:val="center"/>
          </w:tcPr>
          <w:p>
            <w:pPr>
              <w:jc w:val="center"/>
            </w:pPr>
            <w:r>
              <w:rPr>
                <w:color w:val="000000"/>
                <w:kern w:val="0"/>
                <w:sz w:val="24"/>
                <w:szCs w:val="24"/>
              </w:rPr>
              <w:t>128015</w:t>
            </w:r>
          </w:p>
        </w:tc>
        <w:tc>
          <w:tcPr>
            <w:vAlign w:val="center"/>
          </w:tcPr>
          <w:p>
            <w:pPr>
              <w:jc w:val="center"/>
            </w:pPr>
            <w:r>
              <w:rPr>
                <w:color w:val="000000"/>
                <w:kern w:val="0"/>
                <w:sz w:val="24"/>
                <w:szCs w:val="24"/>
              </w:rPr>
              <w:t>久其转债</w:t>
            </w:r>
          </w:p>
        </w:tc>
        <w:tc>
          <w:tcPr>
            <w:vAlign w:val="center"/>
          </w:tcPr>
          <w:p>
            <w:pPr>
              <w:jc w:val="right"/>
            </w:pPr>
            <w:r>
              <w:rPr>
                <w:color w:val="000000"/>
                <w:kern w:val="0"/>
                <w:sz w:val="24"/>
                <w:szCs w:val="24"/>
              </w:rPr>
              <w:t>1,253,542.04</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17</w:t>
            </w:r>
          </w:p>
        </w:tc>
        <w:tc>
          <w:tcPr>
            <w:vAlign w:val="center"/>
          </w:tcPr>
          <w:p>
            <w:pPr>
              <w:jc w:val="center"/>
            </w:pPr>
            <w:r>
              <w:rPr>
                <w:color w:val="000000"/>
                <w:kern w:val="0"/>
                <w:sz w:val="24"/>
                <w:szCs w:val="24"/>
              </w:rPr>
              <w:t>110051</w:t>
            </w:r>
          </w:p>
        </w:tc>
        <w:tc>
          <w:tcPr>
            <w:vAlign w:val="center"/>
          </w:tcPr>
          <w:p>
            <w:pPr>
              <w:jc w:val="center"/>
            </w:pPr>
            <w:r>
              <w:rPr>
                <w:color w:val="000000"/>
                <w:kern w:val="0"/>
                <w:sz w:val="24"/>
                <w:szCs w:val="24"/>
              </w:rPr>
              <w:t>中天转债</w:t>
            </w:r>
          </w:p>
        </w:tc>
        <w:tc>
          <w:tcPr>
            <w:vAlign w:val="center"/>
          </w:tcPr>
          <w:p>
            <w:pPr>
              <w:jc w:val="right"/>
            </w:pPr>
            <w:r>
              <w:rPr>
                <w:color w:val="000000"/>
                <w:kern w:val="0"/>
                <w:sz w:val="24"/>
                <w:szCs w:val="24"/>
              </w:rPr>
              <w:t>869,567.40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18</w:t>
            </w:r>
          </w:p>
        </w:tc>
        <w:tc>
          <w:tcPr>
            <w:vAlign w:val="center"/>
          </w:tcPr>
          <w:p>
            <w:pPr>
              <w:jc w:val="center"/>
            </w:pPr>
            <w:r>
              <w:rPr>
                <w:color w:val="000000"/>
                <w:kern w:val="0"/>
                <w:sz w:val="24"/>
                <w:szCs w:val="24"/>
              </w:rPr>
              <w:t>110043</w:t>
            </w:r>
          </w:p>
        </w:tc>
        <w:tc>
          <w:tcPr>
            <w:vAlign w:val="center"/>
          </w:tcPr>
          <w:p>
            <w:pPr>
              <w:jc w:val="center"/>
            </w:pPr>
            <w:r>
              <w:rPr>
                <w:color w:val="000000"/>
                <w:kern w:val="0"/>
                <w:sz w:val="24"/>
                <w:szCs w:val="24"/>
              </w:rPr>
              <w:t>无锡转债</w:t>
            </w:r>
          </w:p>
        </w:tc>
        <w:tc>
          <w:tcPr>
            <w:vAlign w:val="center"/>
          </w:tcPr>
          <w:p>
            <w:pPr>
              <w:jc w:val="right"/>
            </w:pPr>
            <w:r>
              <w:rPr>
                <w:color w:val="000000"/>
                <w:kern w:val="0"/>
                <w:sz w:val="24"/>
                <w:szCs w:val="24"/>
              </w:rPr>
              <w:t>814,648.90</w:t>
            </w:r>
          </w:p>
        </w:tc>
        <w:tc>
          <w:tcPr>
            <w:vAlign w:val="center"/>
          </w:tcPr>
          <w:p>
            <w:pPr>
              <w:jc w:val="right"/>
            </w:pPr>
            <w:r>
              <w:rPr>
                <w:color w:val="000000"/>
                <w:kern w:val="0"/>
                <w:sz w:val="24"/>
                <w:szCs w:val="24"/>
              </w:rPr>
              <w:t>0.03</w:t>
            </w:r>
          </w:p>
        </w:tc>
      </w:tr>
      <w:tr>
        <w:tc>
          <w:tcPr>
            <w:vAlign w:val="center"/>
          </w:tcPr>
          <w:p>
            <w:pPr>
              <w:jc w:val="center"/>
            </w:pPr>
            <w:r>
              <w:rPr>
                <w:color w:val="000000"/>
                <w:kern w:val="0"/>
                <w:sz w:val="24"/>
                <w:szCs w:val="24"/>
              </w:rPr>
              <w:t>19</w:t>
            </w:r>
          </w:p>
        </w:tc>
        <w:tc>
          <w:tcPr>
            <w:vAlign w:val="center"/>
          </w:tcPr>
          <w:p>
            <w:pPr>
              <w:jc w:val="center"/>
            </w:pPr>
            <w:r>
              <w:rPr>
                <w:color w:val="000000"/>
                <w:kern w:val="0"/>
                <w:sz w:val="24"/>
                <w:szCs w:val="24"/>
              </w:rPr>
              <w:t>113025</w:t>
            </w:r>
          </w:p>
        </w:tc>
        <w:tc>
          <w:tcPr>
            <w:vAlign w:val="center"/>
          </w:tcPr>
          <w:p>
            <w:pPr>
              <w:jc w:val="center"/>
            </w:pPr>
            <w:r>
              <w:rPr>
                <w:color w:val="000000"/>
                <w:kern w:val="0"/>
                <w:sz w:val="24"/>
                <w:szCs w:val="24"/>
              </w:rPr>
              <w:t>明泰转债</w:t>
            </w:r>
          </w:p>
        </w:tc>
        <w:tc>
          <w:tcPr>
            <w:vAlign w:val="center"/>
          </w:tcPr>
          <w:p>
            <w:pPr>
              <w:jc w:val="right"/>
            </w:pPr>
            <w:r>
              <w:rPr>
                <w:color w:val="000000"/>
                <w:kern w:val="0"/>
                <w:sz w:val="24"/>
                <w:szCs w:val="24"/>
              </w:rPr>
              <w:t>499,515.90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20</w:t>
            </w:r>
          </w:p>
        </w:tc>
        <w:tc>
          <w:tcPr>
            <w:vAlign w:val="center"/>
          </w:tcPr>
          <w:p>
            <w:pPr>
              <w:jc w:val="center"/>
            </w:pPr>
            <w:r>
              <w:rPr>
                <w:color w:val="000000"/>
                <w:kern w:val="0"/>
                <w:sz w:val="24"/>
                <w:szCs w:val="24"/>
              </w:rPr>
              <w:t>128080</w:t>
            </w:r>
          </w:p>
        </w:tc>
        <w:tc>
          <w:tcPr>
            <w:vAlign w:val="center"/>
          </w:tcPr>
          <w:p>
            <w:pPr>
              <w:jc w:val="center"/>
            </w:pPr>
            <w:r>
              <w:rPr>
                <w:color w:val="000000"/>
                <w:kern w:val="0"/>
                <w:sz w:val="24"/>
                <w:szCs w:val="24"/>
              </w:rPr>
              <w:t>顺丰转债</w:t>
            </w:r>
          </w:p>
        </w:tc>
        <w:tc>
          <w:tcPr>
            <w:vAlign w:val="center"/>
          </w:tcPr>
          <w:p>
            <w:pPr>
              <w:jc w:val="right"/>
            </w:pPr>
            <w:r>
              <w:rPr>
                <w:color w:val="000000"/>
                <w:kern w:val="0"/>
                <w:sz w:val="24"/>
                <w:szCs w:val="24"/>
              </w:rPr>
              <w:t>245,979.00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21</w:t>
            </w:r>
          </w:p>
        </w:tc>
        <w:tc>
          <w:tcPr>
            <w:vAlign w:val="center"/>
          </w:tcPr>
          <w:p>
            <w:pPr>
              <w:jc w:val="center"/>
            </w:pPr>
            <w:r>
              <w:rPr>
                <w:color w:val="000000"/>
                <w:kern w:val="0"/>
                <w:sz w:val="24"/>
                <w:szCs w:val="24"/>
              </w:rPr>
              <w:t>110065</w:t>
            </w:r>
          </w:p>
        </w:tc>
        <w:tc>
          <w:tcPr>
            <w:vAlign w:val="center"/>
          </w:tcPr>
          <w:p>
            <w:pPr>
              <w:jc w:val="center"/>
            </w:pPr>
            <w:r>
              <w:rPr>
                <w:color w:val="000000"/>
                <w:kern w:val="0"/>
                <w:sz w:val="24"/>
                <w:szCs w:val="24"/>
              </w:rPr>
              <w:t>淮矿转债</w:t>
            </w:r>
          </w:p>
        </w:tc>
        <w:tc>
          <w:tcPr>
            <w:vAlign w:val="center"/>
          </w:tcPr>
          <w:p>
            <w:pPr>
              <w:jc w:val="right"/>
            </w:pPr>
            <w:r>
              <w:rPr>
                <w:color w:val="000000"/>
                <w:kern w:val="0"/>
                <w:sz w:val="24"/>
                <w:szCs w:val="24"/>
              </w:rPr>
              <w:t>177,189.60</w:t>
            </w:r>
          </w:p>
        </w:tc>
        <w:tc>
          <w:tcPr>
            <w:vAlign w:val="center"/>
          </w:tcPr>
          <w:p>
            <w:pPr>
              <w:jc w:val="right"/>
            </w:pPr>
            <w:r>
              <w:rPr>
                <w:color w:val="000000"/>
                <w:kern w:val="0"/>
                <w:sz w:val="24"/>
                <w:szCs w:val="24"/>
              </w:rPr>
              <w:t>0.01</w:t>
            </w:r>
          </w:p>
        </w:tc>
      </w:tr>
      <w:tr>
        <w:tc>
          <w:tcPr>
            <w:vAlign w:val="center"/>
          </w:tcPr>
          <w:p>
            <w:pPr>
              <w:jc w:val="center"/>
            </w:pPr>
            <w:r>
              <w:rPr>
                <w:color w:val="000000"/>
                <w:kern w:val="0"/>
                <w:sz w:val="24"/>
                <w:szCs w:val="24"/>
              </w:rPr>
              <w:t>22</w:t>
            </w:r>
          </w:p>
        </w:tc>
        <w:tc>
          <w:tcPr>
            <w:vAlign w:val="center"/>
          </w:tcPr>
          <w:p>
            <w:pPr>
              <w:jc w:val="center"/>
            </w:pPr>
            <w:r>
              <w:rPr>
                <w:color w:val="000000"/>
                <w:kern w:val="0"/>
                <w:sz w:val="24"/>
                <w:szCs w:val="24"/>
              </w:rPr>
              <w:t>113545</w:t>
            </w:r>
          </w:p>
        </w:tc>
        <w:tc>
          <w:tcPr>
            <w:vAlign w:val="center"/>
          </w:tcPr>
          <w:p>
            <w:pPr>
              <w:jc w:val="center"/>
            </w:pPr>
            <w:r>
              <w:rPr>
                <w:color w:val="000000"/>
                <w:kern w:val="0"/>
                <w:sz w:val="24"/>
                <w:szCs w:val="24"/>
              </w:rPr>
              <w:t>金能转债</w:t>
            </w:r>
          </w:p>
        </w:tc>
        <w:tc>
          <w:tcPr>
            <w:vAlign w:val="center"/>
          </w:tcPr>
          <w:p>
            <w:pPr>
              <w:jc w:val="right"/>
            </w:pPr>
            <w:r>
              <w:rPr>
                <w:color w:val="000000"/>
                <w:kern w:val="0"/>
                <w:sz w:val="24"/>
                <w:szCs w:val="24"/>
              </w:rPr>
              <w:t>158,672.40</w:t>
            </w:r>
          </w:p>
        </w:tc>
        <w:tc>
          <w:tcPr>
            <w:vAlign w:val="center"/>
          </w:tcPr>
          <w:p>
            <w:pPr>
              <w:jc w:val="right"/>
            </w:pPr>
            <w:r>
              <w:rPr>
                <w:color w:val="000000"/>
                <w:kern w:val="0"/>
                <w:sz w:val="24"/>
                <w:szCs w:val="24"/>
              </w:rPr>
              <w:t>0.00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750D48" w:rsidRPr="00264E55" w:rsidTr="00B05049">
        <w:tc>
          <w:tcPr>
            <w:tcW w:type="dxa" w:w="1083"/>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302"/>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股票代码</w:t>
            </w:r>
          </w:p>
        </w:tc>
        <w:tc>
          <w:tcPr>
            <w:tcW w:type="dxa" w:w="1301"/>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股票名称</w:t>
            </w:r>
          </w:p>
        </w:tc>
        <w:tc>
          <w:tcPr>
            <w:tcW w:type="dxa" w:w="180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流通受限部分的公允价值</w:t>
            </w:r>
            <w:r w:rsidR="005F7917" w:rsidRPr="00B227EA">
              <w:rPr>
                <w:color w:val="000000"/>
                <w:kern w:val="0"/>
                <w:sz w:val="24"/>
                <w:szCs w:val="24"/>
              </w:rPr>
              <w:t>（元）</w:t>
            </w:r>
          </w:p>
        </w:tc>
        <w:tc>
          <w:tcPr>
            <w:tcW w:type="dxa" w:w="1655"/>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c>
          <w:tcPr>
            <w:tcW w:type="dxa" w:w="1367"/>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流通受限情况说明</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601872</w:t>
            </w:r>
          </w:p>
        </w:tc>
        <w:tc>
          <w:tcPr>
            <w:vAlign w:val="center"/>
          </w:tcPr>
          <w:p>
            <w:pPr>
              <w:jc w:val="center"/>
            </w:pPr>
            <w:r>
              <w:rPr>
                <w:color w:val="000000"/>
                <w:kern w:val="0"/>
                <w:sz w:val="24"/>
                <w:szCs w:val="24"/>
              </w:rPr>
              <w:t>招商轮船</w:t>
            </w:r>
          </w:p>
        </w:tc>
        <w:tc>
          <w:tcPr>
            <w:vAlign w:val="center"/>
          </w:tcPr>
          <w:p>
            <w:pPr>
              <w:jc w:val="right"/>
            </w:pPr>
            <w:r>
              <w:rPr>
                <w:color w:val="000000"/>
                <w:kern w:val="0"/>
                <w:sz w:val="24"/>
                <w:szCs w:val="24"/>
              </w:rPr>
              <w:t>2,960,818.29</w:t>
            </w:r>
          </w:p>
        </w:tc>
        <w:tc>
          <w:tcPr>
            <w:vAlign w:val="center"/>
          </w:tcPr>
          <w:p>
            <w:pPr>
              <w:jc w:val="right"/>
            </w:pPr>
            <w:r>
              <w:rPr>
                <w:color w:val="000000"/>
                <w:kern w:val="0"/>
                <w:sz w:val="24"/>
                <w:szCs w:val="24"/>
              </w:rPr>
              <w:t>0.09</w:t>
            </w:r>
          </w:p>
        </w:tc>
        <w:tc>
          <w:tcPr>
            <w:vAlign w:val="center"/>
          </w:tcPr>
          <w:p>
            <w:pPr>
              <w:jc w:val="right"/>
            </w:pPr>
            <w:r>
              <w:rPr>
                <w:color w:val="000000"/>
                <w:kern w:val="0"/>
                <w:sz w:val="24"/>
                <w:szCs w:val="24"/>
              </w:rPr>
              <w:t>非公开发行流通受限</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601872</w:t>
            </w:r>
          </w:p>
        </w:tc>
        <w:tc>
          <w:tcPr>
            <w:vAlign w:val="center"/>
          </w:tcPr>
          <w:p>
            <w:pPr>
              <w:jc w:val="center"/>
            </w:pPr>
            <w:r>
              <w:rPr>
                <w:color w:val="000000"/>
                <w:kern w:val="0"/>
                <w:sz w:val="24"/>
                <w:szCs w:val="24"/>
              </w:rPr>
              <w:t>招商轮船</w:t>
            </w:r>
          </w:p>
        </w:tc>
        <w:tc>
          <w:tcPr>
            <w:vAlign w:val="center"/>
          </w:tcPr>
          <w:p>
            <w:pPr>
              <w:jc w:val="right"/>
            </w:pPr>
            <w:r>
              <w:rPr>
                <w:color w:val="000000"/>
                <w:kern w:val="0"/>
                <w:sz w:val="24"/>
                <w:szCs w:val="24"/>
              </w:rPr>
              <w:t>2,843,281.08</w:t>
            </w:r>
          </w:p>
        </w:tc>
        <w:tc>
          <w:tcPr>
            <w:vAlign w:val="center"/>
          </w:tcPr>
          <w:p>
            <w:pPr>
              <w:jc w:val="right"/>
            </w:pPr>
            <w:r>
              <w:rPr>
                <w:color w:val="000000"/>
                <w:kern w:val="0"/>
                <w:sz w:val="24"/>
                <w:szCs w:val="24"/>
              </w:rPr>
              <w:t>0.09</w:t>
            </w:r>
          </w:p>
        </w:tc>
        <w:tc>
          <w:tcPr>
            <w:vAlign w:val="center"/>
          </w:tcPr>
          <w:p>
            <w:pPr>
              <w:jc w:val="right"/>
            </w:pPr>
            <w:r>
              <w:rPr>
                <w:color w:val="000000"/>
                <w:kern w:val="0"/>
                <w:sz w:val="24"/>
                <w:szCs w:val="24"/>
              </w:rPr>
              <w:t>非公开发行流通受限</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注：根据《深圳/上海证券交易所上市公司股东及董事、监事、高级管理人员减持股份实施细则》，大股东以外的股东减持所持有的上市公司非公开发行股份，采取集中竞价交易方式的，在任意连续90日内，减持股份的总数不得超过公司股份总数的1%。持有上市公司非公开发行股份的股东，通过集中竞价交易减持该部分股份的，除遵守前款规定外，自股份解除限售之日起12个月内，减持数量不得超过其持有该次非公开发行股份数量的50%。</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1,985,037,183.75</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1,985,037,183.75</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9,149,130.83</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0.4609%</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不少于3年</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9,149,130.83</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0.4609%</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注：该基金的发起份额承诺持有期限已满3年，发起份额已全部赎回。</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rFonts w:eastAsiaTheme="minorEastAsia"/>
                <w:bCs/>
                <w:color w:themeColor="text1" w:val="000000"/>
                <w:sz w:val="24"/>
                <w:szCs w:val="24"/>
              </w:rPr>
              <w:t>机构</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1,079,408,426.65</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1,079,408,426.65</w:t>
            </w:r>
          </w:p>
        </w:tc>
        <w:tc>
          <w:tcPr>
            <w:vAlign w:val="center"/>
          </w:tcPr>
          <w:p>
            <w:pPr>
              <w:jc w:val="center"/>
            </w:pPr>
            <w:r>
              <w:rPr>
                <w:sz w:val="24"/>
                <w:szCs w:val="24"/>
              </w:rPr>
              <w:t>54.38%</w:t>
            </w:r>
          </w:p>
        </w:tc>
      </w:tr>
      <w:tr>
        <w:tc>
          <w:tcPr>
            <w:vMerge/>
          </w:tcPr>
          <w:p/>
        </w:tc>
        <w:tc>
          <w:tcPr>
            <w:vAlign w:val="center"/>
          </w:tcPr>
          <w:p>
            <w:pPr>
              <w:jc w:val="center"/>
            </w:pPr>
            <w:r>
              <w:rPr>
                <w:sz w:val="24"/>
                <w:szCs w:val="24"/>
              </w:rPr>
              <w:t>2</w:t>
            </w:r>
          </w:p>
        </w:tc>
        <w:tc>
          <w:tcPr>
            <w:vAlign w:val="center"/>
          </w:tcPr>
          <w:p>
            <w:pPr>
              <w:jc w:val="center"/>
            </w:pPr>
            <w:r>
              <w:rPr>
                <w:sz w:val="24"/>
                <w:szCs w:val="24"/>
              </w:rPr>
              <w:t>2020年04月01日~2020年06月30日</w:t>
            </w:r>
          </w:p>
        </w:tc>
        <w:tc>
          <w:tcPr>
            <w:vAlign w:val="center"/>
          </w:tcPr>
          <w:p>
            <w:pPr>
              <w:jc w:val="center"/>
            </w:pPr>
            <w:r>
              <w:rPr>
                <w:sz w:val="24"/>
                <w:szCs w:val="24"/>
              </w:rPr>
              <w:t>879,860,489.44</w:t>
            </w:r>
          </w:p>
        </w:tc>
        <w:tc>
          <w:tcPr>
            <w:vAlign w:val="center"/>
          </w:tcPr>
          <w:p>
            <w:pPr>
              <w:jc w:val="center"/>
            </w:pPr>
            <w:r>
              <w:rPr>
                <w:sz w:val="24"/>
                <w:szCs w:val="24"/>
              </w:rPr>
              <w:t>-</w:t>
            </w:r>
          </w:p>
        </w:tc>
        <w:tc>
          <w:tcPr>
            <w:vAlign w:val="center"/>
          </w:tcPr>
          <w:p>
            <w:pPr>
              <w:jc w:val="center"/>
            </w:pPr>
            <w:r>
              <w:rPr>
                <w:sz w:val="24"/>
                <w:szCs w:val="24"/>
              </w:rPr>
              <w:t>-</w:t>
            </w:r>
          </w:p>
        </w:tc>
        <w:tc>
          <w:tcPr>
            <w:vAlign w:val="center"/>
          </w:tcPr>
          <w:p>
            <w:pPr>
              <w:jc w:val="center"/>
            </w:pPr>
            <w:r>
              <w:rPr>
                <w:sz w:val="24"/>
                <w:szCs w:val="24"/>
              </w:rPr>
              <w:t>879,860,489.44</w:t>
            </w:r>
          </w:p>
        </w:tc>
        <w:tc>
          <w:tcPr>
            <w:vAlign w:val="center"/>
          </w:tcPr>
          <w:p>
            <w:pPr>
              <w:jc w:val="center"/>
            </w:pPr>
            <w:r>
              <w:rPr>
                <w:sz w:val="24"/>
                <w:szCs w:val="24"/>
              </w:rPr>
              <w:t>44.32%</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1.中国证监会核准易方达裕惠回报债券型证券投资基金募集的文件；</w:t>
      </w:r>
    </w:p>
    <w:p>
      <w:pPr>
        <w:spacing w:line="360" w:lineRule="auto"/>
        <w:ind w:firstLine="480" w:firstLineChars="200"/>
        <w:rPr>
          <w:color w:val="000000"/>
          <w:sz w:val="24"/>
          <w:szCs w:val="24"/>
        </w:rPr>
      </w:pPr>
      <w:r>
        <w:rPr>
          <w:color w:val="000000"/>
          <w:sz w:val="24"/>
          <w:szCs w:val="24"/>
        </w:rPr>
        <w:t>2.易方达裕惠回报债券型证券投资基金基金份额持有人大会决议生效公告；</w:t>
      </w:r>
    </w:p>
    <w:p>
      <w:pPr>
        <w:spacing w:line="360" w:lineRule="auto"/>
        <w:ind w:firstLine="480" w:firstLineChars="200"/>
        <w:rPr>
          <w:color w:val="000000"/>
          <w:sz w:val="24"/>
          <w:szCs w:val="24"/>
        </w:rPr>
      </w:pPr>
      <w:r>
        <w:rPr>
          <w:color w:val="000000"/>
          <w:sz w:val="24"/>
          <w:szCs w:val="24"/>
        </w:rPr>
        <w:t>3.《易方达裕惠回报定期开放式混合型发起式证券投资基金基金合同》；</w:t>
      </w:r>
    </w:p>
    <w:p>
      <w:pPr>
        <w:spacing w:line="360" w:lineRule="auto"/>
        <w:ind w:firstLine="480" w:firstLineChars="200"/>
        <w:rPr>
          <w:color w:val="000000"/>
          <w:sz w:val="24"/>
          <w:szCs w:val="24"/>
        </w:rPr>
      </w:pPr>
      <w:r>
        <w:rPr>
          <w:color w:val="000000"/>
          <w:sz w:val="24"/>
          <w:szCs w:val="24"/>
        </w:rPr>
        <w:t>4.《易方达裕惠回报定期开放式混合型发起式证券投资基金托管协议》；</w:t>
      </w:r>
    </w:p>
    <w:p>
      <w:pPr>
        <w:spacing w:line="360" w:lineRule="auto"/>
        <w:ind w:firstLine="480" w:firstLineChars="200"/>
        <w:rPr>
          <w:color w:val="000000"/>
          <w:sz w:val="24"/>
          <w:szCs w:val="24"/>
        </w:rPr>
      </w:pPr>
      <w:r>
        <w:rPr>
          <w:color w:val="000000"/>
          <w:sz w:val="24"/>
          <w:szCs w:val="24"/>
        </w:rPr>
        <w:t>5.《易方达基金管理有限公司开放式基金业务规则》；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6.基金管理人业务资格批件、营业执照。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易方达裕惠回报定期开放式混合型发起式证券投资基金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