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易方达新兴成长灵活配置混合型证券投资基金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中国工商银行股份有限公司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基金托管人中国工商银行股份有限公司根据本基金合同规定，于2020年7月17日复核了本报告中的财务指标、净值表现和投资组合报告等内容，保证复核内容不存在虚假记载、误导性陈述或者重大遗漏。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易方达新兴成长混合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000404</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000404</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2013年11月28日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2,122,708,633.12</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本基金在严格控制风险的前提下，追求超越业绩比较基准的投资回报和资产的长期稳健增值。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的资产配置主要是基于定量与定性相结合的宏观及市场分析，确定组合中股票、债券、货币市场工具及其他金融工具的比例。在股票投资策略方面，本基金将从新兴产业中优选预期成长性较好的公司的股票进行投资。本基金所指的预期成长性较好的公司是指预期净利润复合增长率高于同期GDP增长率2倍并满足公司所在行业景气度较高且具有可持续性、公司所在行业竞争格局良好以及公司管理层素质较高等标准的公司。在债券投资策略方面，本基金主要通过类属配置与券种选择两个层次进行投资管理。同时，本基金将根据对现货和期货市场的分析，采取多头或空头套期保值等策略进行套期保值操作。</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中证新兴产业指数收益率×50%+中债总财富指数收益率×50%</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本基金为混合型基金，理论上其风险收益水平低于股票型基金，高于债券型基金和货币市场基金。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中国工商银行股份有限公司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307,461,422.38</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2,474,135,917.50</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1.1069</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8,719,137,247.83</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4.108</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37.94%</w:t>
            </w:r>
          </w:p>
        </w:tc>
        <w:tc>
          <w:tcPr>
            <w:vAlign w:val="center"/>
          </w:tcPr>
          <w:p>
            <w:pPr>
              <w:jc w:val="center"/>
            </w:pPr>
            <w:r>
              <w:rPr>
                <w:color w:val="000000"/>
                <w:kern w:val="0"/>
                <w:sz w:val="24"/>
                <w:szCs w:val="24"/>
              </w:rPr>
              <w:t>1.54%</w:t>
            </w:r>
          </w:p>
        </w:tc>
        <w:tc>
          <w:tcPr>
            <w:vAlign w:val="center"/>
          </w:tcPr>
          <w:p>
            <w:pPr>
              <w:jc w:val="center"/>
            </w:pPr>
            <w:r>
              <w:rPr>
                <w:color w:val="000000"/>
                <w:kern w:val="0"/>
                <w:sz w:val="24"/>
                <w:szCs w:val="24"/>
              </w:rPr>
              <w:t>9.74%</w:t>
            </w:r>
          </w:p>
        </w:tc>
        <w:tc>
          <w:tcPr>
            <w:vAlign w:val="center"/>
          </w:tcPr>
          <w:p>
            <w:pPr>
              <w:jc w:val="center"/>
            </w:pPr>
            <w:r>
              <w:rPr>
                <w:color w:val="000000"/>
                <w:kern w:val="0"/>
                <w:sz w:val="24"/>
                <w:szCs w:val="24"/>
              </w:rPr>
              <w:t>0.64%</w:t>
            </w:r>
          </w:p>
        </w:tc>
        <w:tc>
          <w:tcPr>
            <w:vAlign w:val="center"/>
          </w:tcPr>
          <w:p>
            <w:pPr>
              <w:jc w:val="center"/>
            </w:pPr>
            <w:r>
              <w:rPr>
                <w:color w:val="000000"/>
                <w:kern w:val="0"/>
                <w:sz w:val="24"/>
                <w:szCs w:val="24"/>
              </w:rPr>
              <w:t>28.20%</w:t>
            </w:r>
          </w:p>
        </w:tc>
        <w:tc>
          <w:tcPr>
            <w:vAlign w:val="center"/>
          </w:tcPr>
          <w:p>
            <w:pPr>
              <w:jc w:val="center"/>
            </w:pPr>
            <w:r>
              <w:rPr>
                <w:color w:val="000000"/>
                <w:kern w:val="0"/>
                <w:sz w:val="24"/>
                <w:szCs w:val="24"/>
              </w:rPr>
              <w:t>0.90%</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40.49%</w:t>
            </w:r>
          </w:p>
        </w:tc>
        <w:tc>
          <w:tcPr>
            <w:vAlign w:val="center"/>
          </w:tcPr>
          <w:p>
            <w:pPr>
              <w:jc w:val="center"/>
            </w:pPr>
            <w:r>
              <w:rPr>
                <w:color w:val="000000"/>
                <w:kern w:val="0"/>
                <w:sz w:val="24"/>
                <w:szCs w:val="24"/>
              </w:rPr>
              <w:t>2.15%</w:t>
            </w:r>
          </w:p>
        </w:tc>
        <w:tc>
          <w:tcPr>
            <w:vAlign w:val="center"/>
          </w:tcPr>
          <w:p>
            <w:pPr>
              <w:jc w:val="center"/>
            </w:pPr>
            <w:r>
              <w:rPr>
                <w:color w:val="000000"/>
                <w:kern w:val="0"/>
                <w:sz w:val="24"/>
                <w:szCs w:val="24"/>
              </w:rPr>
              <w:t>9.79%</w:t>
            </w:r>
          </w:p>
        </w:tc>
        <w:tc>
          <w:tcPr>
            <w:vAlign w:val="center"/>
          </w:tcPr>
          <w:p>
            <w:pPr>
              <w:jc w:val="center"/>
            </w:pPr>
            <w:r>
              <w:rPr>
                <w:color w:val="000000"/>
                <w:kern w:val="0"/>
                <w:sz w:val="24"/>
                <w:szCs w:val="24"/>
              </w:rPr>
              <w:t>0.92%</w:t>
            </w:r>
          </w:p>
        </w:tc>
        <w:tc>
          <w:tcPr>
            <w:vAlign w:val="center"/>
          </w:tcPr>
          <w:p>
            <w:pPr>
              <w:jc w:val="center"/>
            </w:pPr>
            <w:r>
              <w:rPr>
                <w:color w:val="000000"/>
                <w:kern w:val="0"/>
                <w:sz w:val="24"/>
                <w:szCs w:val="24"/>
              </w:rPr>
              <w:t>30.70%</w:t>
            </w:r>
          </w:p>
        </w:tc>
        <w:tc>
          <w:tcPr>
            <w:vAlign w:val="center"/>
          </w:tcPr>
          <w:p>
            <w:pPr>
              <w:jc w:val="center"/>
            </w:pPr>
            <w:r>
              <w:rPr>
                <w:color w:val="000000"/>
                <w:kern w:val="0"/>
                <w:sz w:val="24"/>
                <w:szCs w:val="24"/>
              </w:rPr>
              <w:t>1.23%</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111.64%</w:t>
            </w:r>
          </w:p>
        </w:tc>
        <w:tc>
          <w:tcPr>
            <w:vAlign w:val="center"/>
          </w:tcPr>
          <w:p>
            <w:pPr>
              <w:jc w:val="center"/>
            </w:pPr>
            <w:r>
              <w:rPr>
                <w:color w:val="000000"/>
                <w:kern w:val="0"/>
                <w:sz w:val="24"/>
                <w:szCs w:val="24"/>
              </w:rPr>
              <w:t>1.84%</w:t>
            </w:r>
          </w:p>
        </w:tc>
        <w:tc>
          <w:tcPr>
            <w:vAlign w:val="center"/>
          </w:tcPr>
          <w:p>
            <w:pPr>
              <w:jc w:val="center"/>
            </w:pPr>
            <w:r>
              <w:rPr>
                <w:color w:val="000000"/>
                <w:kern w:val="0"/>
                <w:sz w:val="24"/>
                <w:szCs w:val="24"/>
              </w:rPr>
              <w:t>20.42%</w:t>
            </w:r>
          </w:p>
        </w:tc>
        <w:tc>
          <w:tcPr>
            <w:vAlign w:val="center"/>
          </w:tcPr>
          <w:p>
            <w:pPr>
              <w:jc w:val="center"/>
            </w:pPr>
            <w:r>
              <w:rPr>
                <w:color w:val="000000"/>
                <w:kern w:val="0"/>
                <w:sz w:val="24"/>
                <w:szCs w:val="24"/>
              </w:rPr>
              <w:t>0.75%</w:t>
            </w:r>
          </w:p>
        </w:tc>
        <w:tc>
          <w:tcPr>
            <w:vAlign w:val="center"/>
          </w:tcPr>
          <w:p>
            <w:pPr>
              <w:jc w:val="center"/>
            </w:pPr>
            <w:r>
              <w:rPr>
                <w:color w:val="000000"/>
                <w:kern w:val="0"/>
                <w:sz w:val="24"/>
                <w:szCs w:val="24"/>
              </w:rPr>
              <w:t>91.22%</w:t>
            </w:r>
          </w:p>
        </w:tc>
        <w:tc>
          <w:tcPr>
            <w:vAlign w:val="center"/>
          </w:tcPr>
          <w:p>
            <w:pPr>
              <w:jc w:val="center"/>
            </w:pPr>
            <w:r>
              <w:rPr>
                <w:color w:val="000000"/>
                <w:kern w:val="0"/>
                <w:sz w:val="24"/>
                <w:szCs w:val="24"/>
              </w:rPr>
              <w:t>1.09%</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111.97%</w:t>
            </w:r>
          </w:p>
        </w:tc>
        <w:tc>
          <w:tcPr>
            <w:vAlign w:val="center"/>
          </w:tcPr>
          <w:p>
            <w:pPr>
              <w:jc w:val="center"/>
            </w:pPr>
            <w:r>
              <w:rPr>
                <w:color w:val="000000"/>
                <w:kern w:val="0"/>
                <w:sz w:val="24"/>
                <w:szCs w:val="24"/>
              </w:rPr>
              <w:t>1.88%</w:t>
            </w:r>
          </w:p>
        </w:tc>
        <w:tc>
          <w:tcPr>
            <w:vAlign w:val="center"/>
          </w:tcPr>
          <w:p>
            <w:pPr>
              <w:jc w:val="center"/>
            </w:pPr>
            <w:r>
              <w:rPr>
                <w:color w:val="000000"/>
                <w:kern w:val="0"/>
                <w:sz w:val="24"/>
                <w:szCs w:val="24"/>
              </w:rPr>
              <w:t>14.86%</w:t>
            </w:r>
          </w:p>
        </w:tc>
        <w:tc>
          <w:tcPr>
            <w:vAlign w:val="center"/>
          </w:tcPr>
          <w:p>
            <w:pPr>
              <w:jc w:val="center"/>
            </w:pPr>
            <w:r>
              <w:rPr>
                <w:color w:val="000000"/>
                <w:kern w:val="0"/>
                <w:sz w:val="24"/>
                <w:szCs w:val="24"/>
              </w:rPr>
              <w:t>0.72%</w:t>
            </w:r>
          </w:p>
        </w:tc>
        <w:tc>
          <w:tcPr>
            <w:vAlign w:val="center"/>
          </w:tcPr>
          <w:p>
            <w:pPr>
              <w:jc w:val="center"/>
            </w:pPr>
            <w:r>
              <w:rPr>
                <w:color w:val="000000"/>
                <w:kern w:val="0"/>
                <w:sz w:val="24"/>
                <w:szCs w:val="24"/>
              </w:rPr>
              <w:t>97.11%</w:t>
            </w:r>
          </w:p>
        </w:tc>
        <w:tc>
          <w:tcPr>
            <w:vAlign w:val="center"/>
          </w:tcPr>
          <w:p>
            <w:pPr>
              <w:jc w:val="center"/>
            </w:pPr>
            <w:r>
              <w:rPr>
                <w:color w:val="000000"/>
                <w:kern w:val="0"/>
                <w:sz w:val="24"/>
                <w:szCs w:val="24"/>
              </w:rPr>
              <w:t>1.16%</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38.13%</w:t>
            </w:r>
          </w:p>
        </w:tc>
        <w:tc>
          <w:tcPr>
            <w:vAlign w:val="center"/>
          </w:tcPr>
          <w:p>
            <w:pPr>
              <w:jc w:val="center"/>
            </w:pPr>
            <w:r>
              <w:rPr>
                <w:color w:val="000000"/>
                <w:kern w:val="0"/>
                <w:sz w:val="24"/>
                <w:szCs w:val="24"/>
              </w:rPr>
              <w:t>2.13%</w:t>
            </w:r>
          </w:p>
        </w:tc>
        <w:tc>
          <w:tcPr>
            <w:vAlign w:val="center"/>
          </w:tcPr>
          <w:p>
            <w:pPr>
              <w:jc w:val="center"/>
            </w:pPr>
            <w:r>
              <w:rPr>
                <w:color w:val="000000"/>
                <w:kern w:val="0"/>
                <w:sz w:val="24"/>
                <w:szCs w:val="24"/>
              </w:rPr>
              <w:t>3.33%</w:t>
            </w:r>
          </w:p>
        </w:tc>
        <w:tc>
          <w:tcPr>
            <w:vAlign w:val="center"/>
          </w:tcPr>
          <w:p>
            <w:pPr>
              <w:jc w:val="center"/>
            </w:pPr>
            <w:r>
              <w:rPr>
                <w:color w:val="000000"/>
                <w:kern w:val="0"/>
                <w:sz w:val="24"/>
                <w:szCs w:val="24"/>
              </w:rPr>
              <w:t>0.87%</w:t>
            </w:r>
          </w:p>
        </w:tc>
        <w:tc>
          <w:tcPr>
            <w:vAlign w:val="center"/>
          </w:tcPr>
          <w:p>
            <w:pPr>
              <w:jc w:val="center"/>
            </w:pPr>
            <w:r>
              <w:rPr>
                <w:color w:val="000000"/>
                <w:kern w:val="0"/>
                <w:sz w:val="24"/>
                <w:szCs w:val="24"/>
              </w:rPr>
              <w:t>34.80%</w:t>
            </w:r>
          </w:p>
        </w:tc>
        <w:tc>
          <w:tcPr>
            <w:vAlign w:val="center"/>
          </w:tcPr>
          <w:p>
            <w:pPr>
              <w:jc w:val="center"/>
            </w:pPr>
            <w:r>
              <w:rPr>
                <w:color w:val="000000"/>
                <w:kern w:val="0"/>
                <w:sz w:val="24"/>
                <w:szCs w:val="24"/>
              </w:rPr>
              <w:t>1.26%</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310.80%</w:t>
            </w:r>
          </w:p>
        </w:tc>
        <w:tc>
          <w:tcPr>
            <w:vAlign w:val="center"/>
          </w:tcPr>
          <w:p>
            <w:pPr>
              <w:jc w:val="center"/>
            </w:pPr>
            <w:r>
              <w:rPr>
                <w:color w:val="000000"/>
                <w:kern w:val="0"/>
                <w:sz w:val="24"/>
                <w:szCs w:val="24"/>
              </w:rPr>
              <w:t>2.13%</w:t>
            </w:r>
          </w:p>
        </w:tc>
        <w:tc>
          <w:tcPr>
            <w:vAlign w:val="center"/>
          </w:tcPr>
          <w:p>
            <w:pPr>
              <w:jc w:val="center"/>
            </w:pPr>
            <w:r>
              <w:rPr>
                <w:color w:val="000000"/>
                <w:kern w:val="0"/>
                <w:sz w:val="24"/>
                <w:szCs w:val="24"/>
              </w:rPr>
              <w:t>53.26%</w:t>
            </w:r>
          </w:p>
        </w:tc>
        <w:tc>
          <w:tcPr>
            <w:vAlign w:val="center"/>
          </w:tcPr>
          <w:p>
            <w:pPr>
              <w:jc w:val="center"/>
            </w:pPr>
            <w:r>
              <w:rPr>
                <w:color w:val="000000"/>
                <w:kern w:val="0"/>
                <w:sz w:val="24"/>
                <w:szCs w:val="24"/>
              </w:rPr>
              <w:t>0.86%</w:t>
            </w:r>
          </w:p>
        </w:tc>
        <w:tc>
          <w:tcPr>
            <w:vAlign w:val="center"/>
          </w:tcPr>
          <w:p>
            <w:pPr>
              <w:jc w:val="center"/>
            </w:pPr>
            <w:r>
              <w:rPr>
                <w:color w:val="000000"/>
                <w:kern w:val="0"/>
                <w:sz w:val="24"/>
                <w:szCs w:val="24"/>
              </w:rPr>
              <w:t>257.54%</w:t>
            </w:r>
          </w:p>
        </w:tc>
        <w:tc>
          <w:tcPr>
            <w:vAlign w:val="center"/>
          </w:tcPr>
          <w:p>
            <w:pPr>
              <w:jc w:val="center"/>
            </w:pPr>
            <w:r>
              <w:rPr>
                <w:color w:val="000000"/>
                <w:kern w:val="0"/>
                <w:sz w:val="24"/>
                <w:szCs w:val="24"/>
              </w:rPr>
              <w:t>1.27%</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易方达新兴成长灵活配置混合型证券投资基金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2013年11月28日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注：自基金合同生效至报告期末，基金份额净值增长率为310.80%，同期业绩比较基准收益率为53.26%。</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刘武</w:t>
            </w:r>
          </w:p>
        </w:tc>
        <w:tc>
          <w:tcPr>
            <w:vAlign w:val="center"/>
          </w:tcPr>
          <w:p>
            <w:pPr>
              <w:jc w:val="left"/>
            </w:pPr>
            <w:r>
              <w:rPr>
                <w:color w:val="000000"/>
                <w:sz w:val="24"/>
              </w:rPr>
              <w:t>本基金的基金经理、易方达科技创新混合型证券投资基金的基金经理</w:t>
            </w:r>
          </w:p>
        </w:tc>
        <w:tc>
          <w:tcPr>
            <w:vAlign w:val="center"/>
          </w:tcPr>
          <w:p>
            <w:pPr>
              <w:jc w:val="center"/>
            </w:pPr>
            <w:r>
              <w:rPr>
                <w:color w:val="000000"/>
                <w:sz w:val="24"/>
              </w:rPr>
              <w:t>2018-12-12</w:t>
            </w:r>
          </w:p>
        </w:tc>
        <w:tc>
          <w:tcPr>
            <w:vAlign w:val="center"/>
          </w:tcPr>
          <w:p>
            <w:pPr>
              <w:jc w:val="center"/>
            </w:pPr>
            <w:r>
              <w:rPr>
                <w:color w:val="000000"/>
                <w:sz w:val="24"/>
              </w:rPr>
              <w:t>-</w:t>
            </w:r>
          </w:p>
        </w:tc>
        <w:tc>
          <w:tcPr>
            <w:vAlign w:val="center"/>
          </w:tcPr>
          <w:p>
            <w:pPr>
              <w:jc w:val="center"/>
            </w:pPr>
            <w:r>
              <w:rPr>
                <w:color w:val="000000"/>
                <w:sz w:val="24"/>
              </w:rPr>
              <w:t>6年</w:t>
            </w:r>
          </w:p>
        </w:tc>
        <w:tc>
          <w:tcPr>
            <w:vAlign w:val="center"/>
          </w:tcPr>
          <w:p>
            <w:pPr>
              <w:jc w:val="both"/>
            </w:pPr>
            <w:r>
              <w:rPr>
                <w:color w:val="000000"/>
                <w:sz w:val="24"/>
              </w:rPr>
              <w:t>硕士研究生，具有基金从业资格。曾任华夏基金管理有限公司投资研究部研究员，易方达基金管理有限公司行业研究员、投资经理。</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pPr>
        <w:spacing w:line="360" w:lineRule="auto"/>
        <w:ind w:firstLine="480" w:firstLineChars="200"/>
        <w:rPr>
          <w:color w:val="000000"/>
          <w:sz w:val="24"/>
          <w:szCs w:val="24"/>
        </w:rPr>
      </w:pPr>
      <w:r>
        <w:rPr>
          <w:color w:val="000000"/>
          <w:sz w:val="24"/>
          <w:szCs w:val="24"/>
        </w:rPr>
        <w:t>二季度，国内疫情得到有效控制，经济生产秩序得以逐步恢复，市场开始修复反弹。为应对疫情对经济的影响，全球流动性进一步宽松，并成为推动全球股市反弹的核心驱动力。报告期内，上证综指涨幅8.52%，中证500涨幅16.32%，创业板指数涨幅30.25%，医药和休闲食品成为走势最强的板块。</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随着欧美经济活动的逐步恢复，本基金坚定持有的的海外需求占比较高的资产（比如消费电子和新能源汽车）开始修复反弹，因此二季度本基金净值表现较好。本基金的股票仓位提升到较高位置，并主要聚焦新能源汽车产业链和消费电子产业链龙头的配置，同时一定程度上增加了对医药板块的配置。</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截至报告期末，本基金份额净值为4.108元，本报告期份额净值增长率为37.94%，同期业绩比较基准收益率为9.74%。</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8,181,202,772.11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91.08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8,181,202,772.11</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91.08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8,500,929.63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0.09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8,500,929.63</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0.09</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662,505,151.44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7.38</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129,995,505.25</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8,982,204,358.43</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4,711,219,364.63</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54.03</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12,766.32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5,593,327.12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0.06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2,989,612,891.72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34.29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138,557,336.00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1.59</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336,202,000.72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3.86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5,085.60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8,181,202,772.11</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93.83</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300253</w:t>
            </w:r>
          </w:p>
        </w:tc>
        <w:tc>
          <w:tcPr>
            <w:vAlign w:val="center"/>
          </w:tcPr>
          <w:p>
            <w:pPr>
              <w:jc w:val="center"/>
            </w:pPr>
            <w:r>
              <w:rPr>
                <w:color w:val="000000"/>
                <w:kern w:val="0"/>
                <w:sz w:val="24"/>
                <w:szCs w:val="24"/>
              </w:rPr>
              <w:t>卫宁健康</w:t>
            </w:r>
          </w:p>
        </w:tc>
        <w:tc>
          <w:tcPr>
            <w:vAlign w:val="center"/>
          </w:tcPr>
          <w:p>
            <w:pPr>
              <w:jc w:val="right"/>
            </w:pPr>
            <w:r>
              <w:rPr>
                <w:color w:val="000000"/>
                <w:kern w:val="0"/>
                <w:sz w:val="24"/>
                <w:szCs w:val="24"/>
              </w:rPr>
              <w:t>37,751,758</w:t>
            </w:r>
          </w:p>
        </w:tc>
        <w:tc>
          <w:tcPr>
            <w:vAlign w:val="center"/>
          </w:tcPr>
          <w:p>
            <w:pPr>
              <w:jc w:val="right"/>
            </w:pPr>
            <w:r>
              <w:rPr>
                <w:color w:val="000000"/>
                <w:kern w:val="0"/>
                <w:sz w:val="24"/>
                <w:szCs w:val="24"/>
              </w:rPr>
              <w:t>866,025,328.52</w:t>
            </w:r>
          </w:p>
        </w:tc>
        <w:tc>
          <w:tcPr>
            <w:vAlign w:val="center"/>
          </w:tcPr>
          <w:p>
            <w:pPr>
              <w:jc w:val="right"/>
            </w:pPr>
            <w:r>
              <w:rPr>
                <w:color w:val="000000"/>
                <w:kern w:val="0"/>
                <w:sz w:val="24"/>
                <w:szCs w:val="24"/>
              </w:rPr>
              <w:t>9.93</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002050</w:t>
            </w:r>
          </w:p>
        </w:tc>
        <w:tc>
          <w:tcPr>
            <w:vAlign w:val="center"/>
          </w:tcPr>
          <w:p>
            <w:pPr>
              <w:jc w:val="center"/>
            </w:pPr>
            <w:r>
              <w:rPr>
                <w:color w:val="000000"/>
                <w:kern w:val="0"/>
                <w:sz w:val="24"/>
                <w:szCs w:val="24"/>
              </w:rPr>
              <w:t>三花智控</w:t>
            </w:r>
          </w:p>
        </w:tc>
        <w:tc>
          <w:tcPr>
            <w:vAlign w:val="center"/>
          </w:tcPr>
          <w:p>
            <w:pPr>
              <w:jc w:val="right"/>
            </w:pPr>
            <w:r>
              <w:rPr>
                <w:color w:val="000000"/>
                <w:kern w:val="0"/>
                <w:sz w:val="24"/>
                <w:szCs w:val="24"/>
              </w:rPr>
              <w:t>39,181,947</w:t>
            </w:r>
          </w:p>
        </w:tc>
        <w:tc>
          <w:tcPr>
            <w:vAlign w:val="center"/>
          </w:tcPr>
          <w:p>
            <w:pPr>
              <w:jc w:val="right"/>
            </w:pPr>
            <w:r>
              <w:rPr>
                <w:color w:val="000000"/>
                <w:kern w:val="0"/>
                <w:sz w:val="24"/>
                <w:szCs w:val="24"/>
              </w:rPr>
              <w:t>858,084,639.30</w:t>
            </w:r>
          </w:p>
        </w:tc>
        <w:tc>
          <w:tcPr>
            <w:vAlign w:val="center"/>
          </w:tcPr>
          <w:p>
            <w:pPr>
              <w:jc w:val="right"/>
            </w:pPr>
            <w:r>
              <w:rPr>
                <w:color w:val="000000"/>
                <w:kern w:val="0"/>
                <w:sz w:val="24"/>
                <w:szCs w:val="24"/>
              </w:rPr>
              <w:t>9.84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300750</w:t>
            </w:r>
          </w:p>
        </w:tc>
        <w:tc>
          <w:tcPr>
            <w:vAlign w:val="center"/>
          </w:tcPr>
          <w:p>
            <w:pPr>
              <w:jc w:val="center"/>
            </w:pPr>
            <w:r>
              <w:rPr>
                <w:color w:val="000000"/>
                <w:kern w:val="0"/>
                <w:sz w:val="24"/>
                <w:szCs w:val="24"/>
              </w:rPr>
              <w:t>宁德时代</w:t>
            </w:r>
          </w:p>
        </w:tc>
        <w:tc>
          <w:tcPr>
            <w:vAlign w:val="center"/>
          </w:tcPr>
          <w:p>
            <w:pPr>
              <w:jc w:val="right"/>
            </w:pPr>
            <w:r>
              <w:rPr>
                <w:color w:val="000000"/>
                <w:kern w:val="0"/>
                <w:sz w:val="24"/>
                <w:szCs w:val="24"/>
              </w:rPr>
              <w:t>3,891,590</w:t>
            </w:r>
          </w:p>
        </w:tc>
        <w:tc>
          <w:tcPr>
            <w:vAlign w:val="center"/>
          </w:tcPr>
          <w:p>
            <w:pPr>
              <w:jc w:val="right"/>
            </w:pPr>
            <w:r>
              <w:rPr>
                <w:color w:val="000000"/>
                <w:kern w:val="0"/>
                <w:sz w:val="24"/>
                <w:szCs w:val="24"/>
              </w:rPr>
              <w:t>678,537,632.40</w:t>
            </w:r>
          </w:p>
        </w:tc>
        <w:tc>
          <w:tcPr>
            <w:vAlign w:val="center"/>
          </w:tcPr>
          <w:p>
            <w:pPr>
              <w:jc w:val="right"/>
            </w:pPr>
            <w:r>
              <w:rPr>
                <w:color w:val="000000"/>
                <w:kern w:val="0"/>
                <w:sz w:val="24"/>
                <w:szCs w:val="24"/>
              </w:rPr>
              <w:t>7.78</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002850</w:t>
            </w:r>
          </w:p>
        </w:tc>
        <w:tc>
          <w:tcPr>
            <w:vAlign w:val="center"/>
          </w:tcPr>
          <w:p>
            <w:pPr>
              <w:jc w:val="center"/>
            </w:pPr>
            <w:r>
              <w:rPr>
                <w:color w:val="000000"/>
                <w:kern w:val="0"/>
                <w:sz w:val="24"/>
                <w:szCs w:val="24"/>
              </w:rPr>
              <w:t>科达利</w:t>
            </w:r>
          </w:p>
        </w:tc>
        <w:tc>
          <w:tcPr>
            <w:vAlign w:val="center"/>
          </w:tcPr>
          <w:p>
            <w:pPr>
              <w:jc w:val="right"/>
            </w:pPr>
            <w:r>
              <w:rPr>
                <w:color w:val="000000"/>
                <w:kern w:val="0"/>
                <w:sz w:val="24"/>
                <w:szCs w:val="24"/>
              </w:rPr>
              <w:t>6,350,998</w:t>
            </w:r>
          </w:p>
        </w:tc>
        <w:tc>
          <w:tcPr>
            <w:vAlign w:val="center"/>
          </w:tcPr>
          <w:p>
            <w:pPr>
              <w:jc w:val="right"/>
            </w:pPr>
            <w:r>
              <w:rPr>
                <w:color w:val="000000"/>
                <w:kern w:val="0"/>
                <w:sz w:val="24"/>
                <w:szCs w:val="24"/>
              </w:rPr>
              <w:t>439,489,061.60</w:t>
            </w:r>
          </w:p>
        </w:tc>
        <w:tc>
          <w:tcPr>
            <w:vAlign w:val="center"/>
          </w:tcPr>
          <w:p>
            <w:pPr>
              <w:jc w:val="right"/>
            </w:pPr>
            <w:r>
              <w:rPr>
                <w:color w:val="000000"/>
                <w:kern w:val="0"/>
                <w:sz w:val="24"/>
                <w:szCs w:val="24"/>
              </w:rPr>
              <w:t>5.04</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300770</w:t>
            </w:r>
          </w:p>
        </w:tc>
        <w:tc>
          <w:tcPr>
            <w:vAlign w:val="center"/>
          </w:tcPr>
          <w:p>
            <w:pPr>
              <w:jc w:val="center"/>
            </w:pPr>
            <w:r>
              <w:rPr>
                <w:color w:val="000000"/>
                <w:kern w:val="0"/>
                <w:sz w:val="24"/>
                <w:szCs w:val="24"/>
              </w:rPr>
              <w:t>新媒股份</w:t>
            </w:r>
          </w:p>
        </w:tc>
        <w:tc>
          <w:tcPr>
            <w:vAlign w:val="center"/>
          </w:tcPr>
          <w:p>
            <w:pPr>
              <w:jc w:val="right"/>
            </w:pPr>
            <w:r>
              <w:rPr>
                <w:color w:val="000000"/>
                <w:kern w:val="0"/>
                <w:sz w:val="24"/>
                <w:szCs w:val="24"/>
              </w:rPr>
              <w:t>1,790,226</w:t>
            </w:r>
          </w:p>
        </w:tc>
        <w:tc>
          <w:tcPr>
            <w:vAlign w:val="center"/>
          </w:tcPr>
          <w:p>
            <w:pPr>
              <w:jc w:val="right"/>
            </w:pPr>
            <w:r>
              <w:rPr>
                <w:color w:val="000000"/>
                <w:kern w:val="0"/>
                <w:sz w:val="24"/>
                <w:szCs w:val="24"/>
              </w:rPr>
              <w:t>400,401,947.16</w:t>
            </w:r>
          </w:p>
        </w:tc>
        <w:tc>
          <w:tcPr>
            <w:vAlign w:val="center"/>
          </w:tcPr>
          <w:p>
            <w:pPr>
              <w:jc w:val="right"/>
            </w:pPr>
            <w:r>
              <w:rPr>
                <w:color w:val="000000"/>
                <w:kern w:val="0"/>
                <w:sz w:val="24"/>
                <w:szCs w:val="24"/>
              </w:rPr>
              <w:t>4.59</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300496</w:t>
            </w:r>
          </w:p>
        </w:tc>
        <w:tc>
          <w:tcPr>
            <w:vAlign w:val="center"/>
          </w:tcPr>
          <w:p>
            <w:pPr>
              <w:jc w:val="center"/>
            </w:pPr>
            <w:r>
              <w:rPr>
                <w:color w:val="000000"/>
                <w:kern w:val="0"/>
                <w:sz w:val="24"/>
                <w:szCs w:val="24"/>
              </w:rPr>
              <w:t>中科创达</w:t>
            </w:r>
          </w:p>
        </w:tc>
        <w:tc>
          <w:tcPr>
            <w:vAlign w:val="center"/>
          </w:tcPr>
          <w:p>
            <w:pPr>
              <w:jc w:val="right"/>
            </w:pPr>
            <w:r>
              <w:rPr>
                <w:color w:val="000000"/>
                <w:kern w:val="0"/>
                <w:sz w:val="24"/>
                <w:szCs w:val="24"/>
              </w:rPr>
              <w:t>4,851,334</w:t>
            </w:r>
          </w:p>
        </w:tc>
        <w:tc>
          <w:tcPr>
            <w:vAlign w:val="center"/>
          </w:tcPr>
          <w:p>
            <w:pPr>
              <w:jc w:val="right"/>
            </w:pPr>
            <w:r>
              <w:rPr>
                <w:color w:val="000000"/>
                <w:kern w:val="0"/>
                <w:sz w:val="24"/>
                <w:szCs w:val="24"/>
              </w:rPr>
              <w:t>376,948,651.80</w:t>
            </w:r>
          </w:p>
        </w:tc>
        <w:tc>
          <w:tcPr>
            <w:vAlign w:val="center"/>
          </w:tcPr>
          <w:p>
            <w:pPr>
              <w:jc w:val="right"/>
            </w:pPr>
            <w:r>
              <w:rPr>
                <w:color w:val="000000"/>
                <w:kern w:val="0"/>
                <w:sz w:val="24"/>
                <w:szCs w:val="24"/>
              </w:rPr>
              <w:t>4.32</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002475</w:t>
            </w:r>
          </w:p>
        </w:tc>
        <w:tc>
          <w:tcPr>
            <w:vAlign w:val="center"/>
          </w:tcPr>
          <w:p>
            <w:pPr>
              <w:jc w:val="center"/>
            </w:pPr>
            <w:r>
              <w:rPr>
                <w:color w:val="000000"/>
                <w:kern w:val="0"/>
                <w:sz w:val="24"/>
                <w:szCs w:val="24"/>
              </w:rPr>
              <w:t>立讯精密</w:t>
            </w:r>
          </w:p>
        </w:tc>
        <w:tc>
          <w:tcPr>
            <w:vAlign w:val="center"/>
          </w:tcPr>
          <w:p>
            <w:pPr>
              <w:jc w:val="right"/>
            </w:pPr>
            <w:r>
              <w:rPr>
                <w:color w:val="000000"/>
                <w:kern w:val="0"/>
                <w:sz w:val="24"/>
                <w:szCs w:val="24"/>
              </w:rPr>
              <w:t>6,737,031</w:t>
            </w:r>
          </w:p>
        </w:tc>
        <w:tc>
          <w:tcPr>
            <w:vAlign w:val="center"/>
          </w:tcPr>
          <w:p>
            <w:pPr>
              <w:jc w:val="right"/>
            </w:pPr>
            <w:r>
              <w:rPr>
                <w:color w:val="000000"/>
                <w:kern w:val="0"/>
                <w:sz w:val="24"/>
                <w:szCs w:val="24"/>
              </w:rPr>
              <w:t>345,946,541.85</w:t>
            </w:r>
          </w:p>
        </w:tc>
        <w:tc>
          <w:tcPr>
            <w:vAlign w:val="center"/>
          </w:tcPr>
          <w:p>
            <w:pPr>
              <w:jc w:val="right"/>
            </w:pPr>
            <w:r>
              <w:rPr>
                <w:color w:val="000000"/>
                <w:kern w:val="0"/>
                <w:sz w:val="24"/>
                <w:szCs w:val="24"/>
              </w:rPr>
              <w:t>3.97</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300037</w:t>
            </w:r>
          </w:p>
        </w:tc>
        <w:tc>
          <w:tcPr>
            <w:vAlign w:val="center"/>
          </w:tcPr>
          <w:p>
            <w:pPr>
              <w:jc w:val="center"/>
            </w:pPr>
            <w:r>
              <w:rPr>
                <w:color w:val="000000"/>
                <w:kern w:val="0"/>
                <w:sz w:val="24"/>
                <w:szCs w:val="24"/>
              </w:rPr>
              <w:t>新宙邦</w:t>
            </w:r>
          </w:p>
        </w:tc>
        <w:tc>
          <w:tcPr>
            <w:vAlign w:val="center"/>
          </w:tcPr>
          <w:p>
            <w:pPr>
              <w:jc w:val="right"/>
            </w:pPr>
            <w:r>
              <w:rPr>
                <w:color w:val="000000"/>
                <w:kern w:val="0"/>
                <w:sz w:val="24"/>
                <w:szCs w:val="24"/>
              </w:rPr>
              <w:t>5,120,081</w:t>
            </w:r>
          </w:p>
        </w:tc>
        <w:tc>
          <w:tcPr>
            <w:vAlign w:val="center"/>
          </w:tcPr>
          <w:p>
            <w:pPr>
              <w:jc w:val="right"/>
            </w:pPr>
            <w:r>
              <w:rPr>
                <w:color w:val="000000"/>
                <w:kern w:val="0"/>
                <w:sz w:val="24"/>
                <w:szCs w:val="24"/>
              </w:rPr>
              <w:t>281,911,659.86</w:t>
            </w:r>
          </w:p>
        </w:tc>
        <w:tc>
          <w:tcPr>
            <w:vAlign w:val="center"/>
          </w:tcPr>
          <w:p>
            <w:pPr>
              <w:jc w:val="right"/>
            </w:pPr>
            <w:r>
              <w:rPr>
                <w:color w:val="000000"/>
                <w:kern w:val="0"/>
                <w:sz w:val="24"/>
                <w:szCs w:val="24"/>
              </w:rPr>
              <w:t>3.23</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300033</w:t>
            </w:r>
          </w:p>
        </w:tc>
        <w:tc>
          <w:tcPr>
            <w:vAlign w:val="center"/>
          </w:tcPr>
          <w:p>
            <w:pPr>
              <w:jc w:val="center"/>
            </w:pPr>
            <w:r>
              <w:rPr>
                <w:color w:val="000000"/>
                <w:kern w:val="0"/>
                <w:sz w:val="24"/>
                <w:szCs w:val="24"/>
              </w:rPr>
              <w:t>同花顺</w:t>
            </w:r>
          </w:p>
        </w:tc>
        <w:tc>
          <w:tcPr>
            <w:vAlign w:val="center"/>
          </w:tcPr>
          <w:p>
            <w:pPr>
              <w:jc w:val="right"/>
            </w:pPr>
            <w:r>
              <w:rPr>
                <w:color w:val="000000"/>
                <w:kern w:val="0"/>
                <w:sz w:val="24"/>
                <w:szCs w:val="24"/>
              </w:rPr>
              <w:t>2,038,872</w:t>
            </w:r>
          </w:p>
        </w:tc>
        <w:tc>
          <w:tcPr>
            <w:vAlign w:val="center"/>
          </w:tcPr>
          <w:p>
            <w:pPr>
              <w:jc w:val="right"/>
            </w:pPr>
            <w:r>
              <w:rPr>
                <w:color w:val="000000"/>
                <w:kern w:val="0"/>
                <w:sz w:val="24"/>
                <w:szCs w:val="24"/>
              </w:rPr>
              <w:t>271,333,085.76</w:t>
            </w:r>
          </w:p>
        </w:tc>
        <w:tc>
          <w:tcPr>
            <w:vAlign w:val="center"/>
          </w:tcPr>
          <w:p>
            <w:pPr>
              <w:jc w:val="right"/>
            </w:pPr>
            <w:r>
              <w:rPr>
                <w:color w:val="000000"/>
                <w:kern w:val="0"/>
                <w:sz w:val="24"/>
                <w:szCs w:val="24"/>
              </w:rPr>
              <w:t>3.11</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002384</w:t>
            </w:r>
          </w:p>
        </w:tc>
        <w:tc>
          <w:tcPr>
            <w:vAlign w:val="center"/>
          </w:tcPr>
          <w:p>
            <w:pPr>
              <w:jc w:val="center"/>
            </w:pPr>
            <w:r>
              <w:rPr>
                <w:color w:val="000000"/>
                <w:kern w:val="0"/>
                <w:sz w:val="24"/>
                <w:szCs w:val="24"/>
              </w:rPr>
              <w:t>东山精密</w:t>
            </w:r>
          </w:p>
        </w:tc>
        <w:tc>
          <w:tcPr>
            <w:vAlign w:val="center"/>
          </w:tcPr>
          <w:p>
            <w:pPr>
              <w:jc w:val="right"/>
            </w:pPr>
            <w:r>
              <w:rPr>
                <w:color w:val="000000"/>
                <w:kern w:val="0"/>
                <w:sz w:val="24"/>
                <w:szCs w:val="24"/>
              </w:rPr>
              <w:t>8,350,985</w:t>
            </w:r>
          </w:p>
        </w:tc>
        <w:tc>
          <w:tcPr>
            <w:vAlign w:val="center"/>
          </w:tcPr>
          <w:p>
            <w:pPr>
              <w:jc w:val="right"/>
            </w:pPr>
            <w:r>
              <w:rPr>
                <w:color w:val="000000"/>
                <w:kern w:val="0"/>
                <w:sz w:val="24"/>
                <w:szCs w:val="24"/>
              </w:rPr>
              <w:t>250,112,000.75</w:t>
            </w:r>
          </w:p>
        </w:tc>
        <w:tc>
          <w:tcPr>
            <w:vAlign w:val="center"/>
          </w:tcPr>
          <w:p>
            <w:pPr>
              <w:jc w:val="right"/>
            </w:pPr>
            <w:r>
              <w:rPr>
                <w:color w:val="000000"/>
                <w:kern w:val="0"/>
                <w:sz w:val="24"/>
                <w:szCs w:val="24"/>
              </w:rPr>
              <w:t>2.87</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8,500,929.63</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0.10</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8,500,929.63</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0.10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123041</w:t>
            </w:r>
          </w:p>
        </w:tc>
        <w:tc>
          <w:tcPr>
            <w:vAlign w:val="center"/>
          </w:tcPr>
          <w:p>
            <w:pPr>
              <w:jc w:val="center"/>
            </w:pPr>
            <w:r>
              <w:rPr>
                <w:color w:val="000000"/>
                <w:kern w:val="0"/>
                <w:sz w:val="24"/>
                <w:szCs w:val="24"/>
              </w:rPr>
              <w:t>东财转2</w:t>
            </w:r>
          </w:p>
        </w:tc>
        <w:tc>
          <w:tcPr>
            <w:vAlign w:val="center"/>
          </w:tcPr>
          <w:p>
            <w:pPr>
              <w:jc w:val="right"/>
            </w:pPr>
            <w:r>
              <w:rPr>
                <w:color w:val="000000"/>
                <w:kern w:val="0"/>
                <w:sz w:val="24"/>
                <w:szCs w:val="24"/>
              </w:rPr>
              <w:t>56,361</w:t>
            </w:r>
          </w:p>
        </w:tc>
        <w:tc>
          <w:tcPr>
            <w:vAlign w:val="center"/>
          </w:tcPr>
          <w:p>
            <w:pPr>
              <w:jc w:val="right"/>
            </w:pPr>
            <w:r>
              <w:rPr>
                <w:color w:val="000000"/>
                <w:kern w:val="0"/>
                <w:sz w:val="24"/>
                <w:szCs w:val="24"/>
              </w:rPr>
              <w:t>8,500,929.63</w:t>
            </w:r>
          </w:p>
        </w:tc>
        <w:tc>
          <w:tcPr>
            <w:vAlign w:val="center"/>
          </w:tcPr>
          <w:p>
            <w:pPr>
              <w:jc w:val="right"/>
            </w:pPr>
            <w:r>
              <w:rPr>
                <w:color w:val="000000"/>
                <w:kern w:val="0"/>
                <w:sz w:val="24"/>
                <w:szCs w:val="24"/>
              </w:rPr>
              <w:t>0.10</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本基金投资的前十名证券的发行主体本期没有出现被监管部门立案调查，或在报告编制日前一年内受到公开谴责、处罚的情形。</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2,685,693.42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67,653.10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127,242,158.73</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129,995,505.25</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本基金本报告期末未持有处于转股期的可转换债券。</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2,174,421,307.29</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731,971,613.03</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783,684,287.20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2,122,708,633.12</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 xml:space="preserve">本报告期内基金管理人未持有本基金份额。 </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xml:space="preserve">本报告期内基金管理人未运用固有资金申购、赎回、买卖本基金份额。 </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1.中国证监会核准易方达新兴成长灵活配置混合型证券投资基金募集的文件；</w:t>
      </w:r>
    </w:p>
    <w:p>
      <w:pPr>
        <w:spacing w:line="360" w:lineRule="auto"/>
        <w:ind w:firstLine="480" w:firstLineChars="200"/>
        <w:rPr>
          <w:color w:val="000000"/>
          <w:sz w:val="24"/>
          <w:szCs w:val="24"/>
        </w:rPr>
      </w:pPr>
      <w:r>
        <w:rPr>
          <w:color w:val="000000"/>
          <w:sz w:val="24"/>
          <w:szCs w:val="24"/>
        </w:rPr>
        <w:t>2.《易方达新兴成长灵活配置混合型证券投资基金基金合同》；</w:t>
      </w:r>
    </w:p>
    <w:p>
      <w:pPr>
        <w:spacing w:line="360" w:lineRule="auto"/>
        <w:ind w:firstLine="480" w:firstLineChars="200"/>
        <w:rPr>
          <w:color w:val="000000"/>
          <w:sz w:val="24"/>
          <w:szCs w:val="24"/>
        </w:rPr>
      </w:pPr>
      <w:r>
        <w:rPr>
          <w:color w:val="000000"/>
          <w:sz w:val="24"/>
          <w:szCs w:val="24"/>
        </w:rPr>
        <w:t>3.《易方达新兴成长灵活配置混合型证券投资基金托管协议》；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易方达新兴成长灵活配置混合型证券投资基金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