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9A2283" w:rsidR="009A2283" w:rsidRDefault="009A2283" w:rsidRPr="00D3639B">
      <w:pPr>
        <w:autoSpaceDE w:val="0"/>
        <w:autoSpaceDN w:val="0"/>
        <w:adjustRightInd w:val="0"/>
        <w:spacing w:line="360" w:lineRule="auto"/>
        <w:jc w:val="left"/>
        <w:rPr>
          <w:rFonts w:eastAsiaTheme="minorEastAsia"/>
          <w:color w:themeColor="text1" w:val="000000"/>
          <w:kern w:val="0"/>
          <w:szCs w:val="21"/>
        </w:rPr>
      </w:pPr>
    </w:p>
    <w:p w:rsidP="009A2283" w:rsidR="009A2283" w:rsidRDefault="009A2283" w:rsidRPr="00D3639B">
      <w:pPr>
        <w:autoSpaceDE w:val="0"/>
        <w:autoSpaceDN w:val="0"/>
        <w:adjustRightInd w:val="0"/>
        <w:spacing w:line="360" w:lineRule="auto"/>
        <w:jc w:val="left"/>
        <w:rPr>
          <w:rFonts w:eastAsiaTheme="minorEastAsia"/>
          <w:color w:themeColor="text1" w:val="000000"/>
          <w:kern w:val="0"/>
          <w:szCs w:val="21"/>
        </w:rPr>
      </w:pPr>
    </w:p>
    <w:p w:rsidP="009A2283" w:rsidR="00FC7F43" w:rsidRDefault="00FC7F43" w:rsidRPr="00D3639B">
      <w:pPr>
        <w:autoSpaceDE w:val="0"/>
        <w:autoSpaceDN w:val="0"/>
        <w:adjustRightInd w:val="0"/>
        <w:spacing w:line="360" w:lineRule="auto"/>
        <w:jc w:val="left"/>
        <w:rPr>
          <w:rFonts w:eastAsiaTheme="minorEastAsia"/>
          <w:color w:themeColor="text1" w:val="000000"/>
          <w:kern w:val="0"/>
          <w:szCs w:val="21"/>
        </w:rPr>
      </w:pPr>
    </w:p>
    <w:p w:rsidP="009A2283" w:rsidR="009A2283" w:rsidRDefault="009A2283" w:rsidRPr="00D3639B">
      <w:pPr>
        <w:autoSpaceDE w:val="0"/>
        <w:autoSpaceDN w:val="0"/>
        <w:adjustRightInd w:val="0"/>
        <w:spacing w:line="360" w:lineRule="auto"/>
        <w:jc w:val="left"/>
        <w:rPr>
          <w:rFonts w:eastAsiaTheme="minorEastAsia"/>
          <w:color w:themeColor="text1" w:val="000000"/>
          <w:kern w:val="0"/>
          <w:szCs w:val="21"/>
        </w:rPr>
      </w:pPr>
    </w:p>
    <w:p w:rsidP="009A2283" w:rsidR="009A2283" w:rsidRDefault="009A2283" w:rsidRPr="00D3639B">
      <w:pPr>
        <w:autoSpaceDE w:val="0"/>
        <w:autoSpaceDN w:val="0"/>
        <w:adjustRightInd w:val="0"/>
        <w:spacing w:line="360" w:lineRule="auto"/>
        <w:jc w:val="left"/>
        <w:rPr>
          <w:rFonts w:eastAsiaTheme="minorEastAsia"/>
          <w:color w:themeColor="text1" w:val="000000"/>
          <w:kern w:val="0"/>
          <w:szCs w:val="21"/>
        </w:rPr>
      </w:pPr>
    </w:p>
    <w:p w:rsidP="00FC13C8" w:rsidR="009A2283" w:rsidRDefault="002D2A00" w:rsidRPr="00D3639B">
      <w:pPr>
        <w:spacing w:line="360" w:lineRule="auto"/>
        <w:jc w:val="center"/>
        <w:rPr>
          <w:rFonts w:eastAsiaTheme="minorEastAsia"/>
          <w:b/>
          <w:color w:themeColor="text1" w:val="000000"/>
          <w:sz w:val="36"/>
          <w:szCs w:val="36"/>
        </w:rPr>
      </w:pPr>
      <w:r w:rsidRPr="00D3639B">
        <w:rPr>
          <w:rFonts w:eastAsiaTheme="minorEastAsia"/>
          <w:b/>
          <w:color w:themeColor="text1" w:val="000000"/>
          <w:sz w:val="36"/>
          <w:szCs w:val="36"/>
        </w:rPr>
        <w:t/>
      </w:r>
      <w:proofErr w:type="spellStart"/>
      <w:proofErr w:type="gramStart"/>
      <w:r w:rsidRPr="00D3639B">
        <w:rPr>
          <w:rFonts w:eastAsiaTheme="minorEastAsia"/>
          <w:b/>
          <w:color w:themeColor="text1" w:val="000000"/>
          <w:sz w:val="36"/>
          <w:szCs w:val="36"/>
        </w:rPr>
        <w:t/>
      </w:r>
      <w:proofErr w:type="spellEnd"/>
      <w:proofErr w:type="gramEnd"/>
      <w:r w:rsidRPr="00D3639B">
        <w:rPr>
          <w:rFonts w:eastAsiaTheme="minorEastAsia"/>
          <w:b/>
          <w:color w:themeColor="text1" w:val="000000"/>
          <w:sz w:val="36"/>
          <w:szCs w:val="36"/>
        </w:rPr>
        <w:t>易方达黄金交易型开放式证券投资基金联接基金</w:t>
      </w:r>
    </w:p>
    <w:p w:rsidP="00FC13C8" w:rsidR="002D2A00" w:rsidRDefault="002D2A00" w:rsidRPr="00D3639B">
      <w:pPr>
        <w:spacing w:line="360" w:lineRule="auto"/>
        <w:jc w:val="center"/>
        <w:rPr>
          <w:rFonts w:eastAsiaTheme="minorEastAsia"/>
          <w:b/>
          <w:color w:themeColor="text1" w:val="000000"/>
          <w:sz w:val="36"/>
          <w:szCs w:val="36"/>
        </w:rPr>
      </w:pPr>
      <w:r w:rsidRPr="00D3639B">
        <w:rPr>
          <w:rFonts w:eastAsiaTheme="minorEastAsia"/>
          <w:b/>
          <w:color w:themeColor="text1" w:val="000000"/>
          <w:sz w:val="36"/>
          <w:szCs w:val="36"/>
        </w:rPr>
        <w:t/>
      </w:r>
      <w:proofErr w:type="spellStart"/>
      <w:r w:rsidRPr="00D3639B">
        <w:rPr>
          <w:rFonts w:eastAsiaTheme="minorEastAsia"/>
          <w:b/>
          <w:color w:themeColor="text1" w:val="000000"/>
          <w:sz w:val="36"/>
          <w:szCs w:val="36"/>
        </w:rPr>
        <w:t/>
      </w:r>
      <w:proofErr w:type="spellEnd"/>
      <w:r w:rsidRPr="00D3639B">
        <w:rPr>
          <w:rFonts w:eastAsiaTheme="minorEastAsia"/>
          <w:b/>
          <w:color w:themeColor="text1" w:val="000000"/>
          <w:sz w:val="36"/>
          <w:szCs w:val="36"/>
        </w:rPr>
        <w:t>2020年第2季度报告</w:t>
      </w:r>
    </w:p>
    <w:p w:rsidP="00FC13C8" w:rsidR="009A2283" w:rsidRDefault="00577209" w:rsidRPr="00D3639B">
      <w:pPr>
        <w:spacing w:line="360" w:lineRule="auto"/>
        <w:jc w:val="center"/>
        <w:rPr>
          <w:rFonts w:eastAsiaTheme="minorEastAsia"/>
          <w:b/>
          <w:color w:themeColor="text1" w:val="000000"/>
          <w:sz w:val="36"/>
          <w:szCs w:val="36"/>
        </w:rPr>
      </w:pPr>
      <w:r w:rsidRPr="00D3639B">
        <w:rPr>
          <w:rFonts w:eastAsiaTheme="minorEastAsia"/>
          <w:b/>
          <w:color w:themeColor="text1" w:val="000000"/>
          <w:sz w:val="36"/>
          <w:szCs w:val="36"/>
        </w:rPr>
        <w:t/>
      </w:r>
      <w:proofErr w:type="spellStart"/>
      <w:proofErr w:type="gramStart"/>
      <w:r w:rsidRPr="00D3639B">
        <w:rPr>
          <w:rFonts w:eastAsiaTheme="minorEastAsia"/>
          <w:b/>
          <w:color w:themeColor="text1" w:val="000000"/>
          <w:sz w:val="36"/>
          <w:szCs w:val="36"/>
        </w:rPr>
        <w:t/>
      </w:r>
      <w:proofErr w:type="spellEnd"/>
      <w:proofErr w:type="gramEnd"/>
      <w:r w:rsidR="00121533" w:rsidRPr="00D3639B">
        <w:rPr>
          <w:rFonts w:eastAsiaTheme="minorEastAsia"/>
          <w:b/>
          <w:color w:themeColor="text1" w:val="000000"/>
          <w:sz w:val="36"/>
          <w:szCs w:val="36"/>
        </w:rPr>
        <w:t>2020年6月30日</w:t>
      </w: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E27360" w:rsidR="009A2283" w:rsidRDefault="009A2283" w:rsidRPr="00D3639B">
      <w:pPr>
        <w:spacing w:line="360" w:lineRule="auto"/>
        <w:jc w:val="center"/>
        <w:rPr>
          <w:rFonts w:eastAsiaTheme="minorEastAsia"/>
          <w:b/>
          <w:color w:themeColor="text1" w:val="000000"/>
          <w:szCs w:val="21"/>
        </w:rPr>
      </w:pPr>
    </w:p>
    <w:p w:rsidP="00E27360" w:rsidR="00E27360" w:rsidRDefault="00E27360"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rPr>
          <w:rFonts w:eastAsiaTheme="minorEastAsia"/>
          <w:b/>
          <w:color w:themeColor="text1" w:val="000000"/>
          <w:szCs w:val="21"/>
        </w:rPr>
      </w:pPr>
    </w:p>
    <w:p w:rsidP="004B54B8" w:rsidR="009A2283" w:rsidRDefault="009A2283" w:rsidRPr="00D3639B">
      <w:pPr>
        <w:spacing w:line="360" w:lineRule="auto"/>
        <w:ind w:firstLine="2168" w:firstLineChars="900"/>
        <w:rPr>
          <w:rFonts w:eastAsiaTheme="minorEastAsia"/>
          <w:b/>
          <w:color w:themeColor="text1" w:val="000000"/>
          <w:sz w:val="24"/>
        </w:rPr>
      </w:pPr>
      <w:r w:rsidRPr="00D3639B">
        <w:rPr>
          <w:rFonts w:eastAsiaTheme="minorEastAsia"/>
          <w:b/>
          <w:color w:themeColor="text1" w:val="000000"/>
          <w:sz w:val="24"/>
        </w:rPr>
        <w:t>基金管理人：</w:t>
      </w:r>
      <w:r w:rsidR="00BF377F" w:rsidRPr="00D3639B">
        <w:rPr>
          <w:rFonts w:eastAsiaTheme="minorEastAsia"/>
          <w:b/>
          <w:color w:themeColor="text1" w:val="000000"/>
          <w:sz w:val="24"/>
        </w:rPr>
        <w:t/>
      </w:r>
      <w:proofErr w:type="spellStart"/>
      <w:proofErr w:type="gramStart"/>
      <w:r w:rsidR="00BF377F" w:rsidRPr="00D3639B">
        <w:rPr>
          <w:rFonts w:eastAsiaTheme="minorEastAsia"/>
          <w:b/>
          <w:color w:themeColor="text1" w:val="000000"/>
          <w:sz w:val="24"/>
        </w:rPr>
        <w:t/>
      </w:r>
      <w:proofErr w:type="spellEnd"/>
      <w:proofErr w:type="gramEnd"/>
      <w:r w:rsidR="00BF377F" w:rsidRPr="00D3639B">
        <w:rPr>
          <w:rFonts w:eastAsiaTheme="minorEastAsia"/>
          <w:b/>
          <w:color w:themeColor="text1" w:val="000000"/>
          <w:sz w:val="24"/>
        </w:rPr>
        <w:t>易方达基金管理有限公司</w:t>
      </w:r>
    </w:p>
    <w:p w:rsidP="004B54B8" w:rsidR="009A2283" w:rsidRDefault="009A2283" w:rsidRPr="00D3639B">
      <w:pPr>
        <w:spacing w:line="360" w:lineRule="auto"/>
        <w:ind w:firstLine="2168" w:firstLineChars="900"/>
        <w:rPr>
          <w:rFonts w:eastAsiaTheme="minorEastAsia"/>
          <w:b/>
          <w:color w:themeColor="text1" w:val="000000"/>
          <w:sz w:val="24"/>
        </w:rPr>
      </w:pPr>
      <w:r w:rsidRPr="00D3639B">
        <w:rPr>
          <w:rFonts w:eastAsiaTheme="minorEastAsia"/>
          <w:b/>
          <w:color w:themeColor="text1" w:val="000000"/>
          <w:sz w:val="24"/>
        </w:rPr>
        <w:t>基金托管人：</w:t>
      </w:r>
      <w:r w:rsidR="00BF377F" w:rsidRPr="00D3639B">
        <w:rPr>
          <w:rFonts w:eastAsiaTheme="minorEastAsia"/>
          <w:b/>
          <w:color w:themeColor="text1" w:val="000000"/>
          <w:sz w:val="24"/>
        </w:rPr>
        <w:t/>
      </w:r>
      <w:proofErr w:type="spellStart"/>
      <w:proofErr w:type="gramStart"/>
      <w:r w:rsidR="00BF377F" w:rsidRPr="00D3639B">
        <w:rPr>
          <w:rFonts w:eastAsiaTheme="minorEastAsia"/>
          <w:b/>
          <w:color w:themeColor="text1" w:val="000000"/>
          <w:sz w:val="24"/>
        </w:rPr>
        <w:t/>
      </w:r>
      <w:proofErr w:type="spellEnd"/>
      <w:proofErr w:type="gramEnd"/>
      <w:r w:rsidR="00BF377F" w:rsidRPr="00D3639B">
        <w:rPr>
          <w:rFonts w:eastAsiaTheme="minorEastAsia"/>
          <w:b/>
          <w:color w:themeColor="text1" w:val="000000"/>
          <w:sz w:val="24"/>
        </w:rPr>
        <w:t>中国工商银行股份有限公司</w:t>
      </w:r>
    </w:p>
    <w:p w:rsidP="004B54B8" w:rsidR="009A2283" w:rsidRDefault="009A2283" w:rsidRPr="00D3639B">
      <w:pPr>
        <w:spacing w:line="360" w:lineRule="auto"/>
        <w:ind w:firstLine="2168" w:firstLineChars="900"/>
        <w:rPr>
          <w:rFonts w:eastAsiaTheme="minorEastAsia"/>
          <w:color w:themeColor="text1" w:val="000000"/>
          <w:sz w:val="24"/>
        </w:rPr>
        <w:sectPr w:rsidR="009A2283" w:rsidRPr="00D3639B" w:rsidSect="00F7094A">
          <w:headerReference r:id="rId9" w:type="default"/>
          <w:footerReference r:id="rId10" w:type="default"/>
          <w:pgSz w:h="15840" w:w="11926"/>
          <w:pgMar w:bottom="851" w:footer="992" w:gutter="0" w:header="851" w:left="1418" w:right="1418" w:top="1418"/>
          <w:cols w:space="720"/>
          <w:noEndnote/>
        </w:sectPr>
      </w:pPr>
      <w:r w:rsidRPr="00D3639B">
        <w:rPr>
          <w:rFonts w:eastAsiaTheme="minorEastAsia"/>
          <w:b/>
          <w:color w:themeColor="text1" w:val="000000"/>
          <w:sz w:val="24"/>
        </w:rPr>
        <w:t>报告送出日期：</w:t>
      </w:r>
      <w:r w:rsidR="00D04410" w:rsidRPr="00D3639B">
        <w:rPr>
          <w:rFonts w:eastAsiaTheme="minorEastAsia"/>
          <w:b/>
          <w:color w:themeColor="text1" w:val="000000"/>
          <w:sz w:val="24"/>
        </w:rPr>
        <w:t/>
      </w:r>
      <w:proofErr w:type="spellStart"/>
      <w:proofErr w:type="gramStart"/>
      <w:r w:rsidR="00D04410" w:rsidRPr="00D3639B">
        <w:rPr>
          <w:rFonts w:eastAsiaTheme="minorEastAsia"/>
          <w:b/>
          <w:color w:themeColor="text1" w:val="000000"/>
          <w:sz w:val="24"/>
        </w:rPr>
        <w:t/>
      </w:r>
      <w:proofErr w:type="spellEnd"/>
      <w:proofErr w:type="gramEnd"/>
      <w:r w:rsidR="00D04410" w:rsidRPr="00D3639B">
        <w:rPr>
          <w:rFonts w:eastAsiaTheme="minorEastAsia"/>
          <w:b/>
          <w:color w:themeColor="text1" w:val="000000"/>
          <w:sz w:val="24"/>
        </w:rPr>
        <w:t>二〇二〇年七月二十一日</w:t>
      </w:r>
    </w:p>
    <w:p w:rsidP="00C544B8" w:rsidR="009238DB" w:rsidRDefault="009238DB" w:rsidRPr="00B34368">
      <w:pPr>
        <w:pStyle w:val="1"/>
        <w:spacing w:after="312" w:afterLines="100" w:before="312" w:beforeLines="100" w:line="360" w:lineRule="auto"/>
        <w:jc w:val="center"/>
        <w:rPr>
          <w:rFonts w:eastAsiaTheme="minorEastAsia"/>
          <w:b w:val="0"/>
          <w:color w:themeColor="text1" w:val="000000"/>
          <w:kern w:val="0"/>
          <w:sz w:val="24"/>
          <w:szCs w:val="24"/>
        </w:rPr>
      </w:pPr>
      <w:r w:rsidRPr="00B34368">
        <w:rPr>
          <w:rFonts w:eastAsiaTheme="minorEastAsia"/>
          <w:color w:themeColor="text1" w:val="000000"/>
          <w:kern w:val="0"/>
          <w:sz w:val="24"/>
          <w:szCs w:val="24"/>
        </w:rPr>
        <w:lastRenderedPageBreak/>
        <w:t xml:space="preserve">§1  </w:t>
      </w:r>
      <w:r w:rsidRPr="00B34368">
        <w:rPr>
          <w:rFonts w:eastAsiaTheme="minorEastAsia" w:hAnsiTheme="minorEastAsia"/>
          <w:color w:themeColor="text1" w:val="000000"/>
          <w:kern w:val="0"/>
          <w:sz w:val="24"/>
          <w:szCs w:val="24"/>
        </w:rPr>
        <w:t>重要提示</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 xml:space="preserve">基金托管人中国工商银行股份有限公司根据本基金合同规定，于2020年7月17日复核了本报告中的财务指标、净值表现和投资组合报告等内容，保证复核内容不存在虚假记载、误导性陈述或者重大遗漏。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 xml:space="preserve">基金管理人承诺以诚实信用、勤勉尽责的原则管理和运用基金资产，但不保证基金一定盈利。 </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 xml:space="preserve">基金的过往业绩并不代表其未来表现。投资有风险，投资者在作出投资决策前应仔细阅读本基金的招募说明书。 </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本报告中财务资料未经审计。</w:t>
      </w:r>
    </w:p>
    <w:p w:rsidP="00B34368" w:rsidR="009238DB" w:rsidRDefault="00267DA9"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本报告期自2020年4月1日起至6月30日止。</w:t>
      </w: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 xml:space="preserve">§2  </w:t>
      </w:r>
      <w:r w:rsidRPr="00B34368">
        <w:rPr>
          <w:rFonts w:eastAsiaTheme="minorEastAsia" w:hAnsiTheme="minorEastAsia"/>
          <w:color w:themeColor="text1" w:val="000000"/>
          <w:kern w:val="0"/>
          <w:sz w:val="24"/>
          <w:szCs w:val="24"/>
        </w:rPr>
        <w:t>基金产品概况</w:t>
      </w:r>
    </w:p>
    <w:p w:rsidP="002C32ED" w:rsidR="002C32ED" w:rsidRDefault="002C32ED" w:rsidRPr="00B34368">
      <w:pPr>
        <w:pStyle w:val="2"/>
        <w:keepNext w:val="0"/>
        <w:keepLines w:val="0"/>
        <w:spacing w:after="0" w:before="0"/>
        <w:rPr>
          <w:rFonts w:ascii="Times New Roman" w:cs="Times New Roman" w:eastAsiaTheme="minorEastAsia" w:hAnsi="Times New Roman"/>
          <w:color w:themeColor="text1" w:val="000000"/>
          <w:szCs w:val="24"/>
        </w:rPr>
      </w:pPr>
      <w:bookmarkStart w:id="0" w:name="_Toc245193810"/>
      <w:r w:rsidRPr="00B34368">
        <w:rPr>
          <w:rFonts w:ascii="Times New Roman" w:cs="Times New Roman" w:eastAsiaTheme="minorEastAsia" w:hAnsi="Times New Roman"/>
          <w:color w:themeColor="text1" w:val="000000"/>
          <w:szCs w:val="24"/>
        </w:rPr>
        <w:t>2.1</w:t>
      </w:r>
      <w:r w:rsidRPr="00B34368">
        <w:rPr>
          <w:rFonts w:ascii="Times New Roman" w:cs="Times New Roman" w:eastAsiaTheme="minorEastAsia" w:hAnsiTheme="minorEastAsia"/>
          <w:color w:themeColor="text1" w:val="000000"/>
          <w:szCs w:val="24"/>
        </w:rPr>
        <w:t>基金产品概况</w:t>
      </w:r>
      <w:bookmarkEnd w:id="0"/>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基金简称</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易方达黄金ETF联接</w:t>
            </w:r>
          </w:p>
        </w:tc>
      </w:tr>
      <w:tr w:rsidR="00D3639B" w:rsidRPr="00B34368" w:rsidTr="004E70B7">
        <w:tc>
          <w:tcPr>
            <w:tcW w:type="dxa" w:w="2835"/>
          </w:tcPr>
          <w:p w:rsidP="00E205AA" w:rsidR="00B95753" w:rsidRDefault="00B95753"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基金主代码</w:t>
            </w:r>
          </w:p>
        </w:tc>
        <w:tc>
          <w:tcPr>
            <w:tcW w:type="dxa" w:w="5479"/>
            <w:gridSpan w:val="2"/>
          </w:tcPr>
          <w:p w:rsidP="00E205AA" w:rsidR="00B95753" w:rsidRDefault="00B95753"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000307</w:t>
            </w:r>
          </w:p>
        </w:tc>
      </w:tr>
      <w:tr w:rsidR="00D3639B" w:rsidRPr="00B34368" w:rsidTr="004E70B7">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基金运作方式</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契约型开放式</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基金合同生效日</w:t>
            </w:r>
          </w:p>
        </w:tc>
        <w:tc>
          <w:tcPr>
            <w:tcW w:type="dxa" w:w="5479"/>
            <w:gridSpan w:val="2"/>
          </w:tcPr>
          <w:p w:rsidP="00121533" w:rsidR="00A6200E" w:rsidRDefault="00121533"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2016年5月26日</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报告期末基金份额总额</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1,873,427,121.73</w:t>
            </w:r>
            <w:r w:rsidR="0060758A" w:rsidRPr="00B34368">
              <w:rPr>
                <w:rFonts w:eastAsiaTheme="minorEastAsia" w:hAnsiTheme="minorEastAsia"/>
                <w:color w:themeColor="text1" w:val="000000"/>
                <w:kern w:val="0"/>
                <w:sz w:val="24"/>
              </w:rPr>
              <w:t>份</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投资目标</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紧密跟踪业绩比较基准，追求跟踪偏离度与跟踪误差最小化。</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投资策略</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本基金主要通过投资于目标ETF追踪业绩比较基准的表现，力争将日均跟踪偏离度的绝对值控制在0.35%以内，年化跟踪误差控制在4%以内。本基金投资于目标ETF的比例不低于基金资产净值的90%，且不低于非现金基金资产的80%。在投资运作过程中，本基金将在综合考虑合规、风险、效率、成本等因素的基础上，决定采用一级市场申购、赎回的方式或证券二级市场交易的方式参与易方达黄金ETF交易。为更好地追踪业绩比较基准表现，当黄金现货实盘合约流动性不足或黄金现货延期交收合约投资成本更低时，本基金可适当投资于黄金现货延期交收合约。</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业绩比较基准</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按上海黄金交易所Au99.99现货实盘合约收盘价计算的收益率×95%＋活期存款利率（税后）×5%</w:t>
            </w:r>
          </w:p>
        </w:tc>
      </w:tr>
      <w:tr w:rsidR="00D3639B" w:rsidRPr="00B34368" w:rsidTr="009A045B">
        <w:tc>
          <w:tcPr>
            <w:tcW w:type="dxa" w:w="2835"/>
          </w:tcPr>
          <w:p w:rsidP="00E205AA" w:rsidR="00846C2B" w:rsidRDefault="00846C2B"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风险收益特征</w:t>
            </w:r>
          </w:p>
        </w:tc>
        <w:tc>
          <w:tcPr>
            <w:tcW w:type="dxa" w:w="5479"/>
            <w:gridSpan w:val="2"/>
          </w:tcPr>
          <w:p w:rsidP="00E205AA" w:rsidR="00846C2B" w:rsidRDefault="00846C2B"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本基金为易方达黄金ETF的联接基金。长期来看，本基金具有与目标ETF及其所代表的国内黄金现货品种的风险收益类似的风险收益特征。</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基金管理人</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易方达基金管理有限公司</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基金托管人</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中国工商银行股份有限公司</w:t>
            </w:r>
          </w:p>
        </w:tc>
      </w:tr>
      <w:tr w:rsidR="00D3639B" w:rsidRPr="00B34368" w:rsidTr="00950413">
        <w:tc>
          <w:tcPr>
            <w:tcW w:type="dxa" w:w="2835"/>
          </w:tcPr>
          <w:p w:rsidP="00E205AA" w:rsidR="00950413" w:rsidRDefault="00075E4E" w:rsidRPr="00B34368">
            <w:pPr>
              <w:adjustRightInd w:val="0"/>
              <w:spacing w:before="29" w:line="360" w:lineRule="auto"/>
              <w:ind w:left="17"/>
              <w:jc w:val="left"/>
              <w:rPr>
                <w:rFonts w:eastAsiaTheme="minorEastAsia"/>
                <w:color w:themeColor="text1" w:val="000000"/>
                <w:kern w:val="0"/>
                <w:sz w:val="24"/>
              </w:rPr>
            </w:pPr>
            <w:r>
              <w:rPr>
                <w:rFonts w:eastAsiaTheme="minorEastAsia" w:hAnsiTheme="minorEastAsia"/>
                <w:color w:themeColor="text1" w:val="000000"/>
                <w:sz w:val="24"/>
              </w:rPr>
              <w:t>下属</w:t>
            </w:r>
            <w:r>
              <w:rPr>
                <w:rFonts w:eastAsiaTheme="minorEastAsia" w:hAnsiTheme="minorEastAsia" w:hint="eastAsia"/>
                <w:color w:themeColor="text1" w:val="000000"/>
                <w:sz w:val="24"/>
              </w:rPr>
              <w:t>分</w:t>
            </w:r>
            <w:r w:rsidR="00950413" w:rsidRPr="00B34368">
              <w:rPr>
                <w:rFonts w:eastAsiaTheme="minorEastAsia" w:hAnsiTheme="minorEastAsia"/>
                <w:color w:themeColor="text1" w:val="000000"/>
                <w:sz w:val="24"/>
              </w:rPr>
              <w:t>级基金的基金简称</w:t>
            </w:r>
          </w:p>
        </w:tc>
        <w:tc>
          <w:tcPr>
            <w:tcW w:type="dxa" w:w="2739"/>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t/>
            </w:r>
            <w:r w:rsidR="00AF24AA" w:rsidRPr="00B34368">
              <w:rPr>
                <w:rFonts w:eastAsiaTheme="minorEastAsia"/>
                <w:color w:themeColor="text1" w:val="000000"/>
                <w:kern w:val="0"/>
                <w:sz w:val="24"/>
              </w:rPr>
              <w:t/>
            </w:r>
            <w:proofErr w:type="spellStart"/>
            <w:r w:rsidR="00AF24AA" w:rsidRPr="00B34368">
              <w:rPr>
                <w:rFonts w:eastAsiaTheme="minorEastAsia"/>
                <w:color w:themeColor="text1" w:val="000000"/>
                <w:kern w:val="0"/>
                <w:sz w:val="24"/>
              </w:rPr>
              <w:t/>
            </w:r>
            <w:proofErr w:type="spellEnd"/>
            <w:r w:rsidRPr="00B34368">
              <w:rPr>
                <w:rFonts w:eastAsiaTheme="minorEastAsia"/>
                <w:color w:themeColor="text1" w:val="000000"/>
                <w:sz w:val="24"/>
              </w:rPr>
              <w:t/>
            </w:r>
            <w:r w:rsidR="0042785F" w:rsidRPr="00B34368">
              <w:rPr>
                <w:rFonts w:eastAsiaTheme="minorEastAsia"/>
                <w:color w:themeColor="text1" w:val="000000"/>
                <w:sz w:val="24"/>
              </w:rPr>
              <w:t/>
            </w:r>
            <w:r w:rsidRPr="00B34368">
              <w:rPr>
                <w:rFonts w:eastAsiaTheme="minorEastAsia"/>
                <w:color w:themeColor="text1" w:val="000000"/>
                <w:sz w:val="24"/>
              </w:rPr>
              <w:t>易方达黄金ETF联接A</w:t>
            </w:r>
          </w:p>
        </w:tc>
        <w:tc>
          <w:tcPr>
            <w:tcW w:type="dxa" w:w="2740"/>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t/>
            </w:r>
            <w:r w:rsidRPr="00B34368">
              <w:rPr>
                <w:rFonts w:eastAsiaTheme="minorEastAsia"/>
                <w:color w:themeColor="text1" w:val="000000"/>
                <w:sz w:val="24"/>
              </w:rPr>
              <w:t/>
            </w:r>
            <w:r w:rsidR="004D614E" w:rsidRPr="00B34368">
              <w:rPr>
                <w:rFonts w:eastAsiaTheme="minorEastAsia"/>
                <w:color w:themeColor="text1" w:val="000000"/>
                <w:sz w:val="24"/>
              </w:rPr>
              <w:t/>
            </w:r>
            <w:r w:rsidRPr="00B34368">
              <w:rPr>
                <w:rFonts w:eastAsiaTheme="minorEastAsia"/>
                <w:color w:themeColor="text1" w:val="000000"/>
                <w:sz w:val="24"/>
              </w:rPr>
              <w:t>易方达黄金ETF联接C</w:t>
            </w:r>
          </w:p>
        </w:tc>
      </w:tr>
      <w:tr w:rsidR="00D3639B" w:rsidRPr="00B34368" w:rsidTr="00950413">
        <w:tc>
          <w:tcPr>
            <w:tcW w:type="dxa" w:w="2835"/>
          </w:tcPr>
          <w:p w:rsidP="00E205AA" w:rsidR="00950413" w:rsidRDefault="00950413"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下属</w:t>
            </w:r>
            <w:r w:rsidR="00075E4E">
              <w:rPr>
                <w:rFonts w:eastAsiaTheme="minorEastAsia" w:hAnsiTheme="minorEastAsia" w:hint="eastAsia"/>
                <w:color w:themeColor="text1" w:val="000000"/>
                <w:sz w:val="24"/>
              </w:rPr>
              <w:t>分</w:t>
            </w:r>
            <w:r w:rsidRPr="00B34368">
              <w:rPr>
                <w:rFonts w:eastAsiaTheme="minorEastAsia" w:hAnsiTheme="minorEastAsia"/>
                <w:color w:themeColor="text1" w:val="000000"/>
                <w:sz w:val="24"/>
              </w:rPr>
              <w:t>级基金的交易代</w:t>
            </w:r>
            <w:r w:rsidRPr="00B34368">
              <w:rPr>
                <w:rFonts w:eastAsiaTheme="minorEastAsia" w:hAnsiTheme="minorEastAsia"/>
                <w:color w:themeColor="text1" w:val="000000"/>
                <w:sz w:val="24"/>
              </w:rPr>
              <w:lastRenderedPageBreak/>
              <w:t>码</w:t>
            </w:r>
          </w:p>
        </w:tc>
        <w:tc>
          <w:tcPr>
            <w:tcW w:type="dxa" w:w="2739"/>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lastRenderedPageBreak/>
              <w:t/>
            </w:r>
            <w:proofErr w:type="spellStart"/>
            <w:r w:rsidRPr="00B34368">
              <w:rPr>
                <w:rFonts w:eastAsiaTheme="minorEastAsia"/>
                <w:color w:themeColor="text1" w:val="000000"/>
                <w:sz w:val="24"/>
              </w:rPr>
              <w:t/>
            </w:r>
            <w:r w:rsidRPr="00B34368">
              <w:rPr>
                <w:rFonts w:eastAsiaTheme="minorEastAsia"/>
                <w:color w:themeColor="text1" w:val="000000"/>
                <w:sz w:val="24"/>
              </w:rPr>
              <w:lastRenderedPageBreak/>
              <w:t/>
            </w:r>
            <w:proofErr w:type="spellEnd"/>
            <w:r w:rsidR="0042785F" w:rsidRPr="00B34368">
              <w:rPr>
                <w:rFonts w:eastAsiaTheme="minorEastAsia"/>
                <w:color w:themeColor="text1" w:val="000000"/>
                <w:sz w:val="24"/>
              </w:rPr>
              <w:t/>
            </w:r>
            <w:r w:rsidRPr="00B34368">
              <w:rPr>
                <w:rFonts w:eastAsiaTheme="minorEastAsia"/>
                <w:color w:themeColor="text1" w:val="000000"/>
                <w:sz w:val="24"/>
              </w:rPr>
              <w:t>000307</w:t>
            </w:r>
          </w:p>
        </w:tc>
        <w:tc>
          <w:tcPr>
            <w:tcW w:type="dxa" w:w="2740"/>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lastRenderedPageBreak/>
              <w:t/>
            </w:r>
            <w:r w:rsidRPr="00B34368">
              <w:rPr>
                <w:rFonts w:eastAsiaTheme="minorEastAsia"/>
                <w:color w:themeColor="text1" w:val="000000"/>
                <w:sz w:val="24"/>
              </w:rPr>
              <w:t/>
            </w:r>
            <w:r w:rsidRPr="00B34368">
              <w:rPr>
                <w:rFonts w:eastAsiaTheme="minorEastAsia"/>
                <w:color w:themeColor="text1" w:val="000000"/>
                <w:sz w:val="24"/>
              </w:rPr>
              <w:lastRenderedPageBreak/>
              <w:t/>
            </w:r>
            <w:r w:rsidR="004D614E" w:rsidRPr="00B34368">
              <w:rPr>
                <w:rFonts w:eastAsiaTheme="minorEastAsia"/>
                <w:color w:themeColor="text1" w:val="000000"/>
                <w:sz w:val="24"/>
              </w:rPr>
              <w:t/>
            </w:r>
            <w:r w:rsidR="00FE7FBD" w:rsidRPr="00B34368">
              <w:rPr>
                <w:rFonts w:eastAsiaTheme="minorEastAsia"/>
                <w:color w:themeColor="text1" w:val="000000"/>
                <w:sz w:val="24"/>
              </w:rPr>
              <w:t>002963</w:t>
            </w:r>
          </w:p>
        </w:tc>
      </w:tr>
      <w:tr w:rsidR="00D3639B" w:rsidRPr="00B34368" w:rsidTr="00950413">
        <w:tc>
          <w:tcPr>
            <w:tcW w:type="dxa" w:w="2835"/>
          </w:tcPr>
          <w:p w:rsidP="00E205AA" w:rsidR="00950413" w:rsidRDefault="00950413"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lastRenderedPageBreak/>
              <w:t>报告期末下属</w:t>
            </w:r>
            <w:r w:rsidR="00075E4E">
              <w:rPr>
                <w:rFonts w:eastAsiaTheme="minorEastAsia" w:hAnsiTheme="minorEastAsia" w:hint="eastAsia"/>
                <w:color w:themeColor="text1" w:val="000000"/>
                <w:sz w:val="24"/>
              </w:rPr>
              <w:t>分</w:t>
            </w:r>
            <w:r w:rsidRPr="00B34368">
              <w:rPr>
                <w:rFonts w:eastAsiaTheme="minorEastAsia" w:hAnsiTheme="minorEastAsia"/>
                <w:color w:themeColor="text1" w:val="000000"/>
                <w:sz w:val="24"/>
              </w:rPr>
              <w:t>级基金的份额总额</w:t>
            </w:r>
          </w:p>
        </w:tc>
        <w:tc>
          <w:tcPr>
            <w:tcW w:type="dxa" w:w="2739"/>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t/>
            </w:r>
            <w:r w:rsidR="005D4CBA" w:rsidRPr="00B34368">
              <w:rPr>
                <w:rFonts w:eastAsiaTheme="minorEastAsia"/>
                <w:color w:themeColor="text1" w:val="000000"/>
                <w:kern w:val="0"/>
                <w:sz w:val="24"/>
              </w:rPr>
              <w:t/>
            </w:r>
            <w:proofErr w:type="spellStart"/>
            <w:r w:rsidR="005D4CBA" w:rsidRPr="00B34368">
              <w:rPr>
                <w:rFonts w:eastAsiaTheme="minorEastAsia"/>
                <w:color w:themeColor="text1" w:val="000000"/>
                <w:kern w:val="0"/>
                <w:sz w:val="24"/>
              </w:rPr>
              <w:t/>
            </w:r>
            <w:proofErr w:type="spellEnd"/>
            <w:r w:rsidRPr="00B34368">
              <w:rPr>
                <w:rFonts w:eastAsiaTheme="minorEastAsia"/>
                <w:color w:themeColor="text1" w:val="000000"/>
                <w:sz w:val="24"/>
              </w:rPr>
              <w:t/>
            </w:r>
            <w:r w:rsidR="0042785F" w:rsidRPr="00B34368">
              <w:rPr>
                <w:rFonts w:eastAsiaTheme="minorEastAsia"/>
                <w:color w:themeColor="text1" w:val="000000"/>
                <w:sz w:val="24"/>
              </w:rPr>
              <w:t/>
            </w:r>
            <w:r w:rsidRPr="00B34368">
              <w:rPr>
                <w:rFonts w:eastAsiaTheme="minorEastAsia"/>
                <w:color w:themeColor="text1" w:val="000000"/>
                <w:sz w:val="24"/>
              </w:rPr>
              <w:t>868,192,602.60</w:t>
            </w:r>
            <w:r w:rsidR="00D305C9" w:rsidRPr="00B34368">
              <w:rPr>
                <w:rFonts w:eastAsiaTheme="minorEastAsia" w:hAnsiTheme="minorEastAsia"/>
                <w:color w:themeColor="text1" w:val="000000"/>
                <w:kern w:val="0"/>
                <w:sz w:val="24"/>
              </w:rPr>
              <w:t>份</w:t>
            </w:r>
          </w:p>
        </w:tc>
        <w:tc>
          <w:tcPr>
            <w:tcW w:type="dxa" w:w="2740"/>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t/>
            </w:r>
            <w:r w:rsidR="005D4CBA" w:rsidRPr="00B34368">
              <w:rPr>
                <w:rFonts w:eastAsiaTheme="minorEastAsia"/>
                <w:color w:themeColor="text1" w:val="000000"/>
                <w:kern w:val="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1,005,234,519.13</w:t>
            </w:r>
            <w:r w:rsidR="00D305C9" w:rsidRPr="00B34368">
              <w:rPr>
                <w:rFonts w:eastAsiaTheme="minorEastAsia" w:hAnsiTheme="minorEastAsia"/>
                <w:color w:themeColor="text1" w:val="000000"/>
                <w:kern w:val="0"/>
                <w:sz w:val="24"/>
              </w:rPr>
              <w:t>份</w:t>
            </w:r>
          </w:p>
        </w:tc>
      </w:tr>
    </w:tbl>
    <w:p w:rsidP="00B34368" w:rsidR="002C32ED" w:rsidRDefault="00A6200E"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 xml:space="preserve">注：自2016年7月1日起，本基金增设C类份额类别，份额首次确认日为2016年7月5日。 </w:t>
      </w:r>
    </w:p>
    <w:p w:rsidP="00C544B8" w:rsidR="002C32ED" w:rsidRDefault="002C32ED" w:rsidRPr="00B34368">
      <w:pPr>
        <w:pStyle w:val="2"/>
        <w:keepNext w:val="0"/>
        <w:keepLines w:val="0"/>
        <w:spacing w:after="0" w:before="312" w:beforeLines="100"/>
        <w:rPr>
          <w:rFonts w:ascii="Times New Roman" w:cs="Times New Roman" w:eastAsiaTheme="minorEastAsia" w:hAnsi="Times New Roman"/>
          <w:color w:themeColor="text1" w:val="000000"/>
          <w:szCs w:val="24"/>
        </w:rPr>
      </w:pPr>
      <w:r w:rsidRPr="00B34368">
        <w:rPr>
          <w:rFonts w:ascii="Times New Roman" w:cs="Times New Roman" w:eastAsiaTheme="minorEastAsia" w:hAnsi="Times New Roman"/>
          <w:color w:themeColor="text1" w:val="000000"/>
          <w:szCs w:val="24"/>
        </w:rPr>
        <w:t>2.1.1</w:t>
      </w:r>
      <w:r w:rsidRPr="00B34368">
        <w:rPr>
          <w:rFonts w:ascii="Times New Roman" w:cs="Times New Roman" w:eastAsiaTheme="minorEastAsia" w:hAnsiTheme="minorEastAsia"/>
          <w:color w:themeColor="text1" w:val="000000"/>
          <w:szCs w:val="24"/>
        </w:rPr>
        <w:t>目标基金基本情况</w:t>
      </w:r>
    </w:p>
    <w:tbl>
      <w:tblPr>
        <w:tblW w:type="dxa" w:w="846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2724"/>
        <w:gridCol w:w="5736"/>
      </w:tblGrid>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基金名称</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易方达黄金交易型开放式证券投资基金</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基金主代码</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159934</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基金运作方式</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交易型开放式（ETF）</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基金合同生效日</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2013年11月29日</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基金份额上市的证券交易所</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深圳证券交易所</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上市日期</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2013年12月16日</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基金管理人名称</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易方达基金管理有限公司</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基金托管人名称</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中国工商银行股份有限公司</w:t>
            </w:r>
          </w:p>
        </w:tc>
      </w:tr>
    </w:tbl>
    <w:p w:rsidP="00C544B8" w:rsidR="002C32ED" w:rsidRDefault="002C32ED" w:rsidRPr="00B34368">
      <w:pPr>
        <w:pStyle w:val="2"/>
        <w:keepNext w:val="0"/>
        <w:keepLines w:val="0"/>
        <w:spacing w:after="0" w:before="312" w:beforeLines="100"/>
        <w:rPr>
          <w:rFonts w:ascii="Times New Roman" w:cs="Times New Roman" w:eastAsiaTheme="minorEastAsia" w:hAnsi="Times New Roman"/>
          <w:color w:themeColor="text1" w:val="000000"/>
          <w:szCs w:val="24"/>
        </w:rPr>
      </w:pPr>
      <w:r w:rsidRPr="00B34368">
        <w:rPr>
          <w:rFonts w:ascii="Times New Roman" w:cs="Times New Roman" w:eastAsiaTheme="minorEastAsia" w:hAnsi="Times New Roman"/>
          <w:color w:themeColor="text1" w:val="000000"/>
          <w:szCs w:val="24"/>
        </w:rPr>
        <w:t>2.1.2</w:t>
      </w:r>
      <w:r w:rsidRPr="00B34368">
        <w:rPr>
          <w:rFonts w:ascii="Times New Roman" w:cs="Times New Roman" w:eastAsiaTheme="minorEastAsia" w:hAnsiTheme="minorEastAsia"/>
          <w:color w:themeColor="text1" w:val="000000"/>
          <w:szCs w:val="24"/>
        </w:rPr>
        <w:t>目标基金产品说明</w:t>
      </w:r>
    </w:p>
    <w:tbl>
      <w:tblPr>
        <w:tblW w:type="dxa" w:w="846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ook w:firstColumn="0" w:firstRow="0" w:lastColumn="0" w:lastRow="0" w:noHBand="0" w:noVBand="0" w:val="0000"/>
      </w:tblPr>
      <w:tblGrid>
        <w:gridCol w:w="2820"/>
        <w:gridCol w:w="5640"/>
      </w:tblGrid>
      <w:tr w:rsidR="00D3639B" w:rsidRPr="00B34368" w:rsidTr="004E70B7">
        <w:tc>
          <w:tcPr>
            <w:tcW w:type="dxa" w:w="2820"/>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投资目标</w:t>
            </w:r>
          </w:p>
        </w:tc>
        <w:tc>
          <w:tcPr>
            <w:tcW w:type="dxa" w:w="5640"/>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紧密跟踪业绩比较基准，追求跟踪偏离度与跟踪误差最小化。</w:t>
            </w:r>
          </w:p>
        </w:tc>
      </w:tr>
      <w:tr w:rsidR="00D3639B" w:rsidRPr="00B34368" w:rsidTr="004E70B7">
        <w:tc>
          <w:tcPr>
            <w:tcW w:type="dxa" w:w="2820"/>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投资策略</w:t>
            </w:r>
          </w:p>
        </w:tc>
        <w:tc>
          <w:tcPr>
            <w:tcW w:type="dxa" w:w="5640"/>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本基金投资于黄金现货合约的比例不低于基金资产净值的95%。为紧密追踪业绩比较基准的表现，本基金力争将日均跟踪偏离度控制在0.2%以内，年化跟踪误差控制在2%以内。当黄金现货实盘合约流动性不足或黄金现货延期交收合约投资成本更低时，本基金可适当投资于黄金现货延期交收合约。为降低基金费用对跟踪偏离度与跟踪误差的影响，本基金可以将持有的黄金现货合约借出给信誉良好的机构，取得租赁收入。</w:t>
            </w:r>
          </w:p>
        </w:tc>
      </w:tr>
      <w:tr w:rsidR="00D3639B" w:rsidRPr="00B34368" w:rsidTr="004E70B7">
        <w:tc>
          <w:tcPr>
            <w:tcW w:type="dxa" w:w="2820"/>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业绩比较基准</w:t>
            </w:r>
          </w:p>
        </w:tc>
        <w:tc>
          <w:tcPr>
            <w:tcW w:type="dxa" w:w="5640"/>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上海黄金交易所Au99.99现货实盘合约收盘价</w:t>
            </w:r>
          </w:p>
        </w:tc>
      </w:tr>
      <w:tr w:rsidR="00D3639B" w:rsidRPr="00B34368" w:rsidTr="004E70B7">
        <w:tc>
          <w:tcPr>
            <w:tcW w:type="dxa" w:w="2820"/>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风险收益特征</w:t>
            </w:r>
          </w:p>
        </w:tc>
        <w:tc>
          <w:tcPr>
            <w:tcW w:type="dxa" w:w="5640"/>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本基金追踪上海黄金交易所Au99.99现货实盘合约收盘价表现，具有与上海黄金交易所Au99.99 现货实盘合约相似的风险收益特征。</w:t>
            </w:r>
          </w:p>
        </w:tc>
      </w:tr>
    </w:tbl>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 xml:space="preserve">§3  </w:t>
      </w:r>
      <w:r w:rsidRPr="00B34368">
        <w:rPr>
          <w:rFonts w:eastAsiaTheme="minorEastAsia" w:hAnsiTheme="minorEastAsia"/>
          <w:color w:themeColor="text1" w:val="000000"/>
          <w:kern w:val="0"/>
          <w:sz w:val="24"/>
          <w:szCs w:val="24"/>
        </w:rPr>
        <w:t>主要财务指标和基金净值表现</w:t>
      </w:r>
    </w:p>
    <w:p w:rsidP="00FC13C8" w:rsidR="009238DB" w:rsidRDefault="009238DB" w:rsidRPr="00B34368">
      <w:pPr>
        <w:autoSpaceDE w:val="0"/>
        <w:autoSpaceDN w:val="0"/>
        <w:adjustRightInd w:val="0"/>
        <w:spacing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3.1 </w:t>
      </w:r>
      <w:r w:rsidRPr="00B34368">
        <w:rPr>
          <w:rFonts w:eastAsiaTheme="minorEastAsia" w:hAnsiTheme="minorEastAsia"/>
          <w:b/>
          <w:color w:themeColor="text1" w:val="000000"/>
          <w:kern w:val="0"/>
          <w:sz w:val="24"/>
        </w:rPr>
        <w:t>主要财务指标</w:t>
      </w:r>
    </w:p>
    <w:p w:rsidP="00E27360" w:rsidR="009238DB" w:rsidRDefault="009238DB" w:rsidRPr="00B34368">
      <w:pPr>
        <w:autoSpaceDE w:val="0"/>
        <w:autoSpaceDN w:val="0"/>
        <w:adjustRightInd w:val="0"/>
        <w:spacing w:before="29" w:line="288" w:lineRule="auto"/>
        <w:ind w:left="15" w:right="480"/>
        <w:jc w:val="right"/>
        <w:rPr>
          <w:rFonts w:eastAsiaTheme="minorEastAsia"/>
          <w:color w:themeColor="text1" w:val="000000"/>
          <w:kern w:val="0"/>
          <w:sz w:val="24"/>
        </w:rPr>
      </w:pPr>
      <w:r w:rsidRPr="00B34368">
        <w:rPr>
          <w:rFonts w:eastAsiaTheme="minorEastAsia" w:hAnsiTheme="minorEastAsia"/>
          <w:color w:themeColor="text1" w:val="000000"/>
          <w:kern w:val="0"/>
          <w:sz w:val="24"/>
        </w:rPr>
        <w:lastRenderedPageBreak/>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D3639B" w:rsidRPr="00B34368" w:rsidTr="008B5312">
        <w:tc>
          <w:tcPr>
            <w:tcW w:type="dxa" w:w="3402"/>
            <w:vMerge w:val="restart"/>
            <w:vAlign w:val="center"/>
          </w:tcPr>
          <w:p w:rsidP="00E205AA" w:rsidR="009E549D" w:rsidRDefault="009E549D" w:rsidRPr="00B34368">
            <w:pPr>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主要财务指标</w:t>
            </w:r>
          </w:p>
        </w:tc>
        <w:tc>
          <w:tcPr>
            <w:tcW w:type="dxa" w:w="4962"/>
            <w:gridSpan w:val="2"/>
            <w:vAlign w:val="center"/>
          </w:tcPr>
          <w:p w:rsidP="00E205AA" w:rsidR="002976E5" w:rsidRDefault="009E549D" w:rsidRPr="00B34368">
            <w:pPr>
              <w:adjustRightInd w:val="0"/>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报告期</w:t>
            </w:r>
          </w:p>
          <w:p w:rsidP="00E205AA" w:rsidR="009E549D" w:rsidRDefault="009E549D" w:rsidRPr="00B34368">
            <w:pPr>
              <w:adjustRightInd w:val="0"/>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2020年4月1日-</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2020年6月30日)</w:t>
            </w:r>
          </w:p>
        </w:tc>
      </w:tr>
      <w:tr w:rsidR="00D3639B" w:rsidRPr="00B34368" w:rsidTr="008B5312">
        <w:tc>
          <w:tcPr>
            <w:tcW w:type="dxa" w:w="3402"/>
            <w:vMerge/>
            <w:vAlign w:val="center"/>
          </w:tcPr>
          <w:p w:rsidP="00E205AA" w:rsidR="009E549D" w:rsidRDefault="009E549D" w:rsidRPr="00B34368">
            <w:pPr>
              <w:adjustRightInd w:val="0"/>
              <w:spacing w:before="29" w:line="360" w:lineRule="auto"/>
              <w:ind w:left="17"/>
              <w:jc w:val="center"/>
              <w:rPr>
                <w:rFonts w:eastAsiaTheme="minorEastAsia"/>
                <w:color w:themeColor="text1" w:val="000000"/>
                <w:kern w:val="0"/>
                <w:sz w:val="24"/>
              </w:rPr>
            </w:pPr>
          </w:p>
        </w:tc>
        <w:tc>
          <w:tcPr>
            <w:tcW w:type="dxa" w:w="2481"/>
            <w:vAlign w:val="center"/>
          </w:tcPr>
          <w:p w:rsidP="00E205AA" w:rsidR="009E549D" w:rsidRDefault="009E549D" w:rsidRPr="00B34368">
            <w:pPr>
              <w:adjustRightInd w:val="0"/>
              <w:spacing w:before="29" w:line="360" w:lineRule="auto"/>
              <w:ind w:left="17"/>
              <w:jc w:val="center"/>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易方达黄金ETF联接A</w:t>
            </w:r>
          </w:p>
        </w:tc>
        <w:tc>
          <w:tcPr>
            <w:tcW w:type="dxa" w:w="2481"/>
            <w:vAlign w:val="center"/>
          </w:tcPr>
          <w:p w:rsidP="00E205AA" w:rsidR="009E549D" w:rsidRDefault="009E549D" w:rsidRPr="00B34368">
            <w:pPr>
              <w:adjustRightInd w:val="0"/>
              <w:spacing w:before="29" w:line="360" w:lineRule="auto"/>
              <w:ind w:left="17"/>
              <w:jc w:val="center"/>
              <w:rPr>
                <w:rFonts w:eastAsiaTheme="minorEastAsia"/>
                <w:color w:themeColor="text1" w:val="000000"/>
                <w:sz w:val="24"/>
              </w:rPr>
            </w:pPr>
            <w:r w:rsidRPr="00B34368">
              <w:rPr>
                <w:rFonts w:eastAsiaTheme="minorEastAsia"/>
                <w:color w:themeColor="text1" w:val="000000"/>
                <w:kern w:val="0"/>
                <w:sz w:val="24"/>
              </w:rPr>
              <w:t/>
            </w: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易方达黄金ETF联接C</w:t>
            </w:r>
          </w:p>
        </w:tc>
      </w:tr>
      <w:tr w:rsidR="00D3639B" w:rsidRPr="00B34368" w:rsidTr="00973B57">
        <w:tc>
          <w:tcPr>
            <w:tcW w:type="dxa" w:w="3402"/>
          </w:tcPr>
          <w:p w:rsidP="00973B57"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1.</w:t>
            </w:r>
            <w:r w:rsidRPr="00B34368">
              <w:rPr>
                <w:rFonts w:eastAsiaTheme="minorEastAsia" w:hAnsiTheme="minorEastAsia"/>
                <w:color w:themeColor="text1" w:val="000000"/>
                <w:kern w:val="0"/>
                <w:sz w:val="24"/>
              </w:rPr>
              <w:t>本期已实现收益</w:t>
            </w:r>
          </w:p>
        </w:tc>
        <w:tc>
          <w:tcPr>
            <w:tcW w:type="dxa" w:w="2481"/>
            <w:vAlign w:val="bottom"/>
          </w:tcPr>
          <w:p w:rsidP="00973B57"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19,736,762.32</w:t>
            </w:r>
          </w:p>
        </w:tc>
        <w:tc>
          <w:tcPr>
            <w:tcW w:type="dxa" w:w="2481"/>
            <w:vAlign w:val="bottom"/>
          </w:tcPr>
          <w:p w:rsidP="0037768B"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AD3905" w:rsidRPr="00B34368">
              <w:rPr>
                <w:rFonts w:eastAsiaTheme="minorEastAsia"/>
                <w:color w:themeColor="text1" w:val="000000"/>
                <w:sz w:val="24"/>
              </w:rPr>
              <w:t/>
            </w:r>
            <w:r w:rsidR="0037768B" w:rsidRPr="00B34368">
              <w:rPr>
                <w:rFonts w:eastAsiaTheme="minorEastAsia"/>
                <w:color w:themeColor="text1" w:val="000000"/>
                <w:sz w:val="24"/>
              </w:rPr>
              <w:t/>
            </w: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21,104,813.62</w:t>
            </w:r>
          </w:p>
        </w:tc>
      </w:tr>
      <w:tr w:rsidR="00D3639B" w:rsidRPr="00B34368" w:rsidTr="009A5C1D">
        <w:tc>
          <w:tcPr>
            <w:tcW w:type="dxa" w:w="3402"/>
          </w:tcPr>
          <w:p w:rsidP="00E205AA"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2.</w:t>
            </w:r>
            <w:r w:rsidRPr="00B34368">
              <w:rPr>
                <w:rFonts w:eastAsiaTheme="minorEastAsia" w:hAnsiTheme="minorEastAsia"/>
                <w:color w:themeColor="text1" w:val="000000"/>
                <w:kern w:val="0"/>
                <w:sz w:val="24"/>
              </w:rPr>
              <w:t>本期利润</w:t>
            </w:r>
          </w:p>
        </w:tc>
        <w:tc>
          <w:tcPr>
            <w:tcW w:type="dxa" w:w="2481"/>
            <w:vAlign w:val="bottom"/>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97,212,729.79</w:t>
            </w:r>
          </w:p>
        </w:tc>
        <w:tc>
          <w:tcPr>
            <w:tcW w:type="dxa" w:w="2481"/>
            <w:vAlign w:val="bottom"/>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106,980,742.86</w:t>
            </w:r>
          </w:p>
        </w:tc>
      </w:tr>
      <w:tr w:rsidR="00D3639B" w:rsidRPr="00B34368" w:rsidTr="009A5C1D">
        <w:tc>
          <w:tcPr>
            <w:tcW w:type="dxa" w:w="3402"/>
          </w:tcPr>
          <w:p w:rsidP="00E205AA"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3.</w:t>
            </w:r>
            <w:r w:rsidRPr="00B34368">
              <w:rPr>
                <w:rFonts w:eastAsiaTheme="minorEastAsia" w:hAnsiTheme="minorEastAsia"/>
                <w:color w:themeColor="text1" w:val="000000"/>
                <w:kern w:val="0"/>
                <w:sz w:val="24"/>
              </w:rPr>
              <w:t>加权平均基金份额本期利润</w:t>
            </w:r>
          </w:p>
        </w:tc>
        <w:tc>
          <w:tcPr>
            <w:tcW w:type="dxa" w:w="2481"/>
            <w:vAlign w:val="bottom"/>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0.1127</w:t>
            </w:r>
          </w:p>
        </w:tc>
        <w:tc>
          <w:tcPr>
            <w:tcW w:type="dxa" w:w="2481"/>
            <w:vAlign w:val="bottom"/>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0.1100</w:t>
            </w:r>
          </w:p>
        </w:tc>
      </w:tr>
      <w:tr w:rsidR="00D3639B" w:rsidRPr="00B34368" w:rsidTr="009A5C1D">
        <w:tc>
          <w:tcPr>
            <w:tcW w:type="dxa" w:w="3402"/>
          </w:tcPr>
          <w:p w:rsidP="00E205AA"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4.</w:t>
            </w:r>
            <w:r w:rsidRPr="00B34368">
              <w:rPr>
                <w:rFonts w:eastAsiaTheme="minorEastAsia" w:hAnsiTheme="minorEastAsia"/>
                <w:color w:themeColor="text1" w:val="000000"/>
                <w:kern w:val="0"/>
                <w:sz w:val="24"/>
              </w:rPr>
              <w:t>期末基金资产净值</w:t>
            </w:r>
          </w:p>
        </w:tc>
        <w:tc>
          <w:tcPr>
            <w:tcW w:type="dxa" w:w="2481"/>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1,202,317,089.21</w:t>
            </w:r>
          </w:p>
        </w:tc>
        <w:tc>
          <w:tcPr>
            <w:tcW w:type="dxa" w:w="2481"/>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1,378,096,982.54</w:t>
            </w:r>
          </w:p>
        </w:tc>
      </w:tr>
      <w:tr w:rsidR="00D3639B" w:rsidRPr="00B34368" w:rsidTr="009A5C1D">
        <w:trPr>
          <w:trHeight w:val="158"/>
        </w:trPr>
        <w:tc>
          <w:tcPr>
            <w:tcW w:type="dxa" w:w="3402"/>
          </w:tcPr>
          <w:p w:rsidP="00E205AA"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5.</w:t>
            </w:r>
            <w:r w:rsidRPr="00B34368">
              <w:rPr>
                <w:rFonts w:eastAsiaTheme="minorEastAsia" w:hAnsiTheme="minorEastAsia"/>
                <w:color w:themeColor="text1" w:val="000000"/>
                <w:kern w:val="0"/>
                <w:sz w:val="24"/>
              </w:rPr>
              <w:t>期末基金份额净值</w:t>
            </w:r>
          </w:p>
        </w:tc>
        <w:tc>
          <w:tcPr>
            <w:tcW w:type="dxa" w:w="2481"/>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1.3849</w:t>
            </w:r>
          </w:p>
        </w:tc>
        <w:tc>
          <w:tcPr>
            <w:tcW w:type="dxa" w:w="2481"/>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1.3709</w:t>
            </w:r>
          </w:p>
        </w:tc>
      </w:tr>
    </w:tbl>
    <w:p>
      <w:pPr>
        <w:autoSpaceDE w:val="0"/>
        <w:autoSpaceDN w:val="0"/>
        <w:adjustRightInd w:val="0"/>
        <w:spacing w:line="360" w:lineRule="auto"/>
        <w:ind w:firstLine="480" w:firstLineChars="200"/>
        <w:jc w:val="left"/>
        <w:rPr>
          <w:rFonts w:eastAsiaTheme="minorEastAsia"/>
          <w:color w:themeColor="text1" w:val="000000"/>
          <w:sz w:val="24"/>
        </w:rPr>
      </w:pPr>
      <w:r>
        <w:rPr>
          <w:rFonts w:eastAsiaTheme="minorEastAsia"/>
          <w:color w:themeColor="text1" w:val="000000"/>
          <w:sz w:val="24"/>
        </w:rPr>
        <w:t>注：1.所述基金业绩指标不包括持有人认购或交易基金的各项费用，计入费用后实际收益水平要低于所列数字。</w:t>
      </w:r>
    </w:p>
    <w:p w:rsidP="00B34368" w:rsidR="009238DB" w:rsidRDefault="005E01A3"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r w:rsidR="00FE7FBD" w:rsidRPr="00B34368">
        <w:rPr>
          <w:rFonts w:eastAsiaTheme="minorEastAsia"/>
          <w:color w:themeColor="text1" w:val="000000"/>
          <w:sz w:val="24"/>
        </w:rPr>
        <w:t/>
      </w: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2.本期已实现收益指基金本期利息收入、投资收益、其他收入（不含公允价值变动收益）扣除相关费用后的余额，本期利润为本期已实现收益加上本期公允价值变动收益。</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3.2 </w:t>
      </w:r>
      <w:r w:rsidRPr="00B34368">
        <w:rPr>
          <w:rFonts w:eastAsiaTheme="minorEastAsia" w:hAnsiTheme="minorEastAsia"/>
          <w:b/>
          <w:color w:themeColor="text1" w:val="000000"/>
          <w:kern w:val="0"/>
          <w:sz w:val="24"/>
        </w:rPr>
        <w:t>基金净值表现</w:t>
      </w:r>
    </w:p>
    <w:p w:rsidP="00FC13C8" w:rsidR="009238DB" w:rsidRDefault="009238DB" w:rsidRPr="00B34368">
      <w:pPr>
        <w:autoSpaceDE w:val="0"/>
        <w:autoSpaceDN w:val="0"/>
        <w:adjustRightInd w:val="0"/>
        <w:spacing w:line="360" w:lineRule="auto"/>
        <w:jc w:val="left"/>
        <w:rPr>
          <w:rFonts w:eastAsiaTheme="minorEastAsia"/>
          <w:b/>
          <w:color w:themeColor="text1" w:val="000000"/>
          <w:kern w:val="0"/>
          <w:sz w:val="24"/>
        </w:rPr>
      </w:pPr>
      <w:r w:rsidRPr="00B34368">
        <w:rPr>
          <w:rFonts w:eastAsiaTheme="minorEastAsia"/>
          <w:b/>
          <w:color w:themeColor="text1" w:val="000000"/>
          <w:kern w:val="0"/>
          <w:sz w:val="24"/>
        </w:rPr>
        <w:t>3.2.1</w:t>
      </w:r>
      <w:r w:rsidRPr="00B34368">
        <w:rPr>
          <w:rFonts w:eastAsiaTheme="minorEastAsia" w:hAnsiTheme="minorEastAsia"/>
          <w:b/>
          <w:color w:themeColor="text1" w:val="000000"/>
          <w:kern w:val="0"/>
          <w:sz w:val="24"/>
        </w:rPr>
        <w:t>本报告</w:t>
      </w:r>
      <w:proofErr w:type="gramStart"/>
      <w:r w:rsidRPr="00B34368">
        <w:rPr>
          <w:rFonts w:eastAsiaTheme="minorEastAsia" w:hAnsiTheme="minorEastAsia"/>
          <w:b/>
          <w:color w:themeColor="text1" w:val="000000"/>
          <w:kern w:val="0"/>
          <w:sz w:val="24"/>
        </w:rPr>
        <w:t>期基金</w:t>
      </w:r>
      <w:proofErr w:type="gramEnd"/>
      <w:r w:rsidRPr="00B34368">
        <w:rPr>
          <w:rFonts w:eastAsiaTheme="minorEastAsia" w:hAnsiTheme="minorEastAsia"/>
          <w:b/>
          <w:color w:themeColor="text1" w:val="000000"/>
          <w:kern w:val="0"/>
          <w:sz w:val="24"/>
        </w:rPr>
        <w:t>份额净值增长率及其与同期业绩比较基准收益率的比较</w:t>
      </w:r>
    </w:p>
    <w:p w:rsidP="00FC13C8" w:rsidR="009238DB" w:rsidRDefault="00A5643A" w:rsidRPr="00B34368">
      <w:pPr>
        <w:spacing w:line="360" w:lineRule="auto"/>
        <w:rPr>
          <w:rFonts w:eastAsiaTheme="minorEastAsia"/>
          <w:b/>
          <w:color w:themeColor="text1" w:val="000000"/>
          <w:sz w:val="24"/>
        </w:rPr>
      </w:pPr>
      <w:r w:rsidRPr="00B34368">
        <w:rPr>
          <w:rFonts w:eastAsiaTheme="minorEastAsia"/>
          <w:b/>
          <w:color w:themeColor="text1" w:val="000000"/>
          <w:kern w:val="0"/>
          <w:sz w:val="24"/>
        </w:rPr>
        <w:t/>
      </w:r>
      <w:proofErr w:type="spellStart"/>
      <w:r w:rsidRPr="00B34368">
        <w:rPr>
          <w:rFonts w:eastAsiaTheme="minorEastAsia"/>
          <w:b/>
          <w:color w:themeColor="text1" w:val="000000"/>
          <w:kern w:val="0"/>
          <w:sz w:val="24"/>
        </w:rPr>
        <w:t/>
      </w:r>
      <w:proofErr w:type="spellEnd"/>
      <w:r w:rsidRPr="00B34368">
        <w:rPr>
          <w:rFonts w:eastAsiaTheme="minorEastAsia"/>
          <w:b/>
          <w:color w:themeColor="text1" w:val="000000"/>
          <w:kern w:val="0"/>
          <w:sz w:val="24"/>
        </w:rPr>
        <w:t/>
      </w:r>
      <w:r w:rsidR="0042785F" w:rsidRPr="00B34368">
        <w:rPr>
          <w:rFonts w:eastAsiaTheme="minorEastAsia"/>
          <w:b/>
          <w:color w:themeColor="text1" w:val="000000"/>
          <w:kern w:val="0"/>
          <w:sz w:val="24"/>
        </w:rPr>
        <w:t/>
      </w:r>
      <w:r w:rsidRPr="00B34368">
        <w:rPr>
          <w:rFonts w:eastAsiaTheme="minorEastAsia"/>
          <w:b/>
          <w:color w:themeColor="text1" w:val="000000"/>
          <w:kern w:val="0"/>
          <w:sz w:val="24"/>
        </w:rPr>
        <w:t>易方达黄金ETF联接A</w:t>
      </w:r>
      <w:r w:rsidR="009238DB" w:rsidRPr="00B34368">
        <w:rPr>
          <w:rFonts w:eastAsiaTheme="minorEastAsia" w:hAnsiTheme="minorEastAsia"/>
          <w:b/>
          <w:color w:themeColor="text1" w:val="000000"/>
          <w:sz w:val="24"/>
        </w:rPr>
        <w:t>：</w:t>
      </w:r>
    </w:p>
    <w:tbl>
      <w:tblPr>
        <w:tblStyle w:val="af2"/>
        <w:tblW w:type="auto" w:w="0"/>
        <w:tblInd w:type="dxa" w:w="108"/>
        <w:tblLayout w:type="fixed"/>
        <w:tblLook w:firstColumn="1" w:firstRow="1" w:lastColumn="0" w:lastRow="0" w:noHBand="0" w:noVBand="1" w:val="04A0"/>
      </w:tblPr>
      <w:tblGrid>
        <w:gridCol w:w="1290"/>
        <w:gridCol w:w="1291"/>
        <w:gridCol w:w="1291"/>
        <w:gridCol w:w="1291"/>
        <w:gridCol w:w="1291"/>
        <w:gridCol w:w="1291"/>
        <w:gridCol w:w="1291"/>
      </w:tblGrid>
      <w:tr w:rsidR="00D3639B" w:rsidRPr="00B34368" w:rsidTr="00975D18">
        <w:tc>
          <w:tcPr>
            <w:tcW w:type="dxa" w:w="1290"/>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阶段</w:t>
            </w:r>
            <w:r w:rsidR="000D4DE9" w:rsidRPr="00B34368">
              <w:rPr>
                <w:rFonts w:eastAsiaTheme="minorEastAsia"/>
                <w:color w:themeColor="text1" w:val="000000"/>
                <w:sz w:val="24"/>
              </w:rPr>
              <w:t/>
            </w:r>
            <w:proofErr w:type="spellStart"/>
            <w:r w:rsidR="000D4DE9" w:rsidRPr="00B34368">
              <w:rPr>
                <w:rFonts w:eastAsiaTheme="minorEastAsia"/>
                <w:color w:themeColor="text1" w:val="000000"/>
                <w:sz w:val="24"/>
              </w:rPr>
              <w:t/>
            </w:r>
            <w:proofErr w:type="spellEnd"/>
            <w:r w:rsidR="000D4DE9" w:rsidRPr="00B34368">
              <w:rPr>
                <w:rFonts w:eastAsiaTheme="minorEastAsia"/>
                <w:color w:themeColor="text1" w:val="000000"/>
                <w:sz w:val="24"/>
              </w:rPr>
              <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净值增长率①</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净值增长率标准差②</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业绩比较基准收益率③</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业绩比较基准收益率标准差④</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①－③</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②－④</w:t>
            </w:r>
          </w:p>
        </w:tc>
      </w:tr>
      <w:tr>
        <w:tc>
          <w:tcPr>
            <w:vAlign w:val="center"/>
          </w:tcPr>
          <w:p>
            <w:pPr>
              <w:jc w:val="left"/>
            </w:pPr>
            <w:r>
              <w:rPr>
                <w:rFonts w:eastAsiaTheme="minorEastAsia"/>
                <w:color w:themeColor="text1" w:val="000000"/>
                <w:sz w:val="24"/>
              </w:rPr>
              <w:t>过去三个月</w:t>
            </w:r>
          </w:p>
        </w:tc>
        <w:tc>
          <w:tcPr>
            <w:vAlign w:val="center"/>
          </w:tcPr>
          <w:p>
            <w:pPr>
              <w:jc w:val="right"/>
            </w:pPr>
            <w:r>
              <w:rPr>
                <w:rFonts w:eastAsiaTheme="minorEastAsia"/>
                <w:color w:themeColor="text1" w:val="000000"/>
                <w:sz w:val="24"/>
              </w:rPr>
              <w:t>9.04%</w:t>
            </w:r>
          </w:p>
        </w:tc>
        <w:tc>
          <w:tcPr>
            <w:vAlign w:val="center"/>
          </w:tcPr>
          <w:p>
            <w:pPr>
              <w:jc w:val="right"/>
            </w:pPr>
            <w:r>
              <w:rPr>
                <w:rFonts w:eastAsiaTheme="minorEastAsia"/>
                <w:color w:themeColor="text1" w:val="000000"/>
                <w:sz w:val="24"/>
              </w:rPr>
              <w:t>0.84%</w:t>
            </w:r>
          </w:p>
        </w:tc>
        <w:tc>
          <w:tcPr>
            <w:vAlign w:val="center"/>
          </w:tcPr>
          <w:p>
            <w:pPr>
              <w:jc w:val="right"/>
            </w:pPr>
            <w:r>
              <w:rPr>
                <w:rFonts w:eastAsiaTheme="minorEastAsia"/>
                <w:color w:themeColor="text1" w:val="000000"/>
                <w:sz w:val="24"/>
              </w:rPr>
              <w:t>8.73%</w:t>
            </w:r>
          </w:p>
        </w:tc>
        <w:tc>
          <w:tcPr>
            <w:vAlign w:val="center"/>
          </w:tcPr>
          <w:p>
            <w:pPr>
              <w:jc w:val="right"/>
            </w:pPr>
            <w:r>
              <w:rPr>
                <w:rFonts w:eastAsiaTheme="minorEastAsia"/>
                <w:color w:themeColor="text1" w:val="000000"/>
                <w:sz w:val="24"/>
              </w:rPr>
              <w:t>0.82%</w:t>
            </w:r>
          </w:p>
        </w:tc>
        <w:tc>
          <w:tcPr>
            <w:vAlign w:val="center"/>
          </w:tcPr>
          <w:p>
            <w:pPr>
              <w:jc w:val="right"/>
            </w:pPr>
            <w:r>
              <w:rPr>
                <w:rFonts w:eastAsiaTheme="minorEastAsia"/>
                <w:color w:themeColor="text1" w:val="000000"/>
                <w:sz w:val="24"/>
              </w:rPr>
              <w:t>0.31%</w:t>
            </w:r>
          </w:p>
        </w:tc>
        <w:tc>
          <w:tcPr>
            <w:vAlign w:val="center"/>
          </w:tcPr>
          <w:p>
            <w:pPr>
              <w:jc w:val="right"/>
            </w:pPr>
            <w:r>
              <w:rPr>
                <w:rFonts w:eastAsiaTheme="minorEastAsia"/>
                <w:color w:themeColor="text1" w:val="000000"/>
                <w:sz w:val="24"/>
              </w:rPr>
              <w:t>0.02%</w:t>
            </w:r>
          </w:p>
        </w:tc>
      </w:tr>
      <w:tr>
        <w:tc>
          <w:tcPr>
            <w:vAlign w:val="center"/>
          </w:tcPr>
          <w:p>
            <w:pPr>
              <w:jc w:val="left"/>
            </w:pPr>
            <w:r>
              <w:rPr>
                <w:rFonts w:eastAsiaTheme="minorEastAsia"/>
                <w:color w:themeColor="text1" w:val="000000"/>
                <w:sz w:val="24"/>
              </w:rPr>
              <w:t>过去六个月</w:t>
            </w:r>
          </w:p>
        </w:tc>
        <w:tc>
          <w:tcPr>
            <w:vAlign w:val="center"/>
          </w:tcPr>
          <w:p>
            <w:pPr>
              <w:jc w:val="right"/>
            </w:pPr>
            <w:r>
              <w:rPr>
                <w:rFonts w:eastAsiaTheme="minorEastAsia"/>
                <w:color w:themeColor="text1" w:val="000000"/>
                <w:sz w:val="24"/>
              </w:rPr>
              <w:t>16.88%</w:t>
            </w:r>
          </w:p>
        </w:tc>
        <w:tc>
          <w:tcPr>
            <w:vAlign w:val="center"/>
          </w:tcPr>
          <w:p>
            <w:pPr>
              <w:jc w:val="right"/>
            </w:pPr>
            <w:r>
              <w:rPr>
                <w:rFonts w:eastAsiaTheme="minorEastAsia"/>
                <w:color w:themeColor="text1" w:val="000000"/>
                <w:sz w:val="24"/>
              </w:rPr>
              <w:t>1.19%</w:t>
            </w:r>
          </w:p>
        </w:tc>
        <w:tc>
          <w:tcPr>
            <w:vAlign w:val="center"/>
          </w:tcPr>
          <w:p>
            <w:pPr>
              <w:jc w:val="right"/>
            </w:pPr>
            <w:r>
              <w:rPr>
                <w:rFonts w:eastAsiaTheme="minorEastAsia"/>
                <w:color w:themeColor="text1" w:val="000000"/>
                <w:sz w:val="24"/>
              </w:rPr>
              <w:t>15.87%</w:t>
            </w:r>
          </w:p>
        </w:tc>
        <w:tc>
          <w:tcPr>
            <w:vAlign w:val="center"/>
          </w:tcPr>
          <w:p>
            <w:pPr>
              <w:jc w:val="right"/>
            </w:pPr>
            <w:r>
              <w:rPr>
                <w:rFonts w:eastAsiaTheme="minorEastAsia"/>
                <w:color w:themeColor="text1" w:val="000000"/>
                <w:sz w:val="24"/>
              </w:rPr>
              <w:t>1.16%</w:t>
            </w:r>
          </w:p>
        </w:tc>
        <w:tc>
          <w:tcPr>
            <w:vAlign w:val="center"/>
          </w:tcPr>
          <w:p>
            <w:pPr>
              <w:jc w:val="right"/>
            </w:pPr>
            <w:r>
              <w:rPr>
                <w:rFonts w:eastAsiaTheme="minorEastAsia"/>
                <w:color w:themeColor="text1" w:val="000000"/>
                <w:sz w:val="24"/>
              </w:rPr>
              <w:t>1.01%</w:t>
            </w:r>
          </w:p>
        </w:tc>
        <w:tc>
          <w:tcPr>
            <w:vAlign w:val="center"/>
          </w:tcPr>
          <w:p>
            <w:pPr>
              <w:jc w:val="right"/>
            </w:pPr>
            <w:r>
              <w:rPr>
                <w:rFonts w:eastAsiaTheme="minorEastAsia"/>
                <w:color w:themeColor="text1" w:val="000000"/>
                <w:sz w:val="24"/>
              </w:rPr>
              <w:t>0.03%</w:t>
            </w:r>
          </w:p>
        </w:tc>
      </w:tr>
      <w:tr>
        <w:tc>
          <w:tcPr>
            <w:vAlign w:val="center"/>
          </w:tcPr>
          <w:p>
            <w:pPr>
              <w:jc w:val="left"/>
            </w:pPr>
            <w:r>
              <w:rPr>
                <w:rFonts w:eastAsiaTheme="minorEastAsia"/>
                <w:color w:themeColor="text1" w:val="000000"/>
                <w:sz w:val="24"/>
              </w:rPr>
              <w:t>过去一年</w:t>
            </w:r>
          </w:p>
        </w:tc>
        <w:tc>
          <w:tcPr>
            <w:vAlign w:val="center"/>
          </w:tcPr>
          <w:p>
            <w:pPr>
              <w:jc w:val="right"/>
            </w:pPr>
            <w:r>
              <w:rPr>
                <w:rFonts w:eastAsiaTheme="minorEastAsia"/>
                <w:color w:themeColor="text1" w:val="000000"/>
                <w:sz w:val="24"/>
              </w:rPr>
              <w:t>25.79%</w:t>
            </w:r>
          </w:p>
        </w:tc>
        <w:tc>
          <w:tcPr>
            <w:vAlign w:val="center"/>
          </w:tcPr>
          <w:p>
            <w:pPr>
              <w:jc w:val="right"/>
            </w:pPr>
            <w:r>
              <w:rPr>
                <w:rFonts w:eastAsiaTheme="minorEastAsia"/>
                <w:color w:themeColor="text1" w:val="000000"/>
                <w:sz w:val="24"/>
              </w:rPr>
              <w:t>1.04%</w:t>
            </w:r>
          </w:p>
        </w:tc>
        <w:tc>
          <w:tcPr>
            <w:vAlign w:val="center"/>
          </w:tcPr>
          <w:p>
            <w:pPr>
              <w:jc w:val="right"/>
            </w:pPr>
            <w:r>
              <w:rPr>
                <w:rFonts w:eastAsiaTheme="minorEastAsia"/>
                <w:color w:themeColor="text1" w:val="000000"/>
                <w:sz w:val="24"/>
              </w:rPr>
              <w:t>25.13%</w:t>
            </w:r>
          </w:p>
        </w:tc>
        <w:tc>
          <w:tcPr>
            <w:vAlign w:val="center"/>
          </w:tcPr>
          <w:p>
            <w:pPr>
              <w:jc w:val="right"/>
            </w:pPr>
            <w:r>
              <w:rPr>
                <w:rFonts w:eastAsiaTheme="minorEastAsia"/>
                <w:color w:themeColor="text1" w:val="000000"/>
                <w:sz w:val="24"/>
              </w:rPr>
              <w:t>1.03%</w:t>
            </w:r>
          </w:p>
        </w:tc>
        <w:tc>
          <w:tcPr>
            <w:vAlign w:val="center"/>
          </w:tcPr>
          <w:p>
            <w:pPr>
              <w:jc w:val="right"/>
            </w:pPr>
            <w:r>
              <w:rPr>
                <w:rFonts w:eastAsiaTheme="minorEastAsia"/>
                <w:color w:themeColor="text1" w:val="000000"/>
                <w:sz w:val="24"/>
              </w:rPr>
              <w:t>0.66%</w:t>
            </w:r>
          </w:p>
        </w:tc>
        <w:tc>
          <w:tcPr>
            <w:vAlign w:val="center"/>
          </w:tcPr>
          <w:p>
            <w:pPr>
              <w:jc w:val="right"/>
            </w:pPr>
            <w:r>
              <w:rPr>
                <w:rFonts w:eastAsiaTheme="minorEastAsia"/>
                <w:color w:themeColor="text1" w:val="000000"/>
                <w:sz w:val="24"/>
              </w:rPr>
              <w:t>0.01%</w:t>
            </w:r>
          </w:p>
        </w:tc>
      </w:tr>
      <w:tr>
        <w:tc>
          <w:tcPr>
            <w:vAlign w:val="center"/>
          </w:tcPr>
          <w:p>
            <w:pPr>
              <w:jc w:val="left"/>
            </w:pPr>
            <w:r>
              <w:rPr>
                <w:rFonts w:eastAsiaTheme="minorEastAsia"/>
                <w:color w:themeColor="text1" w:val="000000"/>
                <w:sz w:val="24"/>
              </w:rPr>
              <w:t>过去三年</w:t>
            </w:r>
          </w:p>
        </w:tc>
        <w:tc>
          <w:tcPr>
            <w:vAlign w:val="center"/>
          </w:tcPr>
          <w:p>
            <w:pPr>
              <w:jc w:val="right"/>
            </w:pPr>
            <w:r>
              <w:rPr>
                <w:rFonts w:eastAsiaTheme="minorEastAsia"/>
                <w:color w:themeColor="text1" w:val="000000"/>
                <w:sz w:val="24"/>
              </w:rPr>
              <w:t>41.71%</w:t>
            </w:r>
          </w:p>
        </w:tc>
        <w:tc>
          <w:tcPr>
            <w:vAlign w:val="center"/>
          </w:tcPr>
          <w:p>
            <w:pPr>
              <w:jc w:val="right"/>
            </w:pPr>
            <w:r>
              <w:rPr>
                <w:rFonts w:eastAsiaTheme="minorEastAsia"/>
                <w:color w:themeColor="text1" w:val="000000"/>
                <w:sz w:val="24"/>
              </w:rPr>
              <w:t>0.70%</w:t>
            </w:r>
          </w:p>
        </w:tc>
        <w:tc>
          <w:tcPr>
            <w:vAlign w:val="center"/>
          </w:tcPr>
          <w:p>
            <w:pPr>
              <w:jc w:val="right"/>
            </w:pPr>
            <w:r>
              <w:rPr>
                <w:rFonts w:eastAsiaTheme="minorEastAsia"/>
                <w:color w:themeColor="text1" w:val="000000"/>
                <w:sz w:val="24"/>
              </w:rPr>
              <w:t>43.14%</w:t>
            </w:r>
          </w:p>
        </w:tc>
        <w:tc>
          <w:tcPr>
            <w:vAlign w:val="center"/>
          </w:tcPr>
          <w:p>
            <w:pPr>
              <w:jc w:val="right"/>
            </w:pPr>
            <w:r>
              <w:rPr>
                <w:rFonts w:eastAsiaTheme="minorEastAsia"/>
                <w:color w:themeColor="text1" w:val="000000"/>
                <w:sz w:val="24"/>
              </w:rPr>
              <w:t>0.69%</w:t>
            </w:r>
          </w:p>
        </w:tc>
        <w:tc>
          <w:tcPr>
            <w:vAlign w:val="center"/>
          </w:tcPr>
          <w:p>
            <w:pPr>
              <w:jc w:val="right"/>
            </w:pPr>
            <w:r>
              <w:rPr>
                <w:rFonts w:eastAsiaTheme="minorEastAsia"/>
                <w:color w:themeColor="text1" w:val="000000"/>
                <w:sz w:val="24"/>
              </w:rPr>
              <w:t>-1.43%</w:t>
            </w:r>
          </w:p>
        </w:tc>
        <w:tc>
          <w:tcPr>
            <w:vAlign w:val="center"/>
          </w:tcPr>
          <w:p>
            <w:pPr>
              <w:jc w:val="right"/>
            </w:pPr>
            <w:r>
              <w:rPr>
                <w:rFonts w:eastAsiaTheme="minorEastAsia"/>
                <w:color w:themeColor="text1" w:val="000000"/>
                <w:sz w:val="24"/>
              </w:rPr>
              <w:t>0.01%</w:t>
            </w:r>
          </w:p>
        </w:tc>
      </w:tr>
      <w:tr>
        <w:tc>
          <w:tcPr>
            <w:vAlign w:val="center"/>
          </w:tcPr>
          <w:p>
            <w:pPr>
              <w:jc w:val="left"/>
            </w:pPr>
            <w:r>
              <w:rPr>
                <w:rFonts w:eastAsiaTheme="minorEastAsia"/>
                <w:color w:themeColor="text1" w:val="000000"/>
                <w:sz w:val="24"/>
              </w:rPr>
              <w:t>过去五年</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r>
      <w:tr>
        <w:tc>
          <w:tcPr>
            <w:vAlign w:val="center"/>
          </w:tcPr>
          <w:p>
            <w:pPr>
              <w:jc w:val="left"/>
            </w:pPr>
            <w:r>
              <w:rPr>
                <w:rFonts w:eastAsiaTheme="minorEastAsia"/>
                <w:color w:themeColor="text1" w:val="000000"/>
                <w:sz w:val="24"/>
              </w:rPr>
              <w:t>自基金合同生效起至今</w:t>
            </w:r>
          </w:p>
        </w:tc>
        <w:tc>
          <w:tcPr>
            <w:vAlign w:val="center"/>
          </w:tcPr>
          <w:p>
            <w:pPr>
              <w:jc w:val="right"/>
            </w:pPr>
            <w:r>
              <w:rPr>
                <w:rFonts w:eastAsiaTheme="minorEastAsia"/>
                <w:color w:themeColor="text1" w:val="000000"/>
                <w:sz w:val="24"/>
              </w:rPr>
              <w:t>38.49%</w:t>
            </w:r>
          </w:p>
        </w:tc>
        <w:tc>
          <w:tcPr>
            <w:vAlign w:val="center"/>
          </w:tcPr>
          <w:p>
            <w:pPr>
              <w:jc w:val="right"/>
            </w:pPr>
            <w:r>
              <w:rPr>
                <w:rFonts w:eastAsiaTheme="minorEastAsia"/>
                <w:color w:themeColor="text1" w:val="000000"/>
                <w:sz w:val="24"/>
              </w:rPr>
              <w:t>0.67%</w:t>
            </w:r>
          </w:p>
        </w:tc>
        <w:tc>
          <w:tcPr>
            <w:vAlign w:val="center"/>
          </w:tcPr>
          <w:p>
            <w:pPr>
              <w:jc w:val="right"/>
            </w:pPr>
            <w:r>
              <w:rPr>
                <w:rFonts w:eastAsiaTheme="minorEastAsia"/>
                <w:color w:themeColor="text1" w:val="000000"/>
                <w:sz w:val="24"/>
              </w:rPr>
              <w:t>50.93%</w:t>
            </w:r>
          </w:p>
        </w:tc>
        <w:tc>
          <w:tcPr>
            <w:vAlign w:val="center"/>
          </w:tcPr>
          <w:p>
            <w:pPr>
              <w:jc w:val="right"/>
            </w:pPr>
            <w:r>
              <w:rPr>
                <w:rFonts w:eastAsiaTheme="minorEastAsia"/>
                <w:color w:themeColor="text1" w:val="000000"/>
                <w:sz w:val="24"/>
              </w:rPr>
              <w:t>0.71%</w:t>
            </w:r>
          </w:p>
        </w:tc>
        <w:tc>
          <w:tcPr>
            <w:vAlign w:val="center"/>
          </w:tcPr>
          <w:p>
            <w:pPr>
              <w:jc w:val="right"/>
            </w:pPr>
            <w:r>
              <w:rPr>
                <w:rFonts w:eastAsiaTheme="minorEastAsia"/>
                <w:color w:themeColor="text1" w:val="000000"/>
                <w:sz w:val="24"/>
              </w:rPr>
              <w:t>-12.44%</w:t>
            </w:r>
          </w:p>
        </w:tc>
        <w:tc>
          <w:tcPr>
            <w:vAlign w:val="center"/>
          </w:tcPr>
          <w:p>
            <w:pPr>
              <w:jc w:val="right"/>
            </w:pPr>
            <w:r>
              <w:rPr>
                <w:rFonts w:eastAsiaTheme="minorEastAsia"/>
                <w:color w:themeColor="text1" w:val="000000"/>
                <w:sz w:val="24"/>
              </w:rPr>
              <w:t>-0.04%</w:t>
            </w:r>
          </w:p>
        </w:tc>
      </w:tr>
    </w:tbl>
    <w:p w:rsidP="00C544B8" w:rsidR="009238DB" w:rsidRDefault="00A5643A" w:rsidRPr="00B34368">
      <w:pPr>
        <w:adjustRightInd w:val="0"/>
        <w:spacing w:before="312" w:beforeLines="100" w:line="360" w:lineRule="auto"/>
        <w:rPr>
          <w:rFonts w:eastAsiaTheme="minorEastAsia"/>
          <w:b/>
          <w:color w:themeColor="text1" w:val="000000"/>
          <w:kern w:val="0"/>
          <w:sz w:val="24"/>
        </w:rPr>
      </w:pPr>
      <w:r w:rsidRPr="00B34368">
        <w:rPr>
          <w:rFonts w:eastAsiaTheme="minorEastAsia"/>
          <w:b/>
          <w:color w:themeColor="text1" w:val="000000"/>
          <w:kern w:val="0"/>
          <w:sz w:val="24"/>
        </w:rPr>
        <w:t/>
      </w:r>
      <w:r w:rsidR="004D614E" w:rsidRPr="00B34368">
        <w:rPr>
          <w:rFonts w:eastAsiaTheme="minorEastAsia"/>
          <w:b/>
          <w:color w:themeColor="text1" w:val="000000"/>
          <w:kern w:val="0"/>
          <w:sz w:val="24"/>
        </w:rPr>
        <w:t/>
      </w:r>
      <w:r w:rsidR="00FE7FBD" w:rsidRPr="00B34368">
        <w:rPr>
          <w:rFonts w:eastAsiaTheme="minorEastAsia"/>
          <w:b/>
          <w:color w:themeColor="text1" w:val="000000"/>
          <w:kern w:val="0"/>
          <w:sz w:val="24"/>
        </w:rPr>
        <w:t>易方达黄金ETF联接C</w:t>
      </w:r>
      <w:r w:rsidR="009238DB" w:rsidRPr="00B34368">
        <w:rPr>
          <w:rFonts w:eastAsiaTheme="minorEastAsia" w:hAnsiTheme="minorEastAsia"/>
          <w:b/>
          <w:color w:themeColor="text1" w:val="000000"/>
          <w:kern w:val="0"/>
          <w:sz w:val="24"/>
        </w:rPr>
        <w:t>：</w:t>
      </w:r>
    </w:p>
    <w:tbl>
      <w:tblPr>
        <w:tblStyle w:val="af2"/>
        <w:tblW w:type="auto" w:w="0"/>
        <w:tblInd w:type="dxa" w:w="108"/>
        <w:tblLayout w:type="fixed"/>
        <w:tblLook w:firstColumn="1" w:firstRow="1" w:lastColumn="0" w:lastRow="0" w:noHBand="0" w:noVBand="1" w:val="04A0"/>
      </w:tblPr>
      <w:tblGrid>
        <w:gridCol w:w="1290"/>
        <w:gridCol w:w="1291"/>
        <w:gridCol w:w="1291"/>
        <w:gridCol w:w="1291"/>
        <w:gridCol w:w="1291"/>
        <w:gridCol w:w="1291"/>
        <w:gridCol w:w="1291"/>
      </w:tblGrid>
      <w:tr w:rsidR="00D3639B" w:rsidRPr="00B34368" w:rsidTr="00975D18">
        <w:tc>
          <w:tcPr>
            <w:tcW w:type="dxa" w:w="1290"/>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阶段</w:t>
            </w:r>
            <w:r w:rsidR="000D4DE9" w:rsidRPr="00B34368">
              <w:rPr>
                <w:rFonts w:eastAsiaTheme="minorEastAsia"/>
                <w:color w:themeColor="text1" w:val="000000"/>
                <w:sz w:val="24"/>
              </w:rPr>
              <w:t/>
            </w:r>
            <w:proofErr w:type="spellStart"/>
            <w:r w:rsidR="000D4DE9" w:rsidRPr="00B34368">
              <w:rPr>
                <w:rFonts w:eastAsiaTheme="minorEastAsia"/>
                <w:color w:themeColor="text1" w:val="000000"/>
                <w:sz w:val="24"/>
              </w:rPr>
              <w:t/>
            </w:r>
            <w:proofErr w:type="spellEnd"/>
            <w:r w:rsidR="000D4DE9" w:rsidRPr="00B34368">
              <w:rPr>
                <w:rFonts w:eastAsiaTheme="minorEastAsia"/>
                <w:color w:themeColor="text1" w:val="000000"/>
                <w:sz w:val="24"/>
              </w:rPr>
              <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highlight w:val="green"/>
              </w:rPr>
            </w:pPr>
            <w:r w:rsidRPr="00B34368">
              <w:rPr>
                <w:rFonts w:eastAsiaTheme="minorEastAsia" w:hAnsiTheme="minorEastAsia"/>
                <w:color w:themeColor="text1" w:val="000000"/>
                <w:sz w:val="24"/>
              </w:rPr>
              <w:t>净值增长率①</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highlight w:val="green"/>
              </w:rPr>
            </w:pPr>
            <w:r w:rsidRPr="00B34368">
              <w:rPr>
                <w:rFonts w:eastAsiaTheme="minorEastAsia" w:hAnsiTheme="minorEastAsia"/>
                <w:color w:themeColor="text1" w:val="000000"/>
                <w:sz w:val="24"/>
              </w:rPr>
              <w:t>净值增长率标准差②</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业绩比较基准收益率③</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业绩比较基准收益率标准差④</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①－③</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②－④</w:t>
            </w:r>
          </w:p>
        </w:tc>
      </w:tr>
      <w:tr>
        <w:tc>
          <w:tcPr>
            <w:vAlign w:val="center"/>
          </w:tcPr>
          <w:p>
            <w:pPr>
              <w:jc w:val="left"/>
            </w:pPr>
            <w:r>
              <w:rPr>
                <w:rFonts w:eastAsiaTheme="minorEastAsia"/>
                <w:color w:themeColor="text1" w:val="000000"/>
                <w:sz w:val="24"/>
              </w:rPr>
              <w:t>过去三个月</w:t>
            </w:r>
          </w:p>
        </w:tc>
        <w:tc>
          <w:tcPr>
            <w:vAlign w:val="center"/>
          </w:tcPr>
          <w:p>
            <w:pPr>
              <w:jc w:val="right"/>
            </w:pPr>
            <w:r>
              <w:rPr>
                <w:rFonts w:eastAsiaTheme="minorEastAsia"/>
                <w:color w:themeColor="text1" w:val="000000"/>
                <w:sz w:val="24"/>
              </w:rPr>
              <w:t>8.94%</w:t>
            </w:r>
          </w:p>
        </w:tc>
        <w:tc>
          <w:tcPr>
            <w:vAlign w:val="center"/>
          </w:tcPr>
          <w:p>
            <w:pPr>
              <w:jc w:val="right"/>
            </w:pPr>
            <w:r>
              <w:rPr>
                <w:rFonts w:eastAsiaTheme="minorEastAsia"/>
                <w:color w:themeColor="text1" w:val="000000"/>
                <w:sz w:val="24"/>
              </w:rPr>
              <w:t>0.84%</w:t>
            </w:r>
          </w:p>
        </w:tc>
        <w:tc>
          <w:tcPr>
            <w:vAlign w:val="center"/>
          </w:tcPr>
          <w:p>
            <w:pPr>
              <w:jc w:val="right"/>
            </w:pPr>
            <w:r>
              <w:rPr>
                <w:rFonts w:eastAsiaTheme="minorEastAsia"/>
                <w:color w:themeColor="text1" w:val="000000"/>
                <w:sz w:val="24"/>
              </w:rPr>
              <w:t>8.73%</w:t>
            </w:r>
          </w:p>
        </w:tc>
        <w:tc>
          <w:tcPr>
            <w:vAlign w:val="center"/>
          </w:tcPr>
          <w:p>
            <w:pPr>
              <w:jc w:val="right"/>
            </w:pPr>
            <w:r>
              <w:rPr>
                <w:rFonts w:eastAsiaTheme="minorEastAsia"/>
                <w:color w:themeColor="text1" w:val="000000"/>
                <w:sz w:val="24"/>
              </w:rPr>
              <w:t>0.82%</w:t>
            </w:r>
          </w:p>
        </w:tc>
        <w:tc>
          <w:tcPr>
            <w:vAlign w:val="center"/>
          </w:tcPr>
          <w:p>
            <w:pPr>
              <w:jc w:val="right"/>
            </w:pPr>
            <w:r>
              <w:rPr>
                <w:rFonts w:eastAsiaTheme="minorEastAsia"/>
                <w:color w:themeColor="text1" w:val="000000"/>
                <w:sz w:val="24"/>
              </w:rPr>
              <w:t>0.21%</w:t>
            </w:r>
          </w:p>
        </w:tc>
        <w:tc>
          <w:tcPr>
            <w:vAlign w:val="center"/>
          </w:tcPr>
          <w:p>
            <w:pPr>
              <w:jc w:val="right"/>
            </w:pPr>
            <w:r>
              <w:rPr>
                <w:rFonts w:eastAsiaTheme="minorEastAsia"/>
                <w:color w:themeColor="text1" w:val="000000"/>
                <w:sz w:val="24"/>
              </w:rPr>
              <w:t>0.02%</w:t>
            </w:r>
          </w:p>
        </w:tc>
      </w:tr>
      <w:tr>
        <w:tc>
          <w:tcPr>
            <w:vAlign w:val="center"/>
          </w:tcPr>
          <w:p>
            <w:pPr>
              <w:jc w:val="left"/>
            </w:pPr>
            <w:r>
              <w:rPr>
                <w:rFonts w:eastAsiaTheme="minorEastAsia"/>
                <w:color w:themeColor="text1" w:val="000000"/>
                <w:sz w:val="24"/>
              </w:rPr>
              <w:t>过去六个月</w:t>
            </w:r>
          </w:p>
        </w:tc>
        <w:tc>
          <w:tcPr>
            <w:vAlign w:val="center"/>
          </w:tcPr>
          <w:p>
            <w:pPr>
              <w:jc w:val="right"/>
            </w:pPr>
            <w:r>
              <w:rPr>
                <w:rFonts w:eastAsiaTheme="minorEastAsia"/>
                <w:color w:themeColor="text1" w:val="000000"/>
                <w:sz w:val="24"/>
              </w:rPr>
              <w:t>16.67%</w:t>
            </w:r>
          </w:p>
        </w:tc>
        <w:tc>
          <w:tcPr>
            <w:vAlign w:val="center"/>
          </w:tcPr>
          <w:p>
            <w:pPr>
              <w:jc w:val="right"/>
            </w:pPr>
            <w:r>
              <w:rPr>
                <w:rFonts w:eastAsiaTheme="minorEastAsia"/>
                <w:color w:themeColor="text1" w:val="000000"/>
                <w:sz w:val="24"/>
              </w:rPr>
              <w:t>1.19%</w:t>
            </w:r>
          </w:p>
        </w:tc>
        <w:tc>
          <w:tcPr>
            <w:vAlign w:val="center"/>
          </w:tcPr>
          <w:p>
            <w:pPr>
              <w:jc w:val="right"/>
            </w:pPr>
            <w:r>
              <w:rPr>
                <w:rFonts w:eastAsiaTheme="minorEastAsia"/>
                <w:color w:themeColor="text1" w:val="000000"/>
                <w:sz w:val="24"/>
              </w:rPr>
              <w:t>15.87%</w:t>
            </w:r>
          </w:p>
        </w:tc>
        <w:tc>
          <w:tcPr>
            <w:vAlign w:val="center"/>
          </w:tcPr>
          <w:p>
            <w:pPr>
              <w:jc w:val="right"/>
            </w:pPr>
            <w:r>
              <w:rPr>
                <w:rFonts w:eastAsiaTheme="minorEastAsia"/>
                <w:color w:themeColor="text1" w:val="000000"/>
                <w:sz w:val="24"/>
              </w:rPr>
              <w:t>1.16%</w:t>
            </w:r>
          </w:p>
        </w:tc>
        <w:tc>
          <w:tcPr>
            <w:vAlign w:val="center"/>
          </w:tcPr>
          <w:p>
            <w:pPr>
              <w:jc w:val="right"/>
            </w:pPr>
            <w:r>
              <w:rPr>
                <w:rFonts w:eastAsiaTheme="minorEastAsia"/>
                <w:color w:themeColor="text1" w:val="000000"/>
                <w:sz w:val="24"/>
              </w:rPr>
              <w:t>0.80%</w:t>
            </w:r>
          </w:p>
        </w:tc>
        <w:tc>
          <w:tcPr>
            <w:vAlign w:val="center"/>
          </w:tcPr>
          <w:p>
            <w:pPr>
              <w:jc w:val="right"/>
            </w:pPr>
            <w:r>
              <w:rPr>
                <w:rFonts w:eastAsiaTheme="minorEastAsia"/>
                <w:color w:themeColor="text1" w:val="000000"/>
                <w:sz w:val="24"/>
              </w:rPr>
              <w:t>0.03%</w:t>
            </w:r>
          </w:p>
        </w:tc>
      </w:tr>
      <w:tr>
        <w:tc>
          <w:tcPr>
            <w:vAlign w:val="center"/>
          </w:tcPr>
          <w:p>
            <w:pPr>
              <w:jc w:val="left"/>
            </w:pPr>
            <w:r>
              <w:rPr>
                <w:rFonts w:eastAsiaTheme="minorEastAsia"/>
                <w:color w:themeColor="text1" w:val="000000"/>
                <w:sz w:val="24"/>
              </w:rPr>
              <w:t>过去一年</w:t>
            </w:r>
          </w:p>
        </w:tc>
        <w:tc>
          <w:tcPr>
            <w:vAlign w:val="center"/>
          </w:tcPr>
          <w:p>
            <w:pPr>
              <w:jc w:val="right"/>
            </w:pPr>
            <w:r>
              <w:rPr>
                <w:rFonts w:eastAsiaTheme="minorEastAsia"/>
                <w:color w:themeColor="text1" w:val="000000"/>
                <w:sz w:val="24"/>
              </w:rPr>
              <w:t>25.46%</w:t>
            </w:r>
          </w:p>
        </w:tc>
        <w:tc>
          <w:tcPr>
            <w:vAlign w:val="center"/>
          </w:tcPr>
          <w:p>
            <w:pPr>
              <w:jc w:val="right"/>
            </w:pPr>
            <w:r>
              <w:rPr>
                <w:rFonts w:eastAsiaTheme="minorEastAsia"/>
                <w:color w:themeColor="text1" w:val="000000"/>
                <w:sz w:val="24"/>
              </w:rPr>
              <w:t>1.04%</w:t>
            </w:r>
          </w:p>
        </w:tc>
        <w:tc>
          <w:tcPr>
            <w:vAlign w:val="center"/>
          </w:tcPr>
          <w:p>
            <w:pPr>
              <w:jc w:val="right"/>
            </w:pPr>
            <w:r>
              <w:rPr>
                <w:rFonts w:eastAsiaTheme="minorEastAsia"/>
                <w:color w:themeColor="text1" w:val="000000"/>
                <w:sz w:val="24"/>
              </w:rPr>
              <w:t>25.13%</w:t>
            </w:r>
          </w:p>
        </w:tc>
        <w:tc>
          <w:tcPr>
            <w:vAlign w:val="center"/>
          </w:tcPr>
          <w:p>
            <w:pPr>
              <w:jc w:val="right"/>
            </w:pPr>
            <w:r>
              <w:rPr>
                <w:rFonts w:eastAsiaTheme="minorEastAsia"/>
                <w:color w:themeColor="text1" w:val="000000"/>
                <w:sz w:val="24"/>
              </w:rPr>
              <w:t>1.03%</w:t>
            </w:r>
          </w:p>
        </w:tc>
        <w:tc>
          <w:tcPr>
            <w:vAlign w:val="center"/>
          </w:tcPr>
          <w:p>
            <w:pPr>
              <w:jc w:val="right"/>
            </w:pPr>
            <w:r>
              <w:rPr>
                <w:rFonts w:eastAsiaTheme="minorEastAsia"/>
                <w:color w:themeColor="text1" w:val="000000"/>
                <w:sz w:val="24"/>
              </w:rPr>
              <w:t>0.33%</w:t>
            </w:r>
          </w:p>
        </w:tc>
        <w:tc>
          <w:tcPr>
            <w:vAlign w:val="center"/>
          </w:tcPr>
          <w:p>
            <w:pPr>
              <w:jc w:val="right"/>
            </w:pPr>
            <w:r>
              <w:rPr>
                <w:rFonts w:eastAsiaTheme="minorEastAsia"/>
                <w:color w:themeColor="text1" w:val="000000"/>
                <w:sz w:val="24"/>
              </w:rPr>
              <w:t>0.01%</w:t>
            </w:r>
          </w:p>
        </w:tc>
      </w:tr>
      <w:tr>
        <w:tc>
          <w:tcPr>
            <w:vAlign w:val="center"/>
          </w:tcPr>
          <w:p>
            <w:pPr>
              <w:jc w:val="left"/>
            </w:pPr>
            <w:r>
              <w:rPr>
                <w:rFonts w:eastAsiaTheme="minorEastAsia"/>
                <w:color w:themeColor="text1" w:val="000000"/>
                <w:sz w:val="24"/>
              </w:rPr>
              <w:t>过去三年</w:t>
            </w:r>
          </w:p>
        </w:tc>
        <w:tc>
          <w:tcPr>
            <w:vAlign w:val="center"/>
          </w:tcPr>
          <w:p>
            <w:pPr>
              <w:jc w:val="right"/>
            </w:pPr>
            <w:r>
              <w:rPr>
                <w:rFonts w:eastAsiaTheme="minorEastAsia"/>
                <w:color w:themeColor="text1" w:val="000000"/>
                <w:sz w:val="24"/>
              </w:rPr>
              <w:t>40.74%</w:t>
            </w:r>
          </w:p>
        </w:tc>
        <w:tc>
          <w:tcPr>
            <w:vAlign w:val="center"/>
          </w:tcPr>
          <w:p>
            <w:pPr>
              <w:jc w:val="right"/>
            </w:pPr>
            <w:r>
              <w:rPr>
                <w:rFonts w:eastAsiaTheme="minorEastAsia"/>
                <w:color w:themeColor="text1" w:val="000000"/>
                <w:sz w:val="24"/>
              </w:rPr>
              <w:t>0.70%</w:t>
            </w:r>
          </w:p>
        </w:tc>
        <w:tc>
          <w:tcPr>
            <w:vAlign w:val="center"/>
          </w:tcPr>
          <w:p>
            <w:pPr>
              <w:jc w:val="right"/>
            </w:pPr>
            <w:r>
              <w:rPr>
                <w:rFonts w:eastAsiaTheme="minorEastAsia"/>
                <w:color w:themeColor="text1" w:val="000000"/>
                <w:sz w:val="24"/>
              </w:rPr>
              <w:t>43.14%</w:t>
            </w:r>
          </w:p>
        </w:tc>
        <w:tc>
          <w:tcPr>
            <w:vAlign w:val="center"/>
          </w:tcPr>
          <w:p>
            <w:pPr>
              <w:jc w:val="right"/>
            </w:pPr>
            <w:r>
              <w:rPr>
                <w:rFonts w:eastAsiaTheme="minorEastAsia"/>
                <w:color w:themeColor="text1" w:val="000000"/>
                <w:sz w:val="24"/>
              </w:rPr>
              <w:t>0.69%</w:t>
            </w:r>
          </w:p>
        </w:tc>
        <w:tc>
          <w:tcPr>
            <w:vAlign w:val="center"/>
          </w:tcPr>
          <w:p>
            <w:pPr>
              <w:jc w:val="right"/>
            </w:pPr>
            <w:r>
              <w:rPr>
                <w:rFonts w:eastAsiaTheme="minorEastAsia"/>
                <w:color w:themeColor="text1" w:val="000000"/>
                <w:sz w:val="24"/>
              </w:rPr>
              <w:t>-2.40%</w:t>
            </w:r>
          </w:p>
        </w:tc>
        <w:tc>
          <w:tcPr>
            <w:vAlign w:val="center"/>
          </w:tcPr>
          <w:p>
            <w:pPr>
              <w:jc w:val="right"/>
            </w:pPr>
            <w:r>
              <w:rPr>
                <w:rFonts w:eastAsiaTheme="minorEastAsia"/>
                <w:color w:themeColor="text1" w:val="000000"/>
                <w:sz w:val="24"/>
              </w:rPr>
              <w:t>0.01%</w:t>
            </w:r>
          </w:p>
        </w:tc>
      </w:tr>
      <w:tr>
        <w:tc>
          <w:tcPr>
            <w:vAlign w:val="center"/>
          </w:tcPr>
          <w:p>
            <w:pPr>
              <w:jc w:val="left"/>
            </w:pPr>
            <w:r>
              <w:rPr>
                <w:rFonts w:eastAsiaTheme="minorEastAsia"/>
                <w:color w:themeColor="text1" w:val="000000"/>
                <w:sz w:val="24"/>
              </w:rPr>
              <w:t>过去五年</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r>
      <w:tr>
        <w:tc>
          <w:tcPr>
            <w:vAlign w:val="center"/>
          </w:tcPr>
          <w:p>
            <w:pPr>
              <w:jc w:val="left"/>
            </w:pPr>
            <w:r>
              <w:rPr>
                <w:rFonts w:eastAsiaTheme="minorEastAsia"/>
                <w:color w:themeColor="text1" w:val="000000"/>
                <w:sz w:val="24"/>
              </w:rPr>
              <w:t>自基金合同生效起至今</w:t>
            </w:r>
          </w:p>
        </w:tc>
        <w:tc>
          <w:tcPr>
            <w:vAlign w:val="center"/>
          </w:tcPr>
          <w:p>
            <w:pPr>
              <w:jc w:val="right"/>
            </w:pPr>
            <w:r>
              <w:rPr>
                <w:rFonts w:eastAsiaTheme="minorEastAsia"/>
                <w:color w:themeColor="text1" w:val="000000"/>
                <w:sz w:val="24"/>
              </w:rPr>
              <w:t>33.21%</w:t>
            </w:r>
          </w:p>
        </w:tc>
        <w:tc>
          <w:tcPr>
            <w:vAlign w:val="center"/>
          </w:tcPr>
          <w:p>
            <w:pPr>
              <w:jc w:val="right"/>
            </w:pPr>
            <w:r>
              <w:rPr>
                <w:rFonts w:eastAsiaTheme="minorEastAsia"/>
                <w:color w:themeColor="text1" w:val="000000"/>
                <w:sz w:val="24"/>
              </w:rPr>
              <w:t>0.68%</w:t>
            </w:r>
          </w:p>
        </w:tc>
        <w:tc>
          <w:tcPr>
            <w:vAlign w:val="center"/>
          </w:tcPr>
          <w:p>
            <w:pPr>
              <w:jc w:val="right"/>
            </w:pPr>
            <w:r>
              <w:rPr>
                <w:rFonts w:eastAsiaTheme="minorEastAsia"/>
                <w:color w:themeColor="text1" w:val="000000"/>
                <w:sz w:val="24"/>
              </w:rPr>
              <w:t>35.32%</w:t>
            </w:r>
          </w:p>
        </w:tc>
        <w:tc>
          <w:tcPr>
            <w:vAlign w:val="center"/>
          </w:tcPr>
          <w:p>
            <w:pPr>
              <w:jc w:val="right"/>
            </w:pPr>
            <w:r>
              <w:rPr>
                <w:rFonts w:eastAsiaTheme="minorEastAsia"/>
                <w:color w:themeColor="text1" w:val="000000"/>
                <w:sz w:val="24"/>
              </w:rPr>
              <w:t>0.68%</w:t>
            </w:r>
          </w:p>
        </w:tc>
        <w:tc>
          <w:tcPr>
            <w:vAlign w:val="center"/>
          </w:tcPr>
          <w:p>
            <w:pPr>
              <w:jc w:val="right"/>
            </w:pPr>
            <w:r>
              <w:rPr>
                <w:rFonts w:eastAsiaTheme="minorEastAsia"/>
                <w:color w:themeColor="text1" w:val="000000"/>
                <w:sz w:val="24"/>
              </w:rPr>
              <w:t>-2.11%</w:t>
            </w:r>
          </w:p>
        </w:tc>
        <w:tc>
          <w:tcPr>
            <w:vAlign w:val="center"/>
          </w:tcPr>
          <w:p>
            <w:pPr>
              <w:jc w:val="right"/>
            </w:pPr>
            <w:r>
              <w:rPr>
                <w:rFonts w:eastAsiaTheme="minorEastAsia"/>
                <w:color w:themeColor="text1" w:val="000000"/>
                <w:sz w:val="24"/>
              </w:rPr>
              <w:t>0.00%</w:t>
            </w:r>
          </w:p>
        </w:tc>
      </w:tr>
    </w:tbl>
    <w:p w:rsidP="00C544B8" w:rsidR="009238DB" w:rsidRDefault="009238DB" w:rsidRPr="00B34368">
      <w:pPr>
        <w:spacing w:before="312" w:beforeLines="100" w:line="360" w:lineRule="auto"/>
        <w:rPr>
          <w:rFonts w:eastAsiaTheme="minorEastAsia"/>
          <w:b/>
          <w:color w:themeColor="text1" w:val="000000"/>
          <w:kern w:val="0"/>
          <w:sz w:val="24"/>
        </w:rPr>
      </w:pPr>
      <w:r w:rsidRPr="00B34368">
        <w:rPr>
          <w:rFonts w:eastAsiaTheme="minorEastAsia"/>
          <w:b/>
          <w:color w:themeColor="text1" w:val="000000"/>
          <w:kern w:val="0"/>
          <w:sz w:val="24"/>
        </w:rPr>
        <w:t>3.2.2</w:t>
      </w:r>
      <w:r w:rsidRPr="00B34368">
        <w:rPr>
          <w:rFonts w:eastAsiaTheme="minorEastAsia" w:hAnsiTheme="minorEastAsia"/>
          <w:b/>
          <w:color w:themeColor="text1" w:val="000000"/>
          <w:kern w:val="0"/>
          <w:sz w:val="24"/>
        </w:rPr>
        <w:t xml:space="preserve">　</w:t>
      </w:r>
      <w:r w:rsidR="00FE0C8B" w:rsidRPr="00B34368">
        <w:rPr>
          <w:rStyle w:val="af6"/>
          <w:rFonts w:eastAsiaTheme="minorEastAsia"/>
          <w:color w:themeColor="text1" w:val="000000"/>
          <w:sz w:val="24"/>
          <w:shd w:color="auto" w:fill="FFFFFF" w:val="clear"/>
        </w:rPr>
        <w:t/>
      </w:r>
      <w:proofErr w:type="spellStart"/>
      <w:r w:rsidR="00FE0C8B" w:rsidRPr="00B34368">
        <w:rPr>
          <w:rStyle w:val="af6"/>
          <w:rFonts w:eastAsiaTheme="minorEastAsia"/>
          <w:color w:themeColor="text1" w:val="000000"/>
          <w:sz w:val="24"/>
          <w:shd w:color="auto" w:fill="FFFFFF" w:val="clear"/>
        </w:rPr>
        <w:t/>
      </w:r>
      <w:proofErr w:type="spellEnd"/>
      <w:r w:rsidR="00FE0C8B" w:rsidRPr="00B34368">
        <w:rPr>
          <w:rStyle w:val="af6"/>
          <w:rFonts w:eastAsiaTheme="minorEastAsia"/>
          <w:color w:themeColor="text1" w:val="000000"/>
          <w:sz w:val="24"/>
          <w:shd w:color="auto" w:fill="FFFFFF" w:val="clear"/>
        </w:rPr>
        <w:t>自基金合同生效以来</w:t>
      </w:r>
      <w:r w:rsidR="00BF57BE" w:rsidRPr="00B34368">
        <w:rPr>
          <w:rFonts w:eastAsiaTheme="minorEastAsia" w:hAnsiTheme="minorEastAsia"/>
          <w:b/>
          <w:color w:themeColor="text1" w:val="000000"/>
          <w:sz w:val="24"/>
        </w:rPr>
        <w:t>基金累计净值增长率变动及其与同期业绩比较基准收益率变动的比较</w:t>
      </w:r>
    </w:p>
    <w:p w:rsidP="00FC13C8" w:rsidR="009A045B" w:rsidRDefault="009A045B" w:rsidRPr="00B34368">
      <w:pPr>
        <w:spacing w:line="360" w:lineRule="auto"/>
        <w:jc w:val="center"/>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易方达黄金交易型开放式证券投资基金联接基金</w:t>
      </w:r>
    </w:p>
    <w:p w:rsidP="00F84D52" w:rsidR="00F84D52" w:rsidRDefault="00022396">
      <w:pPr>
        <w:pStyle w:val="a5"/>
        <w:snapToGrid w:val="0"/>
        <w:spacing w:line="360" w:lineRule="auto"/>
        <w:ind w:firstLine="480"/>
        <w:jc w:val="center"/>
        <w:rPr>
          <w:rFonts w:ascii="Times New Roman" w:eastAsiaTheme="minorEastAsia" w:hAnsi="Times New Roman"/>
          <w:color w:themeColor="text1" w:val="000000"/>
          <w:sz w:val="24"/>
          <w:szCs w:val="24"/>
        </w:rPr>
      </w:pPr>
      <w:r w:rsidRPr="00B34368">
        <w:rPr>
          <w:rFonts w:ascii="Times New Roman" w:eastAsiaTheme="minorEastAsia" w:hAnsiTheme="minorEastAsia"/>
          <w:color w:themeColor="text1" w:val="000000"/>
          <w:sz w:val="24"/>
          <w:szCs w:val="24"/>
        </w:rPr>
        <w:t>累计净值增长率与业绩比较基准收益率的历史走势对比图</w:t>
      </w:r>
    </w:p>
    <w:p w:rsidP="00F84D52" w:rsidR="00F84D52" w:rsidRDefault="0042785F">
      <w:pPr>
        <w:snapToGrid w:val="0"/>
        <w:spacing w:line="360" w:lineRule="auto"/>
        <w:rPr>
          <w:rFonts w:eastAsiaTheme="minorEastAsia" w:hAnsi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易方达黄金ETF联接A</w:t>
      </w:r>
      <w:r w:rsidR="009238DB" w:rsidRPr="00B34368">
        <w:rPr>
          <w:rFonts w:eastAsiaTheme="minorEastAsia" w:hAnsiTheme="minorEastAsia"/>
          <w:color w:themeColor="text1" w:val="000000"/>
          <w:sz w:val="24"/>
        </w:rPr>
        <w:t>：</w:t>
      </w:r>
    </w:p>
    <w:p w:rsidP="00937445" w:rsidR="009238DB" w:rsidRDefault="00F84D52" w:rsidRPr="00F84D52">
      <w:pPr>
        <w:pStyle w:val="a5"/>
        <w:snapToGrid w:val="0"/>
        <w:spacing w:line="360" w:lineRule="auto"/>
        <w:jc w:val="center"/>
        <w:rPr>
          <w:rFonts w:ascii="Times New Roman" w:hAnsi="Times New Roman"/>
          <w:sz w:val="24"/>
          <w:szCs w:val="24"/>
        </w:rPr>
      </w:pPr>
      <w:r w:rsidRPr="00F84D52">
        <w:rPr>
          <w:rFonts w:ascii="Times New Roman" w:hAnsi="Times New Roman"/>
          <w:sz w:val="24"/>
          <w:szCs w:val="24"/>
        </w:rPr>
        <w:t/>
      </w:r>
      <w:proofErr w:type="spellStart"/>
      <w:proofErr w:type="gramStart"/>
      <w:r w:rsidRPr="00F84D52">
        <w:rPr>
          <w:rFonts w:ascii="Times New Roman" w:hAnsi="Times New Roman"/>
          <w:sz w:val="24"/>
          <w:szCs w:val="24"/>
        </w:rPr>
        <w:t/>
      </w:r>
      <w:proofErr w:type="spellEnd"/>
      <w:r w:rsidRPr="00F84D52">
        <w:rPr>
          <w:rFonts w:ascii="Times New Roman" w:hAnsi="Times New Roman"/>
          <w:sz w:val="24"/>
          <w:szCs w:val="24"/>
        </w:rPr>
        <w:t/>
      </w:r>
      <w:proofErr w:type="gramEnd"/>
      <w:r w:rsidRPr="00F84D52">
        <w:rPr>
          <w:rFonts w:ascii="Times New Roman" w:hAnsi="Times New Roman"/>
          <w:sz w:val="24"/>
          <w:szCs w:val="24"/>
        </w:rPr>
        <w:t>（2016年5月26日至2020年6月30日）</w:t>
      </w:r>
    </w:p>
    <w:p w:rsidP="00FC7F43" w:rsidR="00FC7F43" w:rsidRDefault="006F5B4C" w:rsidRPr="00B34368">
      <w:pPr>
        <w:pStyle w:val="20"/>
        <w:spacing w:line="288" w:lineRule="auto"/>
        <w:ind w:firstLine="0" w:firstLineChars="0"/>
        <w:jc w:val="center"/>
        <w:rPr>
          <w:rFonts w:ascii="Times New Roman" w:eastAsiaTheme="minorEastAsia" w:hAnsi="Times New Roman"/>
          <w:color w:themeColor="text1" w:val="000000"/>
        </w:rPr>
      </w:pPr>
      <w:r w:rsidRPr="00B34368">
        <w:rPr>
          <w:rFonts w:ascii="Times New Roman" w:eastAsiaTheme="minorEastAsia" w:hAnsi="Times New Roman"/>
          <w:noProof/>
          <w:color w:themeColor="text1" w:val="000000"/>
        </w:rPr>
        <w:drawing>
          <wp:inline distB="0" distL="0" distR="0" distT="0">
            <wp:extent cx="5591175" cy="3276600"/>
            <wp:effectExtent b="0" l="0" r="0" t="0"/>
            <wp:docPr descr="D:\浏览器下载\走势图柱状图\走势图1.jpg"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浏览器下载\走势图柱状图\走势图1.jpg" id="0" name="Picture 1"/>
                    <pic:cNvPicPr>
                      <a:picLocks noChangeArrowheads="1" noChangeAspect="1"/>
                    </pic:cNvPicPr>
                  </pic:nvPicPr>
                  <pic:blipFill>
                    <a:blip cstate="print" r:embed="rId11">
                      <a:extLst>
                        <a:ext uri="{28A0092B-C50C-407E-A947-70E740481C1C}">
                          <a14:useLocalDpi xmlns:a14="http://schemas.microsoft.com/office/drawing/2010/main" val="0"/>
                        </a:ext>
                      </a:extLst>
                    </a:blip>
                    <a:srcRect/>
                    <a:stretch>
                      <a:fillRect/>
                    </a:stretch>
                  </pic:blipFill>
                  <pic:spPr bwMode="auto">
                    <a:xfrm>
                      <a:off x="0" y="0"/>
                      <a:ext cx="5591175" cy="3276600"/>
                    </a:xfrm>
                    <a:prstGeom prst="rect">
                      <a:avLst/>
                    </a:prstGeom>
                    <a:noFill/>
                    <a:ln>
                      <a:noFill/>
                    </a:ln>
                  </pic:spPr>
                </pic:pic>
              </a:graphicData>
            </a:graphic>
          </wp:inline>
        </w:drawing>
      </w:r>
    </w:p>
    <w:p w:rsidP="00F84D52" w:rsidR="00F84D52" w:rsidRDefault="0042785F">
      <w:pPr>
        <w:snapToGrid w:val="0"/>
        <w:spacing w:before="312" w:beforeLines="100" w:line="360" w:lineRule="auto"/>
        <w:rPr>
          <w:rFonts w:eastAsiaTheme="minorEastAsia" w:hAnsi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易方达黄金ETF联接C</w:t>
      </w:r>
      <w:r w:rsidRPr="00B34368">
        <w:rPr>
          <w:rFonts w:eastAsiaTheme="minorEastAsia" w:hAnsiTheme="minorEastAsia"/>
          <w:color w:themeColor="text1" w:val="000000"/>
          <w:sz w:val="24"/>
        </w:rPr>
        <w:t>：</w:t>
      </w:r>
    </w:p>
    <w:p w:rsidP="00937445" w:rsidR="009238DB" w:rsidRDefault="00F84D52" w:rsidRPr="00F84D52">
      <w:pPr>
        <w:pStyle w:val="a5"/>
        <w:snapToGrid w:val="0"/>
        <w:spacing w:line="360" w:lineRule="auto"/>
        <w:jc w:val="center"/>
        <w:rPr>
          <w:rFonts w:ascii="Times New Roman" w:hAnsi="Times New Roman"/>
          <w:sz w:val="24"/>
          <w:szCs w:val="24"/>
        </w:rPr>
      </w:pPr>
      <w:r w:rsidRPr="00F84D52">
        <w:rPr>
          <w:rFonts w:ascii="Times New Roman" w:hAnsi="Times New Roman"/>
          <w:sz w:val="24"/>
          <w:szCs w:val="24"/>
        </w:rPr>
        <w:t/>
      </w:r>
      <w:proofErr w:type="spellStart"/>
      <w:proofErr w:type="gramStart"/>
      <w:r w:rsidRPr="00F84D52">
        <w:rPr>
          <w:rFonts w:ascii="Times New Roman" w:hAnsi="Times New Roman"/>
          <w:sz w:val="24"/>
          <w:szCs w:val="24"/>
        </w:rPr>
        <w:t/>
      </w:r>
      <w:proofErr w:type="spellEnd"/>
      <w:r w:rsidRPr="00F84D52">
        <w:rPr>
          <w:rFonts w:ascii="Times New Roman" w:hAnsi="Times New Roman"/>
          <w:sz w:val="24"/>
          <w:szCs w:val="24"/>
        </w:rPr>
        <w:t/>
      </w:r>
      <w:proofErr w:type="gramEnd"/>
      <w:r w:rsidRPr="00F84D52">
        <w:rPr>
          <w:rFonts w:ascii="Times New Roman" w:hAnsi="Times New Roman"/>
          <w:sz w:val="24"/>
          <w:szCs w:val="24"/>
        </w:rPr>
        <w:t>（2016年7月5日至2020年6月30日）</w:t>
      </w:r>
    </w:p>
    <w:p w:rsidP="00FC7F43" w:rsidR="00FC7F43" w:rsidRDefault="00B70229" w:rsidRPr="00B34368">
      <w:pPr>
        <w:pStyle w:val="20"/>
        <w:spacing w:line="288" w:lineRule="auto"/>
        <w:ind w:firstLine="0" w:firstLineChars="0"/>
        <w:jc w:val="center"/>
        <w:rPr>
          <w:rFonts w:ascii="Times New Roman" w:eastAsiaTheme="minorEastAsia" w:hAnsi="Times New Roman"/>
          <w:color w:themeColor="text1" w:val="000000"/>
        </w:rPr>
      </w:pPr>
      <w:r w:rsidRPr="00B34368">
        <w:rPr>
          <w:rFonts w:ascii="Times New Roman" w:eastAsiaTheme="minorEastAsia" w:hAnsi="Times New Roman"/>
          <w:noProof/>
          <w:color w:themeColor="text1" w:val="000000"/>
        </w:rPr>
        <w:lastRenderedPageBreak/>
        <w:drawing>
          <wp:inline distB="0" distL="0" distR="0" distT="0">
            <wp:extent cx="5591175" cy="3276600"/>
            <wp:effectExtent b="0" l="0" r="0" t="0"/>
            <wp:docPr descr="D:\浏览器下载\走势图柱状图\走势图2.jpg"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浏览器下载\走势图柱状图\走势图2.jpg" id="0" name="Picture 2"/>
                    <pic:cNvPicPr>
                      <a:picLocks noChangeArrowheads="1" noChangeAspect="1"/>
                    </pic:cNvPicPr>
                  </pic:nvPicPr>
                  <pic:blipFill>
                    <a:blip cstate="print" r:embed="rId12">
                      <a:extLst>
                        <a:ext uri="{28A0092B-C50C-407E-A947-70E740481C1C}">
                          <a14:useLocalDpi xmlns:a14="http://schemas.microsoft.com/office/drawing/2010/main" val="0"/>
                        </a:ext>
                      </a:extLst>
                    </a:blip>
                    <a:srcRect/>
                    <a:stretch>
                      <a:fillRect/>
                    </a:stretch>
                  </pic:blipFill>
                  <pic:spPr bwMode="auto">
                    <a:xfrm>
                      <a:off x="0" y="0"/>
                      <a:ext cx="5591175" cy="3276600"/>
                    </a:xfrm>
                    <a:prstGeom prst="rect">
                      <a:avLst/>
                    </a:prstGeom>
                    <a:noFill/>
                    <a:ln>
                      <a:noFill/>
                    </a:ln>
                  </pic:spPr>
                </pic:pic>
              </a:graphicData>
            </a:graphic>
          </wp:inline>
        </w:drawing>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注：1.自2016年7月1日起，本基金增设C类份额类别，份额首次确认日为2016年7月5日，增设当期的相关数据和指标按实际存续期计算。</w:t>
      </w:r>
    </w:p>
    <w:p w:rsidP="00B34368" w:rsidR="00973B57" w:rsidRDefault="00757FD7"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r w:rsidR="00FE7FBD" w:rsidRPr="00B34368">
        <w:rPr>
          <w:rFonts w:eastAsiaTheme="minorEastAsia"/>
          <w:color w:themeColor="text1" w:val="000000"/>
          <w:sz w:val="24"/>
        </w:rPr>
        <w:t/>
      </w:r>
      <w:r w:rsidRPr="00B34368">
        <w:rPr>
          <w:rFonts w:eastAsiaTheme="minorEastAsia"/>
          <w:color w:themeColor="text1" w:val="000000"/>
          <w:sz w:val="24"/>
        </w:rPr>
        <w:t/>
      </w:r>
      <w:proofErr w:type="gramStart"/>
      <w:r w:rsidRPr="00B34368">
        <w:rPr>
          <w:rFonts w:eastAsiaTheme="minorEastAsia"/>
          <w:color w:themeColor="text1" w:val="000000"/>
          <w:sz w:val="24"/>
        </w:rPr>
        <w:t/>
      </w:r>
      <w:proofErr w:type="gramEnd"/>
      <w:r w:rsidRPr="00B34368">
        <w:rPr>
          <w:rFonts w:eastAsiaTheme="minorEastAsia"/>
          <w:color w:themeColor="text1" w:val="000000"/>
          <w:sz w:val="24"/>
        </w:rPr>
        <w:t>2.自基金合同生效至报告期末，A类基金份额净值增长率为38.49%，同期业绩比较基准收益率为50.93%。C类基金份额净值增长率为33.21%，同期业绩比较基准收益率为35.32%。</w:t>
      </w:r>
    </w:p>
    <w:p w:rsidP="00E561F9" w:rsidR="00E561F9" w:rsidRDefault="00E561F9" w:rsidRPr="00B34368">
      <w:pPr>
        <w:tabs>
          <w:tab w:pos="1800" w:val="left"/>
        </w:tabs>
        <w:spacing w:line="288" w:lineRule="auto"/>
        <w:rPr>
          <w:rFonts w:eastAsiaTheme="minorEastAsia"/>
          <w:color w:themeColor="text1" w:val="000000"/>
          <w:sz w:val="24"/>
        </w:rPr>
      </w:pP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 xml:space="preserve">§4  </w:t>
      </w:r>
      <w:r w:rsidRPr="00B34368">
        <w:rPr>
          <w:rFonts w:eastAsiaTheme="minorEastAsia" w:hAnsiTheme="minorEastAsia"/>
          <w:color w:themeColor="text1" w:val="000000"/>
          <w:kern w:val="0"/>
          <w:sz w:val="24"/>
          <w:szCs w:val="24"/>
        </w:rPr>
        <w:t>管理人报告</w:t>
      </w:r>
    </w:p>
    <w:p w:rsidP="00C544B8" w:rsidR="00C544B8" w:rsidRDefault="009238DB">
      <w:pPr>
        <w:autoSpaceDE w:val="0"/>
        <w:autoSpaceDN w:val="0"/>
        <w:adjustRightInd w:val="0"/>
        <w:spacing w:line="360" w:lineRule="auto"/>
        <w:jc w:val="left"/>
        <w:rPr>
          <w:rFonts w:ascii="宋体" w:cs="Arial"/>
          <w:b/>
          <w:color w:val="000000"/>
          <w:kern w:val="0"/>
          <w:sz w:val="24"/>
        </w:rPr>
      </w:pPr>
      <w:r w:rsidRPr="00B34368">
        <w:rPr>
          <w:rFonts w:eastAsiaTheme="minorEastAsia"/>
          <w:b/>
          <w:color w:themeColor="text1" w:val="000000"/>
          <w:kern w:val="0"/>
          <w:sz w:val="24"/>
        </w:rPr>
        <w:t xml:space="preserve">4.1 </w:t>
      </w:r>
      <w:r w:rsidRPr="00B34368">
        <w:rPr>
          <w:rFonts w:eastAsiaTheme="minorEastAsia" w:hAnsiTheme="minorEastAsia"/>
          <w:b/>
          <w:color w:themeColor="text1" w:val="000000"/>
          <w:kern w:val="0"/>
          <w:sz w:val="24"/>
        </w:rPr>
        <w:t>基金经理（或基金经理小组）简介</w:t>
      </w:r>
    </w:p>
    <w:tbl>
      <w:tblPr>
        <w:tblW w:type="dxa" w:w="8925"/>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6"/>
        <w:gridCol w:w="2832"/>
        <w:gridCol w:w="851"/>
        <w:gridCol w:w="850"/>
        <w:gridCol w:w="851"/>
        <w:gridCol w:w="2975"/>
      </w:tblGrid>
      <w:tr w:rsidR="00C544B8" w:rsidTr="004E70B7">
        <w:trPr>
          <w:cantSplit/>
        </w:trPr>
        <w:tc>
          <w:tcPr>
            <w:tcW w:type="dxa" w:w="567"/>
            <w:vMerge w:val="restart"/>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lastRenderedPageBreak/>
              <w:t>姓名</w:t>
            </w:r>
          </w:p>
        </w:tc>
        <w:tc>
          <w:tcPr>
            <w:tcW w:type="dxa" w:w="2835"/>
            <w:vMerge w:val="restart"/>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职务</w:t>
            </w:r>
          </w:p>
        </w:tc>
        <w:tc>
          <w:tcPr>
            <w:tcW w:type="dxa" w:w="1701"/>
            <w:gridSpan w:val="2"/>
            <w:hideMark/>
          </w:tcPr>
          <w:p w:rsidR="00C544B8" w:rsidRDefault="00C544B8">
            <w:pPr>
              <w:autoSpaceDE w:val="0"/>
              <w:autoSpaceDN w:val="0"/>
              <w:adjustRightInd w:val="0"/>
              <w:spacing w:before="29" w:line="288" w:lineRule="auto"/>
              <w:ind w:left="15"/>
              <w:jc w:val="center"/>
              <w:rPr>
                <w:color w:val="000000"/>
                <w:kern w:val="0"/>
                <w:sz w:val="24"/>
              </w:rPr>
            </w:pPr>
            <w:proofErr w:type="gramStart"/>
            <w:r>
              <w:rPr>
                <w:rFonts w:hint="eastAsia"/>
                <w:color w:val="000000"/>
                <w:kern w:val="0"/>
                <w:sz w:val="24"/>
              </w:rPr>
              <w:t>任本基金</w:t>
            </w:r>
            <w:proofErr w:type="gramEnd"/>
            <w:r>
              <w:rPr>
                <w:rFonts w:hint="eastAsia"/>
                <w:color w:val="000000"/>
                <w:kern w:val="0"/>
                <w:sz w:val="24"/>
              </w:rPr>
              <w:t>的基金经理期限</w:t>
            </w:r>
          </w:p>
        </w:tc>
        <w:tc>
          <w:tcPr>
            <w:tcW w:type="dxa" w:w="851"/>
            <w:vMerge w:val="restart"/>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证券从业年限</w:t>
            </w:r>
          </w:p>
        </w:tc>
        <w:tc>
          <w:tcPr>
            <w:tcW w:type="dxa" w:w="2977"/>
            <w:vMerge w:val="restart"/>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说明</w:t>
            </w:r>
          </w:p>
        </w:tc>
      </w:tr>
      <w:tr w:rsidR="00C544B8" w:rsidTr="004E70B7">
        <w:trPr>
          <w:cantSplit/>
        </w:trPr>
        <w:tc>
          <w:tcPr>
            <w:tcW w:type="dxa" w:w="8931"/>
            <w:vMerge/>
            <w:vAlign w:val="center"/>
            <w:hideMark/>
          </w:tcPr>
          <w:p w:rsidR="00C544B8" w:rsidRDefault="00C544B8">
            <w:pPr>
              <w:widowControl/>
              <w:jc w:val="left"/>
              <w:rPr>
                <w:color w:val="000000"/>
                <w:kern w:val="0"/>
                <w:sz w:val="24"/>
              </w:rPr>
            </w:pPr>
          </w:p>
        </w:tc>
        <w:tc>
          <w:tcPr>
            <w:tcW w:type="dxa" w:w="2835"/>
            <w:vMerge/>
            <w:vAlign w:val="center"/>
            <w:hideMark/>
          </w:tcPr>
          <w:p w:rsidR="00C544B8" w:rsidRDefault="00C544B8">
            <w:pPr>
              <w:widowControl/>
              <w:jc w:val="left"/>
              <w:rPr>
                <w:color w:val="000000"/>
                <w:kern w:val="0"/>
                <w:sz w:val="24"/>
              </w:rPr>
            </w:pPr>
          </w:p>
        </w:tc>
        <w:tc>
          <w:tcPr>
            <w:tcW w:type="dxa" w:w="851"/>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任职日期</w:t>
            </w:r>
          </w:p>
        </w:tc>
        <w:tc>
          <w:tcPr>
            <w:tcW w:type="dxa" w:w="850"/>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离任日期</w:t>
            </w:r>
          </w:p>
        </w:tc>
        <w:tc>
          <w:tcPr>
            <w:tcW w:type="dxa" w:w="851"/>
            <w:vMerge/>
            <w:vAlign w:val="center"/>
            <w:hideMark/>
          </w:tcPr>
          <w:p w:rsidR="00C544B8" w:rsidRDefault="00C544B8">
            <w:pPr>
              <w:widowControl/>
              <w:jc w:val="left"/>
              <w:rPr>
                <w:color w:val="000000"/>
                <w:kern w:val="0"/>
                <w:sz w:val="24"/>
              </w:rPr>
            </w:pPr>
          </w:p>
        </w:tc>
        <w:tc>
          <w:tcPr>
            <w:tcW w:type="dxa" w:w="2977"/>
            <w:vMerge/>
            <w:vAlign w:val="center"/>
            <w:hideMark/>
          </w:tcPr>
          <w:p w:rsidR="00C544B8" w:rsidRDefault="00C544B8">
            <w:pPr>
              <w:widowControl/>
              <w:jc w:val="left"/>
              <w:rPr>
                <w:color w:val="000000"/>
                <w:kern w:val="0"/>
                <w:sz w:val="24"/>
              </w:rPr>
            </w:pPr>
          </w:p>
        </w:tc>
      </w:tr>
      <w:tr>
        <w:tc>
          <w:tcPr>
            <w:vAlign w:val="center"/>
          </w:tcPr>
          <w:p>
            <w:pPr>
              <w:jc w:val="center"/>
            </w:pPr>
            <w:r>
              <w:rPr>
                <w:color w:val="000000"/>
                <w:sz w:val="24"/>
              </w:rPr>
              <w:t>FAN BING（范冰）</w:t>
            </w:r>
          </w:p>
        </w:tc>
        <w:tc>
          <w:tcPr>
            <w:vAlign w:val="center"/>
          </w:tcPr>
          <w:p>
            <w:pPr>
              <w:jc w:val="left"/>
            </w:pPr>
            <w:r>
              <w:rPr>
                <w:color w:val="000000"/>
                <w:sz w:val="24"/>
              </w:rPr>
              <w:t>本基金的基金经理、易方达原油证券投资基金（QDII）的基金经理、易方达中证海外中国互联网50交易型开放式指数证券投资基金的基金经理、易方达黄金交易型开放式证券投资基金的基金经理、易方达标普500指数证券投资基金（LOF）的基金经理、易方达标普医疗保健指数证券投资基金（LOF）的基金经理、易方达标普信息科技指数证券投资基金（LOF）的基金经理、易方达标普生物科技指数证券投资基金（LOF）的基金经理、易方达纳斯达克100指数证券投资基金（LOF）的基金经理、易方达MSCI中国A股国际通交易型开放式指数证券投资基金的基金经理、易方达中证海外中国互联网50交易型开放式指数证券投资基金联接基金的基金经理、易方达MSCI中国A股国际通交易型开放式指数证券投资基金发起式联接基金的基金经理、易方达日兴资管日经225交易型开放式指数证券投资基金（QDII）的基金经理、易方达中证香港证券投资主题交易型开放式指数证券投资基金的基金经理</w:t>
            </w:r>
          </w:p>
        </w:tc>
        <w:tc>
          <w:tcPr>
            <w:vAlign w:val="center"/>
          </w:tcPr>
          <w:p>
            <w:pPr>
              <w:jc w:val="center"/>
            </w:pPr>
            <w:r>
              <w:rPr>
                <w:color w:val="000000"/>
                <w:sz w:val="24"/>
              </w:rPr>
              <w:t>2017-03-25</w:t>
            </w:r>
          </w:p>
        </w:tc>
        <w:tc>
          <w:tcPr>
            <w:vAlign w:val="center"/>
          </w:tcPr>
          <w:p>
            <w:pPr>
              <w:jc w:val="center"/>
            </w:pPr>
            <w:r>
              <w:rPr>
                <w:color w:val="000000"/>
                <w:sz w:val="24"/>
              </w:rPr>
              <w:t>-</w:t>
            </w:r>
          </w:p>
        </w:tc>
        <w:tc>
          <w:tcPr>
            <w:vAlign w:val="center"/>
          </w:tcPr>
          <w:p>
            <w:pPr>
              <w:jc w:val="center"/>
            </w:pPr>
            <w:r>
              <w:rPr>
                <w:color w:val="000000"/>
                <w:sz w:val="24"/>
              </w:rPr>
              <w:t>15年</w:t>
            </w:r>
          </w:p>
        </w:tc>
        <w:tc>
          <w:tcPr>
            <w:vAlign w:val="center"/>
          </w:tcPr>
          <w:p>
            <w:pPr>
              <w:jc w:val="both"/>
            </w:pPr>
            <w:r>
              <w:rPr>
                <w:color w:val="000000"/>
                <w:sz w:val="24"/>
              </w:rPr>
              <w:t>新加坡籍，硕士研究生，具有基金从业资格。曾任皇家加拿大银行托管部核算专员，美国道富集团中台交易支持专员，巴克莱资产管理公司悉尼金融数据部高级金融数据分析员、悉尼金融数据部主管、新加坡金融数据部主管，贝莱德集团金融数据运营部部门经理、风险控制与咨询部客户经理、亚太股票指数基金部基金经理，易方达基金管理有限公司易方达标普全球高端消费品指数增强型证券投资基金基金经理。</w:t>
            </w:r>
          </w:p>
        </w:tc>
      </w:tr>
      <w:tr>
        <w:tc>
          <w:tcPr>
            <w:vAlign w:val="center"/>
          </w:tcPr>
          <w:p>
            <w:pPr>
              <w:jc w:val="center"/>
            </w:pPr>
            <w:r>
              <w:rPr>
                <w:color w:val="000000"/>
                <w:sz w:val="24"/>
              </w:rPr>
              <w:t>余海燕</w:t>
            </w:r>
          </w:p>
        </w:tc>
        <w:tc>
          <w:tcPr>
            <w:vAlign w:val="center"/>
          </w:tcPr>
          <w:p>
            <w:pPr>
              <w:jc w:val="left"/>
            </w:pPr>
            <w:r>
              <w:rPr>
                <w:color w:val="000000"/>
                <w:sz w:val="24"/>
              </w:rPr>
              <w:t>本基金的基金经理、易方达沪深300医药卫生交易型开放式指数证券投资基金的基金经理、易方达沪深300非银行金融交易型开放式指数证券投资基金的基金经理、易方达沪深300非银行金融交易型开放式指数证券投资基金联接基金的基金经理、易方达上证50指数分级证券投资基金的基金经理、易方达国企改革指数分级证券投资基金的基金经理、易方达证券公司指数分级证券投资基金的基金经理、易方达军工指数分级证券投资基金的基金经理、易方达中证500交易型开放式指数证券投资基金的基金经理、易方达沪深300交易型开放式指数发起式证券投资基金联接基金的基金经理、易方达沪深300交易型开放式指数发起式证券投资基金的基金经理、易方达中证海外中国互联网50交易型开放式指数证券投资基金的基金经理、易方达中证军工交易型开放式指数证券投资基金的基金经理、易方达中证全指证券公司交易型开放式指数证券投资基金的基金经理、易方达沪深300医药卫生交易型开放式指数证券投资基金联接基金的基金经理、易方达恒生中国企业交易型开放式指数证券投资基金联接基金的基金经理、易方达恒生中国企业交易型开放式指数证券投资基金的基金经理、易方达黄金交易型开放式证券投资基金的基金经理、易方达中证海外中国互联网50交易型开放式指数证券投资基金联接基金的基金经理、易方达中证500交易型开放式指数证券投资基金发起式联接基金的基金经理、易方达日兴资管日经225交易型开放式指数证券投资基金（QDII）的基金经理、易方达上证50交易型开放式指数证券投资基金的基金经理、易方达上证50交易型开放式指数证券投资基金发起式联接基金的基金经理、指数投资部副总经理</w:t>
            </w:r>
          </w:p>
        </w:tc>
        <w:tc>
          <w:tcPr>
            <w:vAlign w:val="center"/>
          </w:tcPr>
          <w:p>
            <w:pPr>
              <w:jc w:val="center"/>
            </w:pPr>
            <w:r>
              <w:rPr>
                <w:color w:val="000000"/>
                <w:sz w:val="24"/>
              </w:rPr>
              <w:t>2018-08-11</w:t>
            </w:r>
          </w:p>
        </w:tc>
        <w:tc>
          <w:tcPr>
            <w:vAlign w:val="center"/>
          </w:tcPr>
          <w:p>
            <w:pPr>
              <w:jc w:val="center"/>
            </w:pPr>
            <w:r>
              <w:rPr>
                <w:color w:val="000000"/>
                <w:sz w:val="24"/>
              </w:rPr>
              <w:t>-</w:t>
            </w:r>
          </w:p>
        </w:tc>
        <w:tc>
          <w:tcPr>
            <w:vAlign w:val="center"/>
          </w:tcPr>
          <w:p>
            <w:pPr>
              <w:jc w:val="center"/>
            </w:pPr>
            <w:r>
              <w:rPr>
                <w:color w:val="000000"/>
                <w:sz w:val="24"/>
              </w:rPr>
              <w:t>15年</w:t>
            </w:r>
          </w:p>
        </w:tc>
        <w:tc>
          <w:tcPr>
            <w:vAlign w:val="center"/>
          </w:tcPr>
          <w:p>
            <w:pPr>
              <w:jc w:val="both"/>
            </w:pPr>
            <w:r>
              <w:rPr>
                <w:color w:val="000000"/>
                <w:sz w:val="24"/>
              </w:rPr>
              <w:t>硕士研究生，具有基金从业资格。曾任汇丰银行Consumer Credit Risk信用风险分析师，华宝兴业基金管理有限公司分析师、基金经理助理、基金经理，易方达基金管理有限公司投资发展部产品经理。</w:t>
            </w:r>
          </w:p>
        </w:tc>
      </w:tr>
    </w:tbl>
    <w:p>
      <w:pPr>
        <w:autoSpaceDE w:val="0"/>
        <w:autoSpaceDN w:val="0"/>
        <w:adjustRightInd w:val="0"/>
        <w:spacing w:line="360" w:lineRule="auto"/>
        <w:ind w:firstLine="480" w:firstLineChars="200"/>
        <w:jc w:val="left"/>
        <w:rPr>
          <w:rFonts w:eastAsiaTheme="minorEastAsia"/>
          <w:color w:themeColor="text1"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547A9A" w:rsidR="005C7D00" w:rsidRDefault="00C544B8" w:rsidRPr="00B34368">
      <w:pPr>
        <w:autoSpaceDE w:val="0"/>
        <w:autoSpaceDN w:val="0"/>
        <w:adjustRightInd w:val="0"/>
        <w:spacing w:line="360" w:lineRule="auto"/>
        <w:ind w:firstLine="480" w:firstLineChars="200"/>
        <w:jc w:val="left"/>
        <w:rPr>
          <w:rFonts w:eastAsiaTheme="minorEastAsia"/>
          <w:color w:themeColor="text1" w:val="000000"/>
          <w:sz w:val="24"/>
        </w:rPr>
      </w:pPr>
      <w:r>
        <w:rPr>
          <w:color w:val="000000"/>
          <w:sz w:val="24"/>
        </w:rPr>
        <w:t/>
      </w:r>
      <w:proofErr w:type="gramStart"/>
      <w:r>
        <w:rPr>
          <w:color w:val="000000"/>
          <w:sz w:val="24"/>
        </w:rPr>
        <w:t/>
      </w:r>
      <w:proofErr w:type="gramEnd"/>
      <w:r>
        <w:rPr>
          <w:color w:val="000000"/>
          <w:sz w:val="24"/>
        </w:rPr>
        <w:t>2.证券从业的含义遵从《证券业从业人员资格管理办法》的相关规定。</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4.2</w:t>
      </w:r>
      <w:r w:rsidR="00B34368" w:rsidRPr="00B34368">
        <w:rPr>
          <w:rFonts w:eastAsiaTheme="minorEastAsia" w:hAnsiTheme="minorEastAsia"/>
          <w:b/>
          <w:color w:themeColor="text1" w:val="000000"/>
          <w:kern w:val="0"/>
          <w:sz w:val="24"/>
        </w:rPr>
        <w:t>管理人对</w:t>
      </w:r>
      <w:r w:rsidRPr="00B34368">
        <w:rPr>
          <w:rFonts w:eastAsiaTheme="minorEastAsia" w:hAnsiTheme="minorEastAsia"/>
          <w:b/>
          <w:color w:themeColor="text1" w:val="000000"/>
          <w:kern w:val="0"/>
          <w:sz w:val="24"/>
        </w:rPr>
        <w:t>报告期内本基金运作遵规守信情况</w:t>
      </w:r>
      <w:r w:rsidR="002F7889" w:rsidRPr="002F7889">
        <w:rPr>
          <w:rFonts w:eastAsiaTheme="minorEastAsia" w:hAnsiTheme="minorEastAsia"/>
          <w:b/>
          <w:color w:themeColor="text1" w:val="000000"/>
          <w:kern w:val="0"/>
          <w:sz w:val="24"/>
        </w:rPr>
        <w:t>的</w:t>
      </w:r>
      <w:r w:rsidRPr="00B34368">
        <w:rPr>
          <w:rFonts w:eastAsiaTheme="minorEastAsia" w:hAnsiTheme="minorEastAsia"/>
          <w:b/>
          <w:color w:themeColor="text1" w:val="000000"/>
          <w:kern w:val="0"/>
          <w:sz w:val="24"/>
        </w:rPr>
        <w:t>说明</w:t>
      </w:r>
    </w:p>
    <w:p w:rsidP="00B34368" w:rsidR="009238DB" w:rsidRDefault="00323F25"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4.3 </w:t>
      </w:r>
      <w:r w:rsidRPr="00B34368">
        <w:rPr>
          <w:rFonts w:eastAsiaTheme="minorEastAsia" w:hAnsiTheme="minorEastAsia"/>
          <w:b/>
          <w:color w:themeColor="text1" w:val="000000"/>
          <w:kern w:val="0"/>
          <w:sz w:val="24"/>
        </w:rPr>
        <w:t>公平交易专项说明</w:t>
      </w:r>
    </w:p>
    <w:p w:rsidP="00FC13C8" w:rsidR="00D15733" w:rsidRDefault="00D15733" w:rsidRPr="00B34368">
      <w:pPr>
        <w:spacing w:line="360" w:lineRule="auto"/>
        <w:rPr>
          <w:rFonts w:eastAsiaTheme="minorEastAsia"/>
          <w:color w:themeColor="text1" w:val="000000"/>
          <w:sz w:val="24"/>
        </w:rPr>
      </w:pPr>
      <w:r w:rsidRPr="00B34368">
        <w:rPr>
          <w:rFonts w:eastAsiaTheme="minorEastAsia"/>
          <w:color w:themeColor="text1" w:val="000000"/>
          <w:sz w:val="24"/>
        </w:rPr>
        <w:t xml:space="preserve">4.3.1 </w:t>
      </w:r>
      <w:r w:rsidRPr="00B34368">
        <w:rPr>
          <w:rFonts w:eastAsiaTheme="minorEastAsia" w:hAnsiTheme="minorEastAsia"/>
          <w:color w:themeColor="text1" w:val="000000"/>
          <w:sz w:val="24"/>
        </w:rPr>
        <w:t>公平交易制度的执行情况</w:t>
      </w:r>
    </w:p>
    <w:p w:rsidP="00B34368" w:rsidR="00D15733" w:rsidRDefault="00323F25"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FC13C8" w:rsidR="00D15733" w:rsidRDefault="00D15733" w:rsidRPr="00B34368">
      <w:pPr>
        <w:spacing w:line="360" w:lineRule="auto"/>
        <w:rPr>
          <w:rFonts w:eastAsiaTheme="minorEastAsia"/>
          <w:color w:themeColor="text1" w:val="000000"/>
          <w:sz w:val="24"/>
        </w:rPr>
      </w:pPr>
      <w:r w:rsidRPr="00B34368">
        <w:rPr>
          <w:rFonts w:eastAsiaTheme="minorEastAsia"/>
          <w:color w:themeColor="text1" w:val="000000"/>
          <w:sz w:val="24"/>
        </w:rPr>
        <w:t>4.3.</w:t>
      </w:r>
      <w:r w:rsidR="005B6047" w:rsidRPr="00B34368">
        <w:rPr>
          <w:rFonts w:eastAsiaTheme="minorEastAsia"/>
          <w:color w:themeColor="text1" w:val="000000"/>
          <w:sz w:val="24"/>
        </w:rPr>
        <w:t>2</w:t>
      </w:r>
      <w:r w:rsidRPr="00B34368">
        <w:rPr>
          <w:rFonts w:eastAsiaTheme="minorEastAsia"/>
          <w:color w:themeColor="text1" w:val="000000"/>
          <w:sz w:val="24"/>
        </w:rPr>
        <w:t xml:space="preserve"> </w:t>
      </w:r>
      <w:r w:rsidRPr="00B34368">
        <w:rPr>
          <w:rFonts w:eastAsiaTheme="minorEastAsia" w:hAnsiTheme="minorEastAsia"/>
          <w:color w:themeColor="text1" w:val="000000"/>
          <w:sz w:val="24"/>
        </w:rPr>
        <w:t>异常交易行为的专项说明</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B34368" w:rsidR="009238DB" w:rsidRDefault="00323F25"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本报告期内，未发现本基金有可能导致不公平交易和利益输送的异常交易。</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4.4 </w:t>
      </w:r>
      <w:r w:rsidRPr="00B34368">
        <w:rPr>
          <w:rFonts w:eastAsiaTheme="minorEastAsia" w:hAnsiTheme="minorEastAsia"/>
          <w:b/>
          <w:color w:themeColor="text1" w:val="000000"/>
          <w:kern w:val="0"/>
          <w:sz w:val="24"/>
        </w:rPr>
        <w:t>报告期内基金的投资策略和业绩表现说明</w:t>
      </w:r>
    </w:p>
    <w:p w:rsidP="00FC13C8" w:rsidR="00952A72" w:rsidRDefault="00952A72" w:rsidRPr="00B34368">
      <w:pPr>
        <w:spacing w:line="360" w:lineRule="auto"/>
        <w:rPr>
          <w:rFonts w:eastAsiaTheme="minorEastAsia"/>
          <w:color w:themeColor="text1" w:val="000000"/>
          <w:sz w:val="24"/>
        </w:rPr>
      </w:pPr>
      <w:r w:rsidRPr="00B34368">
        <w:rPr>
          <w:rFonts w:eastAsiaTheme="minorEastAsia"/>
          <w:color w:themeColor="text1" w:val="000000"/>
          <w:sz w:val="24"/>
        </w:rPr>
        <w:t>4.4.1</w:t>
      </w:r>
      <w:r w:rsidRPr="00B34368">
        <w:rPr>
          <w:rFonts w:eastAsiaTheme="minorEastAsia" w:hAnsiTheme="minorEastAsia"/>
          <w:color w:themeColor="text1" w:val="000000"/>
          <w:sz w:val="24"/>
        </w:rPr>
        <w:t>报告期内基金投资策略和运作分析</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回顾2020年二季度，全球经济前景仍然充满不确定性，疫情感染人数继续攀升。全球主要经济体纷纷开启货币及财政政策刺激，提高了市场的风险偏好。美联储6月货币政策会议决议鸽派基调明显，符合市场预期，加息路径点阵图显示，利率预计将维持在当前水平直至2022年。欧洲央行也维持基准利率水平不变，并提高了流行病紧急资产购买计划的规模。2020年6月以来，受疫情影响，美国多地撤回了经济重启计划。美国和中国及欧洲的贸易摩擦升温，再次对全球风险偏好形成压制。在全球货币宽松和避险情绪推动下，黄金价格在二季度走强，创出2013年以来的新高。</w:t>
      </w:r>
    </w:p>
    <w:p w:rsidP="00B34368" w:rsidR="00952A72" w:rsidRDefault="00323F25"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本基金是易方达黄金ETF的联接基金，主要投资于黄金ETF，我们在操作中严格遵守基金合同，坚持既定的指数化投资策略，力求追踪误差最小化。</w:t>
      </w:r>
    </w:p>
    <w:p w:rsidP="00FC13C8" w:rsidR="00952A72" w:rsidRDefault="00952A72" w:rsidRPr="00B34368">
      <w:pPr>
        <w:spacing w:line="360" w:lineRule="auto"/>
        <w:rPr>
          <w:rFonts w:eastAsiaTheme="minorEastAsia"/>
          <w:color w:themeColor="text1" w:val="000000"/>
          <w:sz w:val="24"/>
        </w:rPr>
      </w:pPr>
      <w:r w:rsidRPr="00B34368">
        <w:rPr>
          <w:rFonts w:eastAsiaTheme="minorEastAsia"/>
          <w:color w:themeColor="text1" w:val="000000"/>
          <w:sz w:val="24"/>
        </w:rPr>
        <w:t>4.4.2</w:t>
      </w:r>
      <w:r w:rsidRPr="00B34368">
        <w:rPr>
          <w:rFonts w:eastAsiaTheme="minorEastAsia" w:hAnsiTheme="minorEastAsia"/>
          <w:color w:themeColor="text1" w:val="000000"/>
          <w:sz w:val="24"/>
        </w:rPr>
        <w:t>报告期内基金的业绩表现</w:t>
      </w:r>
    </w:p>
    <w:p w:rsidP="00F405D4" w:rsidR="008129C0" w:rsidRDefault="00323F25" w:rsidRPr="00F405D4">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截至报告期末，本基金A类基金份额净值为1.3849元，本报告期份额净值增长率为9.04%，同期业绩比较基准收益率为8.73%；C类基金份额净值为1.3709元，本报告期份额净值增长率为8.94%，同期业绩比较基准收益率为8.73%，年化跟踪误差0.675%，在合同规定的目标控制范围之内。</w:t>
      </w: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lastRenderedPageBreak/>
        <w:t xml:space="preserve">§5  </w:t>
      </w:r>
      <w:r w:rsidRPr="00B34368">
        <w:rPr>
          <w:rFonts w:eastAsiaTheme="minorEastAsia" w:hAnsiTheme="minorEastAsia"/>
          <w:color w:themeColor="text1" w:val="000000"/>
          <w:kern w:val="0"/>
          <w:sz w:val="24"/>
          <w:szCs w:val="24"/>
        </w:rPr>
        <w:t>投资组合报告</w:t>
      </w:r>
    </w:p>
    <w:p w:rsidP="00FC13C8" w:rsidR="009238DB" w:rsidRDefault="009238DB" w:rsidRPr="00B34368">
      <w:pPr>
        <w:autoSpaceDE w:val="0"/>
        <w:autoSpaceDN w:val="0"/>
        <w:adjustRightInd w:val="0"/>
        <w:spacing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5.1 </w:t>
      </w:r>
      <w:r w:rsidRPr="00B34368">
        <w:rPr>
          <w:rFonts w:eastAsiaTheme="minorEastAsia" w:hAnsiTheme="minorEastAsia"/>
          <w:b/>
          <w:color w:themeColor="text1" w:val="000000"/>
          <w:kern w:val="0"/>
          <w:sz w:val="24"/>
        </w:rPr>
        <w:t>报告期末基金资产组合情况</w:t>
      </w:r>
    </w:p>
    <w:tbl>
      <w:tblPr>
        <w:tblStyle w:val="af2"/>
        <w:tblW w:type="auto" w:w="0"/>
        <w:tblInd w:type="dxa" w:w="108"/>
        <w:tblLayout w:type="fixed"/>
        <w:tblLook w:firstColumn="1" w:firstRow="1" w:lastColumn="0" w:lastRow="0" w:noHBand="0" w:noVBand="1" w:val="04A0"/>
      </w:tblPr>
      <w:tblGrid>
        <w:gridCol w:w="720"/>
        <w:gridCol w:w="3357"/>
        <w:gridCol w:w="2694"/>
        <w:gridCol w:w="1757"/>
      </w:tblGrid>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序号</w:t>
            </w:r>
          </w:p>
        </w:tc>
        <w:tc>
          <w:tcPr>
            <w:tcW w:type="dxa" w:w="3357"/>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项目</w:t>
            </w:r>
          </w:p>
        </w:tc>
        <w:tc>
          <w:tcPr>
            <w:tcW w:type="dxa" w:w="2694"/>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金额</w:t>
            </w:r>
            <w:r w:rsidRPr="00B34368">
              <w:rPr>
                <w:rFonts w:eastAsiaTheme="minorEastAsia"/>
                <w:color w:themeColor="text1" w:val="000000"/>
                <w:sz w:val="24"/>
              </w:rPr>
              <w:t>(</w:t>
            </w:r>
            <w:r w:rsidRPr="00B34368">
              <w:rPr>
                <w:rFonts w:eastAsiaTheme="minorEastAsia" w:hAnsiTheme="minorEastAsia"/>
                <w:color w:themeColor="text1" w:val="000000"/>
                <w:sz w:val="24"/>
              </w:rPr>
              <w:t>元</w:t>
            </w:r>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占基金总资产的比例</w:t>
            </w:r>
            <w:r w:rsidRPr="00B34368">
              <w:rPr>
                <w:rFonts w:eastAsiaTheme="minorEastAsia"/>
                <w:color w:themeColor="text1" w:val="000000"/>
                <w:sz w:val="24"/>
              </w:rPr>
              <w:t>(%)</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1</w:t>
            </w: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权益投资</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其中：股票</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2</w:t>
            </w: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基金投资</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2,401,095,920.68</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91.56</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3</w:t>
            </w: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固定收益投资</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70,377,000.00</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2.68</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其中：债券</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r w:rsidRPr="00B34368">
              <w:rPr>
                <w:rFonts w:eastAsiaTheme="minorEastAsia"/>
                <w:color w:themeColor="text1" w:val="000000"/>
                <w:sz w:val="24"/>
              </w:rPr>
              <w:lastRenderedPageBreak/>
              <w:t/>
            </w:r>
            <w:proofErr w:type="spellEnd"/>
            <w:r w:rsidRPr="00B34368">
              <w:rPr>
                <w:rFonts w:eastAsiaTheme="minorEastAsia"/>
                <w:color w:themeColor="text1" w:val="000000"/>
                <w:sz w:val="24"/>
              </w:rPr>
              <w:t>70,377,000.00</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lastRenderedPageBreak/>
              <w:t/>
            </w:r>
            <w:r w:rsidRPr="00B34368">
              <w:rPr>
                <w:rFonts w:eastAsiaTheme="minorEastAsia"/>
                <w:color w:themeColor="text1" w:val="000000"/>
                <w:sz w:val="24"/>
              </w:rPr>
              <w:lastRenderedPageBreak/>
              <w:t>2.68</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p>
        </w:tc>
        <w:tc>
          <w:tcPr>
            <w:tcW w:type="dxa" w:w="3357"/>
            <w:vAlign w:val="center"/>
          </w:tcPr>
          <w:p w:rsidP="00B34368" w:rsidR="00B20F47" w:rsidRDefault="00B20F47" w:rsidRPr="00B34368">
            <w:pPr>
              <w:autoSpaceDE w:val="0"/>
              <w:autoSpaceDN w:val="0"/>
              <w:adjustRightInd w:val="0"/>
              <w:spacing w:before="29" w:line="360" w:lineRule="auto"/>
              <w:ind w:firstLine="720" w:firstLineChars="300" w:left="17"/>
              <w:jc w:val="left"/>
              <w:rPr>
                <w:rFonts w:eastAsiaTheme="minorEastAsia"/>
                <w:color w:themeColor="text1" w:val="000000"/>
                <w:sz w:val="24"/>
              </w:rPr>
            </w:pPr>
            <w:r w:rsidRPr="00B34368">
              <w:rPr>
                <w:rFonts w:eastAsiaTheme="minorEastAsia" w:hAnsiTheme="minorEastAsia"/>
                <w:color w:themeColor="text1" w:val="000000"/>
                <w:sz w:val="24"/>
              </w:rPr>
              <w:t>资产支持证券</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975D18">
        <w:tc>
          <w:tcPr>
            <w:tcW w:type="dxa" w:w="720"/>
          </w:tcPr>
          <w:p w:rsidP="00DD272F"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4</w:t>
            </w:r>
          </w:p>
        </w:tc>
        <w:tc>
          <w:tcPr>
            <w:tcW w:type="dxa" w:w="3357"/>
          </w:tcPr>
          <w:p w:rsidP="00DD272F" w:rsidR="00B007B6" w:rsidRDefault="00B007B6" w:rsidRPr="00B34368">
            <w:pPr>
              <w:spacing w:before="29" w:line="360" w:lineRule="auto"/>
              <w:ind w:left="105" w:leftChars="50"/>
              <w:rPr>
                <w:rFonts w:eastAsiaTheme="minorEastAsia"/>
                <w:color w:themeColor="text1" w:val="000000"/>
                <w:sz w:val="24"/>
              </w:rPr>
            </w:pPr>
            <w:r w:rsidRPr="00B34368">
              <w:rPr>
                <w:rFonts w:eastAsiaTheme="minorEastAsia" w:hAnsiTheme="minorEastAsia"/>
                <w:color w:themeColor="text1" w:val="000000"/>
                <w:sz w:val="24"/>
              </w:rPr>
              <w:t>贵金属投资</w:t>
            </w:r>
          </w:p>
        </w:tc>
        <w:tc>
          <w:tcPr>
            <w:tcW w:type="dxa" w:w="2694"/>
            <w:vAlign w:val="center"/>
          </w:tcPr>
          <w:p w:rsidP="00DD272F"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DD272F"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975D18">
        <w:tc>
          <w:tcPr>
            <w:tcW w:type="dxa" w:w="720"/>
            <w:vAlign w:val="center"/>
          </w:tcPr>
          <w:p w:rsidP="00A3193E"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5</w:t>
            </w:r>
          </w:p>
        </w:tc>
        <w:tc>
          <w:tcPr>
            <w:tcW w:type="dxa" w:w="3357"/>
            <w:vAlign w:val="center"/>
          </w:tcPr>
          <w:p w:rsidP="00A3193E" w:rsidR="00B007B6" w:rsidRDefault="00B007B6"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金融衍生</w:t>
            </w:r>
            <w:proofErr w:type="gramStart"/>
            <w:r w:rsidRPr="00B34368">
              <w:rPr>
                <w:rFonts w:eastAsiaTheme="minorEastAsia" w:hAnsiTheme="minorEastAsia"/>
                <w:color w:themeColor="text1" w:val="000000"/>
                <w:sz w:val="24"/>
              </w:rPr>
              <w:t>品投资</w:t>
            </w:r>
            <w:proofErr w:type="gramEnd"/>
          </w:p>
        </w:tc>
        <w:tc>
          <w:tcPr>
            <w:tcW w:type="dxa" w:w="2694"/>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975D18">
        <w:tc>
          <w:tcPr>
            <w:tcW w:type="dxa" w:w="720"/>
            <w:vAlign w:val="center"/>
          </w:tcPr>
          <w:p w:rsidP="00A3193E"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6</w:t>
            </w:r>
          </w:p>
        </w:tc>
        <w:tc>
          <w:tcPr>
            <w:tcW w:type="dxa" w:w="3357"/>
            <w:vAlign w:val="center"/>
          </w:tcPr>
          <w:p w:rsidP="00A3193E" w:rsidR="00B007B6" w:rsidRDefault="00B007B6"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买入返售金融资产</w:t>
            </w:r>
          </w:p>
        </w:tc>
        <w:tc>
          <w:tcPr>
            <w:tcW w:type="dxa" w:w="2694"/>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Pr="00B34368">
              <w:rPr>
                <w:rFonts w:eastAsiaTheme="minorEastAsia"/>
                <w:color w:themeColor="text1" w:val="000000"/>
                <w:sz w:val="24"/>
              </w:rPr>
              <w:lastRenderedPageBreak/>
              <w:t>-</w:t>
            </w:r>
          </w:p>
        </w:tc>
      </w:tr>
      <w:tr w:rsidR="00D3639B" w:rsidRPr="00B34368" w:rsidTr="00975D18">
        <w:tc>
          <w:tcPr>
            <w:tcW w:type="dxa" w:w="720"/>
            <w:vAlign w:val="center"/>
          </w:tcPr>
          <w:p w:rsidP="00A3193E" w:rsidR="00B007B6" w:rsidRDefault="00B007B6" w:rsidRPr="00B34368">
            <w:pPr>
              <w:spacing w:before="29" w:line="360" w:lineRule="auto"/>
              <w:ind w:left="17"/>
              <w:jc w:val="center"/>
              <w:rPr>
                <w:rFonts w:eastAsiaTheme="minorEastAsia"/>
                <w:color w:themeColor="text1" w:val="000000"/>
                <w:sz w:val="24"/>
              </w:rPr>
            </w:pPr>
          </w:p>
        </w:tc>
        <w:tc>
          <w:tcPr>
            <w:tcW w:type="dxa" w:w="3357"/>
            <w:vAlign w:val="center"/>
          </w:tcPr>
          <w:p w:rsidP="00A3193E" w:rsidR="00B007B6" w:rsidRDefault="00B007B6"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其中：买断式回购的买入返售金融资产</w:t>
            </w:r>
          </w:p>
        </w:tc>
        <w:tc>
          <w:tcPr>
            <w:tcW w:type="dxa" w:w="2694"/>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c>
          <w:tcPr>
            <w:tcW w:type="dxa" w:w="1757"/>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975D18">
        <w:tc>
          <w:tcPr>
            <w:tcW w:type="dxa" w:w="720"/>
            <w:vAlign w:val="center"/>
          </w:tcPr>
          <w:p w:rsidP="00A3193E"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7</w:t>
            </w:r>
          </w:p>
        </w:tc>
        <w:tc>
          <w:tcPr>
            <w:tcW w:type="dxa" w:w="3357"/>
            <w:vAlign w:val="center"/>
          </w:tcPr>
          <w:p w:rsidP="00A3193E" w:rsidR="00B007B6" w:rsidRDefault="00B007B6"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银行存款和结算备付金合计</w:t>
            </w:r>
          </w:p>
        </w:tc>
        <w:tc>
          <w:tcPr>
            <w:tcW w:type="dxa" w:w="2694"/>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88,020,594.35</w:t>
            </w:r>
          </w:p>
        </w:tc>
        <w:tc>
          <w:tcPr>
            <w:tcW w:type="dxa" w:w="1757"/>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3.36</w:t>
            </w:r>
          </w:p>
        </w:tc>
      </w:tr>
      <w:tr w:rsidR="00D3639B" w:rsidRPr="00B34368" w:rsidTr="00975D18">
        <w:tc>
          <w:tcPr>
            <w:tcW w:type="dxa" w:w="720"/>
            <w:vAlign w:val="center"/>
          </w:tcPr>
          <w:p w:rsidP="00B007B6"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8</w:t>
            </w:r>
          </w:p>
        </w:tc>
        <w:tc>
          <w:tcPr>
            <w:tcW w:type="dxa" w:w="3357"/>
            <w:vAlign w:val="center"/>
          </w:tcPr>
          <w:p w:rsidP="00A3193E" w:rsidR="00B007B6" w:rsidRDefault="00E57CD3" w:rsidRPr="00B34368">
            <w:pPr>
              <w:jc w:val="left"/>
              <w:rPr>
                <w:rFonts w:eastAsiaTheme="minorEastAsia"/>
                <w:color w:themeColor="text1" w:val="000000"/>
                <w:sz w:val="24"/>
              </w:rPr>
            </w:pPr>
            <w:r>
              <w:rPr>
                <w:rFonts w:eastAsiaTheme="minorEastAsia" w:hAnsiTheme="minorEastAsia"/>
                <w:color w:themeColor="text1" w:val="000000"/>
                <w:sz w:val="24"/>
              </w:rPr>
              <w:t>其他</w:t>
            </w:r>
            <w:r w:rsidR="00B007B6" w:rsidRPr="00B34368">
              <w:rPr>
                <w:rFonts w:eastAsiaTheme="minorEastAsia" w:hAnsiTheme="minorEastAsia"/>
                <w:color w:themeColor="text1" w:val="000000"/>
                <w:sz w:val="24"/>
              </w:rPr>
              <w:t>资产</w:t>
            </w:r>
          </w:p>
        </w:tc>
        <w:tc>
          <w:tcPr>
            <w:tcW w:type="dxa" w:w="2694"/>
            <w:vAlign w:val="center"/>
          </w:tcPr>
          <w:p w:rsidP="00A3193E" w:rsidR="00B007B6" w:rsidRDefault="00B007B6"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62,844,110.20</w:t>
            </w:r>
          </w:p>
        </w:tc>
        <w:tc>
          <w:tcPr>
            <w:tcW w:type="dxa" w:w="1757"/>
            <w:vAlign w:val="center"/>
          </w:tcPr>
          <w:p w:rsidP="00A3193E" w:rsidR="00B007B6" w:rsidRDefault="00B007B6"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2.40</w:t>
            </w:r>
          </w:p>
        </w:tc>
      </w:tr>
      <w:tr w:rsidR="00D3639B" w:rsidRPr="00B34368" w:rsidTr="00975D18">
        <w:tc>
          <w:tcPr>
            <w:tcW w:type="dxa" w:w="720"/>
            <w:vAlign w:val="center"/>
          </w:tcPr>
          <w:p w:rsidP="00B007B6"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9</w:t>
            </w:r>
          </w:p>
        </w:tc>
        <w:tc>
          <w:tcPr>
            <w:tcW w:type="dxa" w:w="3357"/>
            <w:vAlign w:val="center"/>
          </w:tcPr>
          <w:p w:rsidP="00A3193E" w:rsidR="00B007B6" w:rsidRDefault="00B007B6" w:rsidRPr="00B34368">
            <w:pPr>
              <w:jc w:val="left"/>
              <w:rPr>
                <w:rFonts w:eastAsiaTheme="minorEastAsia"/>
                <w:color w:themeColor="text1" w:val="000000"/>
                <w:sz w:val="24"/>
              </w:rPr>
            </w:pPr>
            <w:r w:rsidRPr="00B34368">
              <w:rPr>
                <w:rFonts w:eastAsiaTheme="minorEastAsia" w:hAnsiTheme="minorEastAsia"/>
                <w:color w:themeColor="text1" w:val="000000"/>
                <w:sz w:val="24"/>
              </w:rPr>
              <w:t>合计</w:t>
            </w:r>
          </w:p>
        </w:tc>
        <w:tc>
          <w:tcPr>
            <w:tcW w:type="dxa" w:w="2694"/>
            <w:vAlign w:val="center"/>
          </w:tcPr>
          <w:p w:rsidP="00A3193E" w:rsidR="00B007B6" w:rsidRDefault="00B007B6"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2,622,337,625.23</w:t>
            </w:r>
          </w:p>
        </w:tc>
        <w:tc>
          <w:tcPr>
            <w:tcW w:type="dxa" w:w="1757"/>
            <w:vAlign w:val="center"/>
          </w:tcPr>
          <w:p w:rsidP="00A3193E" w:rsidR="00B007B6" w:rsidRDefault="00B007B6"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100.00</w:t>
            </w:r>
          </w:p>
        </w:tc>
      </w:tr>
    </w:tbl>
    <w:p w:rsidP="00C544B8" w:rsidR="0040218E" w:rsidRDefault="0040218E"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lastRenderedPageBreak/>
        <w:t>5.2</w:t>
      </w:r>
      <w:r w:rsidRPr="00B34368">
        <w:rPr>
          <w:rFonts w:eastAsiaTheme="minorEastAsia" w:hAnsiTheme="minorEastAsia"/>
          <w:b/>
          <w:color w:themeColor="text1" w:val="000000"/>
          <w:kern w:val="0"/>
          <w:sz w:val="24"/>
        </w:rPr>
        <w:t>期末投资目标基金明细</w:t>
      </w:r>
    </w:p>
    <w:tbl>
      <w:tblPr>
        <w:tblStyle w:val="af2"/>
        <w:tblW w:type="auto" w:w="0"/>
        <w:tblInd w:type="dxa" w:w="108"/>
        <w:tblLook w:firstColumn="1" w:firstRow="1" w:lastColumn="0" w:lastRow="0" w:noHBand="0" w:noVBand="1" w:val="04A0"/>
      </w:tblPr>
      <w:tblGrid>
        <w:gridCol w:w="1194"/>
        <w:gridCol w:w="1195"/>
        <w:gridCol w:w="1195"/>
        <w:gridCol w:w="1195"/>
        <w:gridCol w:w="1195"/>
        <w:gridCol w:w="1489"/>
        <w:gridCol w:w="1465"/>
      </w:tblGrid>
      <w:tr w:rsidR="00D3639B" w:rsidRPr="00B34368" w:rsidTr="00975D18">
        <w:tc>
          <w:tcPr>
            <w:tcW w:type="dxa" w:w="1215"/>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序号</w:t>
            </w:r>
          </w:p>
        </w:tc>
        <w:tc>
          <w:tcPr>
            <w:tcW w:type="dxa" w:w="1216"/>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基金名称</w:t>
            </w:r>
          </w:p>
        </w:tc>
        <w:tc>
          <w:tcPr>
            <w:tcW w:type="dxa" w:w="1216"/>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基金类型</w:t>
            </w:r>
          </w:p>
        </w:tc>
        <w:tc>
          <w:tcPr>
            <w:tcW w:type="dxa" w:w="1216"/>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运作方式</w:t>
            </w:r>
          </w:p>
        </w:tc>
        <w:tc>
          <w:tcPr>
            <w:tcW w:type="dxa" w:w="1216"/>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管理人</w:t>
            </w:r>
          </w:p>
        </w:tc>
        <w:tc>
          <w:tcPr>
            <w:tcW w:type="dxa" w:w="1217"/>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公允价值</w:t>
            </w:r>
            <w:r w:rsidR="00A22E07" w:rsidRPr="00B34368">
              <w:rPr>
                <w:rFonts w:eastAsiaTheme="minorEastAsia" w:hAnsiTheme="minorEastAsia"/>
                <w:color w:themeColor="text1" w:val="000000"/>
                <w:sz w:val="24"/>
              </w:rPr>
              <w:t>（元）</w:t>
            </w:r>
          </w:p>
        </w:tc>
        <w:tc>
          <w:tcPr>
            <w:tcW w:type="dxa" w:w="1217"/>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占基金资产净值比例（</w:t>
            </w:r>
            <w:r w:rsidRPr="00B34368">
              <w:rPr>
                <w:rFonts w:eastAsiaTheme="minorEastAsia"/>
                <w:color w:themeColor="text1" w:val="000000"/>
                <w:kern w:val="0"/>
                <w:sz w:val="24"/>
              </w:rPr>
              <w:t>%</w:t>
            </w:r>
            <w:r w:rsidRPr="00B34368">
              <w:rPr>
                <w:rFonts w:eastAsiaTheme="minorEastAsia" w:hAnsiTheme="minorEastAsia"/>
                <w:color w:themeColor="text1" w:val="000000"/>
                <w:kern w:val="0"/>
                <w:sz w:val="24"/>
              </w:rPr>
              <w:t>）</w:t>
            </w:r>
          </w:p>
        </w:tc>
      </w:tr>
      <w:tr>
        <w:tc>
          <w:tcPr>
            <w:vAlign w:val="center"/>
          </w:tcPr>
          <w:p>
            <w:pPr>
              <w:jc w:val="center"/>
            </w:pPr>
            <w:r>
              <w:rPr>
                <w:rFonts w:eastAsiaTheme="minorEastAsia"/>
                <w:color w:themeColor="text1" w:val="000000"/>
                <w:sz w:val="24"/>
              </w:rPr>
              <w:t>1</w:t>
            </w:r>
          </w:p>
        </w:tc>
        <w:tc>
          <w:tcPr>
            <w:vAlign w:val="center"/>
          </w:tcPr>
          <w:p>
            <w:pPr>
              <w:jc w:val="center"/>
            </w:pPr>
            <w:r>
              <w:rPr>
                <w:rFonts w:eastAsiaTheme="minorEastAsia"/>
                <w:color w:themeColor="text1" w:val="000000"/>
                <w:sz w:val="24"/>
              </w:rPr>
              <w:t>易方达黄金交易型开放式证券投资基金</w:t>
            </w:r>
          </w:p>
        </w:tc>
        <w:tc>
          <w:tcPr>
            <w:vAlign w:val="center"/>
          </w:tcPr>
          <w:p>
            <w:pPr>
              <w:jc w:val="center"/>
            </w:pPr>
            <w:r>
              <w:rPr>
                <w:rFonts w:eastAsiaTheme="minorEastAsia"/>
                <w:color w:themeColor="text1" w:val="000000"/>
                <w:sz w:val="24"/>
              </w:rPr>
              <w:t>黄金ETF</w:t>
            </w:r>
          </w:p>
        </w:tc>
        <w:tc>
          <w:tcPr>
            <w:vAlign w:val="center"/>
          </w:tcPr>
          <w:p>
            <w:pPr>
              <w:jc w:val="center"/>
            </w:pPr>
            <w:r>
              <w:rPr>
                <w:rFonts w:eastAsiaTheme="minorEastAsia"/>
                <w:color w:themeColor="text1" w:val="000000"/>
                <w:sz w:val="24"/>
              </w:rPr>
              <w:t>交易型开放式（ETF）</w:t>
            </w:r>
          </w:p>
        </w:tc>
        <w:tc>
          <w:tcPr>
            <w:vAlign w:val="center"/>
          </w:tcPr>
          <w:p>
            <w:pPr>
              <w:jc w:val="center"/>
            </w:pPr>
            <w:r>
              <w:rPr>
                <w:rFonts w:eastAsiaTheme="minorEastAsia"/>
                <w:color w:themeColor="text1" w:val="000000"/>
                <w:sz w:val="24"/>
              </w:rPr>
              <w:t>易方达基金管理有限公司</w:t>
            </w:r>
          </w:p>
        </w:tc>
        <w:tc>
          <w:tcPr>
            <w:vAlign w:val="center"/>
          </w:tcPr>
          <w:p>
            <w:pPr>
              <w:jc w:val="right"/>
            </w:pPr>
            <w:r>
              <w:rPr>
                <w:rFonts w:eastAsiaTheme="minorEastAsia"/>
                <w:color w:themeColor="text1" w:val="000000"/>
                <w:sz w:val="24"/>
              </w:rPr>
              <w:t>2,401,095,920.68</w:t>
            </w:r>
          </w:p>
        </w:tc>
        <w:tc>
          <w:tcPr>
            <w:vAlign w:val="center"/>
          </w:tcPr>
          <w:p>
            <w:pPr>
              <w:jc w:val="right"/>
            </w:pPr>
            <w:r>
              <w:rPr>
                <w:rFonts w:eastAsiaTheme="minorEastAsia"/>
                <w:color w:themeColor="text1" w:val="000000"/>
                <w:sz w:val="24"/>
              </w:rPr>
              <w:t>93.05</w:t>
            </w:r>
          </w:p>
        </w:tc>
      </w:tr>
    </w:tbl>
    <w:p w:rsidP="00C544B8" w:rsidR="0054389B" w:rsidRDefault="0054389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5.3 </w:t>
      </w:r>
      <w:r w:rsidRPr="00B34368">
        <w:rPr>
          <w:rFonts w:eastAsiaTheme="minorEastAsia" w:hAnsiTheme="minorEastAsia"/>
          <w:b/>
          <w:color w:themeColor="text1" w:val="000000"/>
          <w:kern w:val="0"/>
          <w:sz w:val="24"/>
        </w:rPr>
        <w:t>报告期末按行业分类的股票投资组合</w:t>
      </w:r>
    </w:p>
    <w:p w:rsidP="0054389B" w:rsidR="0054389B" w:rsidRDefault="0054389B" w:rsidRPr="00B34368">
      <w:pPr>
        <w:rPr>
          <w:rFonts w:eastAsiaTheme="minorEastAsia"/>
          <w:b/>
          <w:sz w:val="24"/>
        </w:rPr>
      </w:pPr>
      <w:r w:rsidRPr="00B34368">
        <w:rPr>
          <w:rFonts w:eastAsiaTheme="minorEastAsia"/>
          <w:b/>
          <w:color w:themeColor="text1" w:val="000000"/>
          <w:sz w:val="24"/>
        </w:rPr>
        <w:t/>
      </w:r>
      <w:proofErr w:type="spellStart"/>
      <w:r w:rsidRPr="00B34368">
        <w:rPr>
          <w:rFonts w:eastAsiaTheme="minorEastAsia"/>
          <w:b/>
          <w:color w:themeColor="text1" w:val="000000"/>
          <w:sz w:val="24"/>
        </w:rPr>
        <w:t/>
      </w:r>
      <w:proofErr w:type="spellEnd"/>
      <w:r w:rsidRPr="00B34368">
        <w:rPr>
          <w:rFonts w:eastAsiaTheme="minorEastAsia"/>
          <w:b/>
          <w:color w:themeColor="text1" w:val="000000"/>
          <w:sz w:val="24"/>
        </w:rPr>
        <w:t/>
      </w:r>
      <w:r w:rsidRPr="00B34368">
        <w:rPr>
          <w:rFonts w:eastAsiaTheme="minorEastAsia"/>
          <w:b/>
          <w:color w:themeColor="text1" w:val="000000"/>
          <w:kern w:val="0"/>
          <w:sz w:val="24"/>
        </w:rPr>
        <w:t>5.3.1</w:t>
      </w:r>
      <w:r w:rsidRPr="00B34368">
        <w:rPr>
          <w:rFonts w:eastAsiaTheme="minorEastAsia" w:hAnsiTheme="minorEastAsia"/>
          <w:b/>
          <w:color w:themeColor="text1" w:val="000000"/>
          <w:kern w:val="0"/>
          <w:sz w:val="24"/>
        </w:rPr>
        <w:t>报告期末按行业分类的境内股票投资组合</w:t>
      </w:r>
    </w:p>
    <w:p w:rsidP="00B34368" w:rsidR="009238DB" w:rsidRDefault="000871DB"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本基金本报告期末未持有境内股票。</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5.</w:t>
      </w:r>
      <w:r w:rsidR="0040218E" w:rsidRPr="00B34368">
        <w:rPr>
          <w:rFonts w:eastAsiaTheme="minorEastAsia"/>
          <w:b/>
          <w:color w:themeColor="text1" w:val="000000"/>
          <w:kern w:val="0"/>
          <w:sz w:val="24"/>
        </w:rPr>
        <w:t>4</w:t>
      </w:r>
      <w:r w:rsidRPr="00B34368">
        <w:rPr>
          <w:rFonts w:eastAsiaTheme="minorEastAsia"/>
          <w:b/>
          <w:color w:themeColor="text1" w:val="000000"/>
          <w:kern w:val="0"/>
          <w:sz w:val="24"/>
        </w:rPr>
        <w:t xml:space="preserve"> </w:t>
      </w:r>
      <w:r w:rsidRPr="00B34368">
        <w:rPr>
          <w:rFonts w:eastAsiaTheme="minorEastAsia" w:hAnsiTheme="minorEastAsia"/>
          <w:b/>
          <w:color w:themeColor="text1" w:val="000000"/>
          <w:kern w:val="0"/>
          <w:sz w:val="24"/>
        </w:rPr>
        <w:t>报告期末按公允价值占基金资产净值比例大小排序的前十名股票投资明细</w:t>
      </w:r>
    </w:p>
    <w:p w:rsidP="00B34368" w:rsidR="009238DB" w:rsidRDefault="000871DB"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lastRenderedPageBreak/>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本基金本报告期末未持有股票。</w:t>
      </w:r>
    </w:p>
    <w:p w:rsidP="00C544B8" w:rsidR="00F21B6D"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5.</w:t>
      </w:r>
      <w:r w:rsidR="0040218E" w:rsidRPr="00B34368">
        <w:rPr>
          <w:rFonts w:eastAsiaTheme="minorEastAsia"/>
          <w:b/>
          <w:color w:themeColor="text1" w:val="000000"/>
          <w:kern w:val="0"/>
          <w:sz w:val="24"/>
        </w:rPr>
        <w:t>5</w:t>
      </w:r>
      <w:r w:rsidRPr="00B34368">
        <w:rPr>
          <w:rFonts w:eastAsiaTheme="minorEastAsia"/>
          <w:b/>
          <w:color w:themeColor="text1" w:val="000000"/>
          <w:kern w:val="0"/>
          <w:sz w:val="24"/>
        </w:rPr>
        <w:t xml:space="preserve"> </w:t>
      </w:r>
      <w:r w:rsidRPr="00B34368">
        <w:rPr>
          <w:rFonts w:eastAsiaTheme="minorEastAsia" w:hAnsiTheme="minorEastAsia"/>
          <w:b/>
          <w:color w:themeColor="text1" w:val="000000"/>
          <w:kern w:val="0"/>
          <w:sz w:val="24"/>
        </w:rPr>
        <w:t>报告期末按债券品种分类的债券投资组合</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3260"/>
        <w:gridCol w:w="2410"/>
        <w:gridCol w:w="2041"/>
      </w:tblGrid>
      <w:tr w:rsidR="00F21B6D" w:rsidRPr="00B34368" w:rsidTr="008F6C49">
        <w:tc>
          <w:tcPr>
            <w:tcW w:type="dxa" w:w="817"/>
            <w:vAlign w:val="center"/>
          </w:tcPr>
          <w:p w:rsidP="008F6C49" w:rsidR="00F21B6D" w:rsidRDefault="00F21B6D"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序号</w:t>
            </w:r>
          </w:p>
        </w:tc>
        <w:tc>
          <w:tcPr>
            <w:tcW w:type="dxa" w:w="3260"/>
            <w:vAlign w:val="center"/>
          </w:tcPr>
          <w:p w:rsidP="008F6C49" w:rsidR="00F21B6D" w:rsidRDefault="00F21B6D"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债券品种</w:t>
            </w: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
        </w:tc>
        <w:tc>
          <w:tcPr>
            <w:tcW w:type="dxa" w:w="2410"/>
            <w:vAlign w:val="center"/>
          </w:tcPr>
          <w:p w:rsidP="008F6C49" w:rsidR="00F21B6D" w:rsidRDefault="00F21B6D"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公允价值</w:t>
            </w:r>
            <w:r w:rsidRPr="00B34368">
              <w:rPr>
                <w:rFonts w:eastAsiaTheme="minorEastAsia"/>
                <w:color w:themeColor="text1" w:val="000000"/>
                <w:sz w:val="24"/>
              </w:rPr>
              <w:t>(</w:t>
            </w:r>
            <w:r w:rsidRPr="00B34368">
              <w:rPr>
                <w:rFonts w:eastAsiaTheme="minorEastAsia" w:hAnsiTheme="minorEastAsia"/>
                <w:color w:themeColor="text1" w:val="000000"/>
                <w:sz w:val="24"/>
              </w:rPr>
              <w:t>元</w:t>
            </w:r>
            <w:r w:rsidRPr="00B34368">
              <w:rPr>
                <w:rFonts w:eastAsiaTheme="minorEastAsia"/>
                <w:color w:themeColor="text1" w:val="000000"/>
                <w:sz w:val="24"/>
              </w:rPr>
              <w:t>)</w:t>
            </w:r>
          </w:p>
        </w:tc>
        <w:tc>
          <w:tcPr>
            <w:tcW w:type="dxa" w:w="2041"/>
            <w:vAlign w:val="center"/>
          </w:tcPr>
          <w:p w:rsidP="008F6C49" w:rsidR="00F21B6D" w:rsidRDefault="00F21B6D"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占基金资产净值比例</w:t>
            </w:r>
            <w:r w:rsidRPr="00B34368">
              <w:rPr>
                <w:rFonts w:eastAsiaTheme="minorEastAsia"/>
                <w:color w:themeColor="text1" w:val="000000"/>
                <w:sz w:val="24"/>
              </w:rPr>
              <w:t>(</w:t>
            </w:r>
            <w:r w:rsidRPr="00B34368">
              <w:rPr>
                <w:rFonts w:eastAsiaTheme="minorEastAsia" w:hAnsiTheme="minorEastAsia"/>
                <w:color w:themeColor="text1" w:val="000000"/>
                <w:sz w:val="24"/>
              </w:rPr>
              <w:t>％</w:t>
            </w:r>
            <w:r w:rsidRPr="00B34368">
              <w:rPr>
                <w:rFonts w:eastAsiaTheme="minorEastAsia"/>
                <w:color w:themeColor="text1" w:val="000000"/>
                <w:sz w:val="24"/>
              </w:rPr>
              <w:t>)</w:t>
            </w:r>
          </w:p>
        </w:tc>
      </w:tr>
      <w:tr w:rsidR="00F21B6D" w:rsidRPr="00B34368" w:rsidTr="008F6C49">
        <w:tc>
          <w:tcPr>
            <w:tcW w:type="dxa" w:w="817"/>
            <w:vAlign w:val="center"/>
          </w:tcPr>
          <w:p w:rsidP="008F6C49" w:rsidR="00F21B6D" w:rsidRDefault="00F21B6D"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1</w:t>
            </w:r>
          </w:p>
        </w:tc>
        <w:tc>
          <w:tcPr>
            <w:tcW w:type="dxa" w:w="3260"/>
            <w:vAlign w:val="center"/>
          </w:tcPr>
          <w:p w:rsidP="008F6C49" w:rsidR="00F21B6D" w:rsidRDefault="00F21B6D"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国家债券</w:t>
            </w:r>
          </w:p>
        </w:tc>
        <w:tc>
          <w:tcPr>
            <w:tcW w:type="dxa" w:w="2410"/>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2041"/>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F21B6D" w:rsidRPr="00B34368" w:rsidTr="008F6C49">
        <w:tc>
          <w:tcPr>
            <w:tcW w:type="dxa" w:w="817"/>
            <w:vAlign w:val="center"/>
          </w:tcPr>
          <w:p w:rsidP="008F6C49" w:rsidR="00F21B6D" w:rsidRDefault="00F21B6D"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2</w:t>
            </w:r>
          </w:p>
        </w:tc>
        <w:tc>
          <w:tcPr>
            <w:tcW w:type="dxa" w:w="3260"/>
            <w:vAlign w:val="center"/>
          </w:tcPr>
          <w:p w:rsidP="008F6C49" w:rsidR="00F21B6D" w:rsidRDefault="00F21B6D"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央行票据</w:t>
            </w:r>
          </w:p>
        </w:tc>
        <w:tc>
          <w:tcPr>
            <w:tcW w:type="dxa" w:w="2410"/>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2041"/>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F21B6D" w:rsidRPr="00B34368" w:rsidTr="008F6C49">
        <w:tc>
          <w:tcPr>
            <w:tcW w:type="dxa" w:w="817"/>
            <w:vAlign w:val="center"/>
          </w:tcPr>
          <w:p w:rsidP="008F6C49" w:rsidR="00F21B6D" w:rsidRDefault="00F21B6D"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3</w:t>
            </w:r>
          </w:p>
        </w:tc>
        <w:tc>
          <w:tcPr>
            <w:tcW w:type="dxa" w:w="3260"/>
            <w:vAlign w:val="center"/>
          </w:tcPr>
          <w:p w:rsidP="008F6C49" w:rsidR="00F21B6D" w:rsidRDefault="00F21B6D"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金融债券</w:t>
            </w:r>
          </w:p>
        </w:tc>
        <w:tc>
          <w:tcPr>
            <w:tcW w:type="dxa" w:w="2410"/>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70,377,000.00</w:t>
            </w:r>
          </w:p>
        </w:tc>
        <w:tc>
          <w:tcPr>
            <w:tcW w:type="dxa" w:w="2041"/>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2.73</w:t>
            </w:r>
          </w:p>
        </w:tc>
      </w:tr>
      <w:tr w:rsidR="00F21B6D" w:rsidRPr="00B34368" w:rsidTr="008F6C49">
        <w:tc>
          <w:tcPr>
            <w:tcW w:type="dxa" w:w="817"/>
            <w:vAlign w:val="center"/>
          </w:tcPr>
          <w:p w:rsidP="008F6C49" w:rsidR="00F21B6D" w:rsidRDefault="00F21B6D" w:rsidRPr="00B34368">
            <w:pPr>
              <w:spacing w:before="29" w:line="360" w:lineRule="auto"/>
              <w:ind w:left="17"/>
              <w:jc w:val="center"/>
              <w:rPr>
                <w:rFonts w:eastAsiaTheme="minorEastAsia"/>
                <w:color w:themeColor="text1" w:val="000000"/>
                <w:sz w:val="24"/>
              </w:rPr>
            </w:pPr>
          </w:p>
        </w:tc>
        <w:tc>
          <w:tcPr>
            <w:tcW w:type="dxa" w:w="3260"/>
            <w:vAlign w:val="center"/>
          </w:tcPr>
          <w:p w:rsidP="008F6C49" w:rsidR="00F21B6D" w:rsidRDefault="00F21B6D"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其中：政策性金融债</w:t>
            </w:r>
          </w:p>
        </w:tc>
        <w:tc>
          <w:tcPr>
            <w:tcW w:type="dxa" w:w="2410"/>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70,377,000.00</w:t>
            </w:r>
          </w:p>
        </w:tc>
        <w:tc>
          <w:tcPr>
            <w:tcW w:type="dxa" w:w="2041"/>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2.73</w:t>
            </w:r>
          </w:p>
        </w:tc>
      </w:tr>
      <w:tr w:rsidR="00F21B6D" w:rsidRPr="00B34368" w:rsidTr="008F6C49">
        <w:tc>
          <w:tcPr>
            <w:tcW w:type="dxa" w:w="817"/>
            <w:vAlign w:val="center"/>
          </w:tcPr>
          <w:p w:rsidP="008F6C49" w:rsidR="00F21B6D" w:rsidRDefault="00F21B6D"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4</w:t>
            </w:r>
          </w:p>
        </w:tc>
        <w:tc>
          <w:tcPr>
            <w:tcW w:type="dxa" w:w="3260"/>
            <w:vAlign w:val="center"/>
          </w:tcPr>
          <w:p w:rsidP="008F6C49" w:rsidR="00F21B6D" w:rsidRDefault="00F21B6D"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企业债券</w:t>
            </w:r>
          </w:p>
        </w:tc>
        <w:tc>
          <w:tcPr>
            <w:tcW w:type="dxa" w:w="2410"/>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2041"/>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r w:rsidRPr="00B34368">
              <w:rPr>
                <w:rFonts w:eastAsiaTheme="minorEastAsia"/>
                <w:color w:themeColor="text1" w:val="000000"/>
                <w:sz w:val="24"/>
              </w:rPr>
              <w:lastRenderedPageBreak/>
              <w:t/>
            </w:r>
            <w:proofErr w:type="spellEnd"/>
            <w:r w:rsidRPr="00B34368">
              <w:rPr>
                <w:rFonts w:eastAsiaTheme="minorEastAsia"/>
                <w:color w:themeColor="text1" w:val="000000"/>
                <w:sz w:val="24"/>
              </w:rPr>
              <w:t>-</w:t>
            </w:r>
          </w:p>
        </w:tc>
      </w:tr>
      <w:tr w:rsidR="00F21B6D" w:rsidRPr="00B34368" w:rsidTr="008F6C49">
        <w:tc>
          <w:tcPr>
            <w:tcW w:type="dxa" w:w="817"/>
            <w:vAlign w:val="center"/>
          </w:tcPr>
          <w:p w:rsidP="008F6C49" w:rsidR="00F21B6D" w:rsidRDefault="00F21B6D"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lastRenderedPageBreak/>
              <w:t>5</w:t>
            </w:r>
          </w:p>
        </w:tc>
        <w:tc>
          <w:tcPr>
            <w:tcW w:type="dxa" w:w="3260"/>
            <w:vAlign w:val="center"/>
          </w:tcPr>
          <w:p w:rsidP="008F6C49" w:rsidR="00F21B6D" w:rsidRDefault="00F21B6D"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企业短期融资</w:t>
            </w:r>
            <w:proofErr w:type="gramStart"/>
            <w:r w:rsidRPr="00B34368">
              <w:rPr>
                <w:rFonts w:eastAsiaTheme="minorEastAsia" w:hAnsiTheme="minorEastAsia"/>
                <w:color w:themeColor="text1" w:val="000000"/>
                <w:sz w:val="24"/>
              </w:rPr>
              <w:t>券</w:t>
            </w:r>
            <w:proofErr w:type="gramEnd"/>
          </w:p>
        </w:tc>
        <w:tc>
          <w:tcPr>
            <w:tcW w:type="dxa" w:w="2410"/>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2041"/>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F21B6D" w:rsidRPr="00B34368" w:rsidTr="008F6C49">
        <w:tc>
          <w:tcPr>
            <w:tcW w:type="dxa" w:w="817"/>
            <w:vAlign w:val="center"/>
          </w:tcPr>
          <w:p w:rsidP="008F6C49" w:rsidR="00F21B6D" w:rsidRDefault="00F21B6D"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6</w:t>
            </w:r>
          </w:p>
        </w:tc>
        <w:tc>
          <w:tcPr>
            <w:tcW w:type="dxa" w:w="3260"/>
            <w:vAlign w:val="center"/>
          </w:tcPr>
          <w:p w:rsidP="008F6C49" w:rsidR="00F21B6D" w:rsidRDefault="00F21B6D"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中期票据</w:t>
            </w:r>
          </w:p>
        </w:tc>
        <w:tc>
          <w:tcPr>
            <w:tcW w:type="dxa" w:w="2410"/>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2041"/>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F21B6D" w:rsidRPr="00B34368" w:rsidTr="008F6C49">
        <w:tc>
          <w:tcPr>
            <w:tcW w:type="dxa" w:w="817"/>
            <w:vAlign w:val="center"/>
          </w:tcPr>
          <w:p w:rsidP="008F6C49" w:rsidR="00F21B6D" w:rsidRDefault="00F21B6D"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7</w:t>
            </w:r>
          </w:p>
        </w:tc>
        <w:tc>
          <w:tcPr>
            <w:tcW w:type="dxa" w:w="3260"/>
            <w:vAlign w:val="center"/>
          </w:tcPr>
          <w:p w:rsidP="008F6C49" w:rsidR="00F21B6D" w:rsidRDefault="0054389B"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可转债（可交换债）</w:t>
            </w:r>
          </w:p>
        </w:tc>
        <w:tc>
          <w:tcPr>
            <w:tcW w:type="dxa" w:w="2410"/>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2041"/>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F21B6D" w:rsidRPr="00B34368" w:rsidTr="008F6C49">
        <w:tc>
          <w:tcPr>
            <w:tcW w:type="dxa" w:w="817"/>
            <w:vAlign w:val="center"/>
          </w:tcPr>
          <w:p w:rsidP="008F6C49" w:rsidR="00F21B6D" w:rsidRDefault="00F21B6D"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8</w:t>
            </w:r>
          </w:p>
        </w:tc>
        <w:tc>
          <w:tcPr>
            <w:tcW w:type="dxa" w:w="3260"/>
            <w:vAlign w:val="center"/>
          </w:tcPr>
          <w:p w:rsidP="008F6C49" w:rsidR="00F21B6D" w:rsidRDefault="00F21B6D"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同业存单</w:t>
            </w:r>
          </w:p>
        </w:tc>
        <w:tc>
          <w:tcPr>
            <w:tcW w:type="dxa" w:w="2410"/>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2041"/>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F21B6D" w:rsidRPr="00B34368" w:rsidTr="008F6C49">
        <w:tc>
          <w:tcPr>
            <w:tcW w:type="dxa" w:w="817"/>
            <w:vAlign w:val="center"/>
          </w:tcPr>
          <w:p w:rsidP="008F6C49" w:rsidR="00F21B6D" w:rsidRDefault="00F21B6D"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9</w:t>
            </w:r>
          </w:p>
        </w:tc>
        <w:tc>
          <w:tcPr>
            <w:tcW w:type="dxa" w:w="3260"/>
            <w:vAlign w:val="center"/>
          </w:tcPr>
          <w:p w:rsidP="008F6C49" w:rsidR="00F21B6D" w:rsidRDefault="00F21B6D"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其他</w:t>
            </w:r>
          </w:p>
        </w:tc>
        <w:tc>
          <w:tcPr>
            <w:tcW w:type="dxa" w:w="2410"/>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2041"/>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r w:rsidRPr="00B34368">
              <w:rPr>
                <w:rFonts w:eastAsiaTheme="minorEastAsia"/>
                <w:color w:themeColor="text1" w:val="000000"/>
                <w:sz w:val="24"/>
              </w:rPr>
              <w:lastRenderedPageBreak/>
              <w:t/>
            </w:r>
            <w:proofErr w:type="spellEnd"/>
            <w:r w:rsidRPr="00B34368">
              <w:rPr>
                <w:rFonts w:eastAsiaTheme="minorEastAsia"/>
                <w:color w:themeColor="text1" w:val="000000"/>
                <w:sz w:val="24"/>
              </w:rPr>
              <w:t>-</w:t>
            </w:r>
          </w:p>
        </w:tc>
      </w:tr>
      <w:tr w:rsidR="00F21B6D" w:rsidRPr="00B34368" w:rsidTr="008F6C49">
        <w:tc>
          <w:tcPr>
            <w:tcW w:type="dxa" w:w="817"/>
            <w:vAlign w:val="center"/>
          </w:tcPr>
          <w:p w:rsidP="008F6C49" w:rsidR="00F21B6D" w:rsidRDefault="00F21B6D"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lastRenderedPageBreak/>
              <w:t>10</w:t>
            </w:r>
          </w:p>
        </w:tc>
        <w:tc>
          <w:tcPr>
            <w:tcW w:type="dxa" w:w="3260"/>
            <w:vAlign w:val="center"/>
          </w:tcPr>
          <w:p w:rsidP="008F6C49" w:rsidR="00F21B6D" w:rsidRDefault="00F21B6D"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合计</w:t>
            </w:r>
          </w:p>
        </w:tc>
        <w:tc>
          <w:tcPr>
            <w:tcW w:type="dxa" w:w="2410"/>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70,377,000.00</w:t>
            </w:r>
          </w:p>
        </w:tc>
        <w:tc>
          <w:tcPr>
            <w:tcW w:type="dxa" w:w="2041"/>
            <w:vAlign w:val="center"/>
          </w:tcPr>
          <w:p w:rsidP="008F6C49" w:rsidR="00F21B6D" w:rsidRDefault="00F21B6D"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2.73</w:t>
            </w:r>
          </w:p>
        </w:tc>
      </w:tr>
    </w:tbl>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5.</w:t>
      </w:r>
      <w:r w:rsidR="0040218E" w:rsidRPr="00B34368">
        <w:rPr>
          <w:rFonts w:eastAsiaTheme="minorEastAsia"/>
          <w:b/>
          <w:color w:themeColor="text1" w:val="000000"/>
          <w:kern w:val="0"/>
          <w:sz w:val="24"/>
        </w:rPr>
        <w:t>6</w:t>
      </w:r>
      <w:r w:rsidRPr="00B34368">
        <w:rPr>
          <w:rFonts w:eastAsiaTheme="minorEastAsia"/>
          <w:b/>
          <w:color w:themeColor="text1" w:val="000000"/>
          <w:kern w:val="0"/>
          <w:sz w:val="24"/>
        </w:rPr>
        <w:t xml:space="preserve"> </w:t>
      </w:r>
      <w:r w:rsidRPr="00B34368">
        <w:rPr>
          <w:rFonts w:eastAsiaTheme="minorEastAsia" w:hAnsiTheme="minorEastAsia"/>
          <w:b/>
          <w:color w:themeColor="text1" w:val="000000"/>
          <w:kern w:val="0"/>
          <w:sz w:val="24"/>
        </w:rPr>
        <w:t>报告期末按公允价值占基金资产净值比例大小排</w:t>
      </w:r>
      <w:r w:rsidR="00E15FD1" w:rsidRPr="00B34368">
        <w:rPr>
          <w:rFonts w:eastAsiaTheme="minorEastAsia" w:hAnsiTheme="minorEastAsia"/>
          <w:b/>
          <w:color w:themeColor="text1" w:val="000000"/>
          <w:kern w:val="0"/>
          <w:sz w:val="24"/>
        </w:rPr>
        <w:t>序</w:t>
      </w:r>
      <w:r w:rsidRPr="00B34368">
        <w:rPr>
          <w:rFonts w:eastAsiaTheme="minorEastAsia" w:hAnsiTheme="minorEastAsia"/>
          <w:b/>
          <w:color w:themeColor="text1" w:val="000000"/>
          <w:kern w:val="0"/>
          <w:sz w:val="24"/>
        </w:rPr>
        <w:t>的前五名债券投资明细</w:t>
      </w:r>
    </w:p>
    <w:tbl>
      <w:tblPr>
        <w:tblStyle w:val="af2"/>
        <w:tblW w:type="auto" w:w="0"/>
        <w:tblInd w:type="dxa" w:w="108"/>
        <w:tblLayout w:type="fixed"/>
        <w:tblLook w:firstColumn="1" w:firstRow="1" w:lastColumn="0" w:lastRow="0" w:noHBand="0" w:noVBand="1" w:val="04A0"/>
      </w:tblPr>
      <w:tblGrid>
        <w:gridCol w:w="1504"/>
        <w:gridCol w:w="1504"/>
        <w:gridCol w:w="1504"/>
        <w:gridCol w:w="1503"/>
        <w:gridCol w:w="1503"/>
        <w:gridCol w:w="1503"/>
      </w:tblGrid>
      <w:tr w:rsidR="00D3639B" w:rsidRPr="00B34368" w:rsidTr="00975D18">
        <w:tc>
          <w:tcPr>
            <w:tcW w:type="dxa" w:w="1504"/>
            <w:vAlign w:val="center"/>
          </w:tcPr>
          <w:p w:rsidP="009A045B" w:rsidR="00685FFC" w:rsidRDefault="00685FFC" w:rsidRPr="00B34368">
            <w:pPr>
              <w:autoSpaceDE w:val="0"/>
              <w:autoSpaceDN w:val="0"/>
              <w:adjustRightInd w:val="0"/>
              <w:spacing w:before="29" w:line="288"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序号</w:t>
            </w:r>
          </w:p>
        </w:tc>
        <w:tc>
          <w:tcPr>
            <w:tcW w:type="dxa" w:w="1504"/>
            <w:vAlign w:val="center"/>
          </w:tcPr>
          <w:p w:rsidP="009A045B" w:rsidR="00685FFC" w:rsidRDefault="00685FFC" w:rsidRPr="00B34368">
            <w:pPr>
              <w:autoSpaceDE w:val="0"/>
              <w:autoSpaceDN w:val="0"/>
              <w:adjustRightInd w:val="0"/>
              <w:spacing w:before="29" w:line="288"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债券代码</w:t>
            </w:r>
          </w:p>
        </w:tc>
        <w:tc>
          <w:tcPr>
            <w:tcW w:type="dxa" w:w="1504"/>
            <w:vAlign w:val="center"/>
          </w:tcPr>
          <w:p w:rsidP="009A045B" w:rsidR="00685FFC" w:rsidRDefault="00685FFC" w:rsidRPr="00B34368">
            <w:pPr>
              <w:autoSpaceDE w:val="0"/>
              <w:autoSpaceDN w:val="0"/>
              <w:adjustRightInd w:val="0"/>
              <w:spacing w:before="29" w:line="288"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债券名称</w:t>
            </w:r>
          </w:p>
        </w:tc>
        <w:tc>
          <w:tcPr>
            <w:tcW w:type="dxa" w:w="1503"/>
            <w:vAlign w:val="center"/>
          </w:tcPr>
          <w:p w:rsidP="009A045B" w:rsidR="00685FFC" w:rsidRDefault="00685FFC" w:rsidRPr="00B34368">
            <w:pPr>
              <w:autoSpaceDE w:val="0"/>
              <w:autoSpaceDN w:val="0"/>
              <w:adjustRightInd w:val="0"/>
              <w:spacing w:before="29" w:line="288"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数量（张）</w:t>
            </w:r>
          </w:p>
        </w:tc>
        <w:tc>
          <w:tcPr>
            <w:tcW w:type="dxa" w:w="1503"/>
            <w:vAlign w:val="center"/>
          </w:tcPr>
          <w:p w:rsidP="009A045B" w:rsidR="00685FFC" w:rsidRDefault="00685FFC" w:rsidRPr="00B34368">
            <w:pPr>
              <w:autoSpaceDE w:val="0"/>
              <w:autoSpaceDN w:val="0"/>
              <w:adjustRightInd w:val="0"/>
              <w:spacing w:before="29" w:line="288"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公允价值</w:t>
            </w:r>
            <w:r w:rsidRPr="00B34368">
              <w:rPr>
                <w:rFonts w:eastAsiaTheme="minorEastAsia"/>
                <w:color w:themeColor="text1" w:val="000000"/>
                <w:kern w:val="0"/>
                <w:sz w:val="24"/>
              </w:rPr>
              <w:t>(</w:t>
            </w:r>
            <w:r w:rsidRPr="00B34368">
              <w:rPr>
                <w:rFonts w:eastAsiaTheme="minorEastAsia" w:hAnsiTheme="minorEastAsia"/>
                <w:color w:themeColor="text1" w:val="000000"/>
                <w:kern w:val="0"/>
                <w:sz w:val="24"/>
              </w:rPr>
              <w:t>元</w:t>
            </w:r>
            <w:r w:rsidRPr="00B34368">
              <w:rPr>
                <w:rFonts w:eastAsiaTheme="minorEastAsia"/>
                <w:color w:themeColor="text1" w:val="000000"/>
                <w:kern w:val="0"/>
                <w:sz w:val="24"/>
              </w:rPr>
              <w:t>)</w:t>
            </w:r>
          </w:p>
        </w:tc>
        <w:tc>
          <w:tcPr>
            <w:tcW w:type="dxa" w:w="1503"/>
            <w:vAlign w:val="center"/>
          </w:tcPr>
          <w:p w:rsidP="009A045B" w:rsidR="00685FFC" w:rsidRDefault="00685FFC" w:rsidRPr="00B34368">
            <w:pPr>
              <w:autoSpaceDE w:val="0"/>
              <w:autoSpaceDN w:val="0"/>
              <w:adjustRightInd w:val="0"/>
              <w:spacing w:before="29" w:line="288"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占基金资产净值比</w:t>
            </w:r>
            <w:r w:rsidR="00334656" w:rsidRPr="00B34368">
              <w:rPr>
                <w:rFonts w:eastAsiaTheme="minorEastAsia" w:hAnsiTheme="minorEastAsia"/>
                <w:color w:themeColor="text1" w:val="000000"/>
                <w:kern w:val="0"/>
                <w:sz w:val="24"/>
              </w:rPr>
              <w:t>例</w:t>
            </w:r>
            <w:r w:rsidRPr="00B34368">
              <w:rPr>
                <w:rFonts w:eastAsiaTheme="minorEastAsia" w:hAnsiTheme="minorEastAsia"/>
                <w:color w:themeColor="text1" w:val="000000"/>
                <w:kern w:val="0"/>
                <w:sz w:val="24"/>
              </w:rPr>
              <w:t>（％）</w:t>
            </w:r>
          </w:p>
        </w:tc>
      </w:tr>
      <w:tr>
        <w:tc>
          <w:tcPr>
            <w:vAlign w:val="center"/>
          </w:tcPr>
          <w:p>
            <w:pPr>
              <w:jc w:val="center"/>
            </w:pPr>
            <w:r>
              <w:rPr>
                <w:rFonts w:eastAsiaTheme="minorEastAsia"/>
                <w:color w:themeColor="text1" w:val="000000"/>
                <w:sz w:val="24"/>
              </w:rPr>
              <w:t>1</w:t>
            </w:r>
          </w:p>
        </w:tc>
        <w:tc>
          <w:tcPr>
            <w:vAlign w:val="center"/>
          </w:tcPr>
          <w:p>
            <w:pPr>
              <w:jc w:val="center"/>
            </w:pPr>
            <w:r>
              <w:rPr>
                <w:rFonts w:eastAsiaTheme="minorEastAsia"/>
                <w:color w:themeColor="text1" w:val="000000"/>
                <w:sz w:val="24"/>
              </w:rPr>
              <w:t>200201</w:t>
            </w:r>
          </w:p>
        </w:tc>
        <w:tc>
          <w:tcPr>
            <w:vAlign w:val="center"/>
          </w:tcPr>
          <w:p>
            <w:pPr>
              <w:jc w:val="center"/>
            </w:pPr>
            <w:r>
              <w:rPr>
                <w:rFonts w:eastAsiaTheme="minorEastAsia"/>
                <w:color w:themeColor="text1" w:val="000000"/>
                <w:sz w:val="24"/>
              </w:rPr>
              <w:t>20国开01</w:t>
            </w:r>
          </w:p>
        </w:tc>
        <w:tc>
          <w:tcPr>
            <w:vAlign w:val="center"/>
          </w:tcPr>
          <w:p>
            <w:pPr>
              <w:jc w:val="right"/>
            </w:pPr>
            <w:r>
              <w:rPr>
                <w:rFonts w:eastAsiaTheme="minorEastAsia"/>
                <w:color w:themeColor="text1" w:val="000000"/>
                <w:sz w:val="24"/>
              </w:rPr>
              <w:t>400,000</w:t>
            </w:r>
          </w:p>
        </w:tc>
        <w:tc>
          <w:tcPr>
            <w:vAlign w:val="center"/>
          </w:tcPr>
          <w:p>
            <w:pPr>
              <w:jc w:val="right"/>
            </w:pPr>
            <w:r>
              <w:rPr>
                <w:rFonts w:eastAsiaTheme="minorEastAsia"/>
                <w:color w:themeColor="text1" w:val="000000"/>
                <w:sz w:val="24"/>
              </w:rPr>
              <w:t>40,056,000.00</w:t>
            </w:r>
          </w:p>
        </w:tc>
        <w:tc>
          <w:tcPr>
            <w:vAlign w:val="center"/>
          </w:tcPr>
          <w:p>
            <w:pPr>
              <w:jc w:val="right"/>
            </w:pPr>
            <w:r>
              <w:rPr>
                <w:rFonts w:eastAsiaTheme="minorEastAsia"/>
                <w:color w:themeColor="text1" w:val="000000"/>
                <w:sz w:val="24"/>
              </w:rPr>
              <w:t>1.55</w:t>
            </w:r>
          </w:p>
        </w:tc>
      </w:tr>
      <w:tr>
        <w:tc>
          <w:tcPr>
            <w:vAlign w:val="center"/>
          </w:tcPr>
          <w:p>
            <w:pPr>
              <w:jc w:val="center"/>
            </w:pPr>
            <w:r>
              <w:rPr>
                <w:rFonts w:eastAsiaTheme="minorEastAsia"/>
                <w:color w:themeColor="text1" w:val="000000"/>
                <w:sz w:val="24"/>
              </w:rPr>
              <w:t>2</w:t>
            </w:r>
          </w:p>
        </w:tc>
        <w:tc>
          <w:tcPr>
            <w:vAlign w:val="center"/>
          </w:tcPr>
          <w:p>
            <w:pPr>
              <w:jc w:val="center"/>
            </w:pPr>
            <w:r>
              <w:rPr>
                <w:rFonts w:eastAsiaTheme="minorEastAsia"/>
                <w:color w:themeColor="text1" w:val="000000"/>
                <w:sz w:val="24"/>
              </w:rPr>
              <w:t>180208</w:t>
            </w:r>
          </w:p>
        </w:tc>
        <w:tc>
          <w:tcPr>
            <w:vAlign w:val="center"/>
          </w:tcPr>
          <w:p>
            <w:pPr>
              <w:jc w:val="center"/>
            </w:pPr>
            <w:r>
              <w:rPr>
                <w:rFonts w:eastAsiaTheme="minorEastAsia"/>
                <w:color w:themeColor="text1" w:val="000000"/>
                <w:sz w:val="24"/>
              </w:rPr>
              <w:t>18国开08</w:t>
            </w:r>
          </w:p>
        </w:tc>
        <w:tc>
          <w:tcPr>
            <w:vAlign w:val="center"/>
          </w:tcPr>
          <w:p>
            <w:pPr>
              <w:jc w:val="right"/>
            </w:pPr>
            <w:r>
              <w:rPr>
                <w:rFonts w:eastAsiaTheme="minorEastAsia"/>
                <w:color w:themeColor="text1" w:val="000000"/>
                <w:sz w:val="24"/>
              </w:rPr>
              <w:t>200,000</w:t>
            </w:r>
          </w:p>
        </w:tc>
        <w:tc>
          <w:tcPr>
            <w:vAlign w:val="center"/>
          </w:tcPr>
          <w:p>
            <w:pPr>
              <w:jc w:val="right"/>
            </w:pPr>
            <w:r>
              <w:rPr>
                <w:rFonts w:eastAsiaTheme="minorEastAsia"/>
                <w:color w:themeColor="text1" w:val="000000"/>
                <w:sz w:val="24"/>
              </w:rPr>
              <w:t>20,302,000.00</w:t>
            </w:r>
          </w:p>
        </w:tc>
        <w:tc>
          <w:tcPr>
            <w:vAlign w:val="center"/>
          </w:tcPr>
          <w:p>
            <w:pPr>
              <w:jc w:val="right"/>
            </w:pPr>
            <w:r>
              <w:rPr>
                <w:rFonts w:eastAsiaTheme="minorEastAsia"/>
                <w:color w:themeColor="text1" w:val="000000"/>
                <w:sz w:val="24"/>
              </w:rPr>
              <w:t>0.79</w:t>
            </w:r>
          </w:p>
        </w:tc>
      </w:tr>
      <w:tr>
        <w:tc>
          <w:tcPr>
            <w:vAlign w:val="center"/>
          </w:tcPr>
          <w:p>
            <w:pPr>
              <w:jc w:val="center"/>
            </w:pPr>
            <w:r>
              <w:rPr>
                <w:rFonts w:eastAsiaTheme="minorEastAsia"/>
                <w:color w:themeColor="text1" w:val="000000"/>
                <w:sz w:val="24"/>
              </w:rPr>
              <w:t>3</w:t>
            </w:r>
          </w:p>
        </w:tc>
        <w:tc>
          <w:tcPr>
            <w:vAlign w:val="center"/>
          </w:tcPr>
          <w:p>
            <w:pPr>
              <w:jc w:val="center"/>
            </w:pPr>
            <w:r>
              <w:rPr>
                <w:rFonts w:eastAsiaTheme="minorEastAsia"/>
                <w:color w:themeColor="text1" w:val="000000"/>
                <w:sz w:val="24"/>
              </w:rPr>
              <w:t>190211</w:t>
            </w:r>
          </w:p>
        </w:tc>
        <w:tc>
          <w:tcPr>
            <w:vAlign w:val="center"/>
          </w:tcPr>
          <w:p>
            <w:pPr>
              <w:jc w:val="center"/>
            </w:pPr>
            <w:r>
              <w:rPr>
                <w:rFonts w:eastAsiaTheme="minorEastAsia"/>
                <w:color w:themeColor="text1" w:val="000000"/>
                <w:sz w:val="24"/>
              </w:rPr>
              <w:t>19国开11</w:t>
            </w:r>
          </w:p>
        </w:tc>
        <w:tc>
          <w:tcPr>
            <w:vAlign w:val="center"/>
          </w:tcPr>
          <w:p>
            <w:pPr>
              <w:jc w:val="right"/>
            </w:pPr>
            <w:r>
              <w:rPr>
                <w:rFonts w:eastAsiaTheme="minorEastAsia"/>
                <w:color w:themeColor="text1" w:val="000000"/>
                <w:sz w:val="24"/>
              </w:rPr>
              <w:t>100,000</w:t>
            </w:r>
          </w:p>
        </w:tc>
        <w:tc>
          <w:tcPr>
            <w:vAlign w:val="center"/>
          </w:tcPr>
          <w:p>
            <w:pPr>
              <w:jc w:val="right"/>
            </w:pPr>
            <w:r>
              <w:rPr>
                <w:rFonts w:eastAsiaTheme="minorEastAsia"/>
                <w:color w:themeColor="text1" w:val="000000"/>
                <w:sz w:val="24"/>
              </w:rPr>
              <w:t>10,019,000.00</w:t>
            </w:r>
          </w:p>
        </w:tc>
        <w:tc>
          <w:tcPr>
            <w:vAlign w:val="center"/>
          </w:tcPr>
          <w:p>
            <w:pPr>
              <w:jc w:val="right"/>
            </w:pPr>
            <w:r>
              <w:rPr>
                <w:rFonts w:eastAsiaTheme="minorEastAsia"/>
                <w:color w:themeColor="text1" w:val="000000"/>
                <w:sz w:val="24"/>
              </w:rPr>
              <w:t>0.39</w:t>
            </w:r>
          </w:p>
        </w:tc>
      </w:tr>
    </w:tbl>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5.</w:t>
      </w:r>
      <w:r w:rsidR="0040218E" w:rsidRPr="00B34368">
        <w:rPr>
          <w:rFonts w:eastAsiaTheme="minorEastAsia"/>
          <w:b/>
          <w:color w:themeColor="text1" w:val="000000"/>
          <w:kern w:val="0"/>
          <w:sz w:val="24"/>
        </w:rPr>
        <w:t>7</w:t>
      </w:r>
      <w:r w:rsidRPr="00B34368">
        <w:rPr>
          <w:rFonts w:eastAsiaTheme="minorEastAsia" w:hAnsiTheme="minorEastAsia"/>
          <w:b/>
          <w:color w:themeColor="text1" w:val="000000"/>
          <w:kern w:val="0"/>
          <w:sz w:val="24"/>
        </w:rPr>
        <w:t xml:space="preserve">　报告期末按公允价值占基金资产净值比例大小排</w:t>
      </w:r>
      <w:r w:rsidR="00E15FD1" w:rsidRPr="00B34368">
        <w:rPr>
          <w:rFonts w:eastAsiaTheme="minorEastAsia" w:hAnsiTheme="minorEastAsia"/>
          <w:b/>
          <w:color w:themeColor="text1" w:val="000000"/>
          <w:kern w:val="0"/>
          <w:sz w:val="24"/>
        </w:rPr>
        <w:t>序</w:t>
      </w:r>
      <w:r w:rsidRPr="00B34368">
        <w:rPr>
          <w:rFonts w:eastAsiaTheme="minorEastAsia" w:hAnsiTheme="minorEastAsia"/>
          <w:b/>
          <w:color w:themeColor="text1" w:val="000000"/>
          <w:kern w:val="0"/>
          <w:sz w:val="24"/>
        </w:rPr>
        <w:t>的前十名资产支持证券投资明细</w:t>
      </w:r>
    </w:p>
    <w:p w:rsidP="00B34368" w:rsidR="009238DB" w:rsidRDefault="00C260A2"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lastRenderedPageBreak/>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本基金本报告期末未持有资产支持证券。</w:t>
      </w:r>
    </w:p>
    <w:p w:rsidP="00C544B8" w:rsidR="00E15FD1" w:rsidRDefault="00E15FD1" w:rsidRPr="00B34368">
      <w:pPr>
        <w:autoSpaceDE w:val="0"/>
        <w:autoSpaceDN w:val="0"/>
        <w:adjustRightInd w:val="0"/>
        <w:spacing w:before="312" w:beforeLines="100" w:line="360" w:lineRule="auto"/>
        <w:jc w:val="left"/>
        <w:rPr>
          <w:rFonts w:eastAsiaTheme="minorEastAsia"/>
          <w:b/>
          <w:bCs/>
          <w:color w:themeColor="text1" w:val="000000"/>
          <w:kern w:val="0"/>
          <w:sz w:val="24"/>
        </w:rPr>
      </w:pPr>
      <w:r w:rsidRPr="00B34368">
        <w:rPr>
          <w:rFonts w:eastAsiaTheme="minorEastAsia"/>
          <w:b/>
          <w:bCs/>
          <w:color w:themeColor="text1" w:val="000000"/>
          <w:kern w:val="0"/>
          <w:sz w:val="24"/>
        </w:rPr>
        <w:t>5</w:t>
      </w:r>
      <w:proofErr w:type="gramStart"/>
      <w:r w:rsidRPr="00B34368">
        <w:rPr>
          <w:rFonts w:eastAsiaTheme="minorEastAsia"/>
          <w:b/>
          <w:bCs/>
          <w:color w:themeColor="text1" w:val="000000"/>
          <w:kern w:val="0"/>
          <w:sz w:val="24"/>
        </w:rPr>
        <w:t>.</w:t>
      </w:r>
      <w:proofErr w:type="gramEnd"/>
      <w:r w:rsidRPr="00B34368">
        <w:rPr>
          <w:rFonts w:eastAsiaTheme="minorEastAsia"/>
          <w:b/>
          <w:bCs/>
          <w:color w:themeColor="text1" w:val="000000"/>
          <w:kern w:val="0"/>
          <w:sz w:val="24"/>
        </w:rPr>
        <w:t xml:space="preserve">8 </w:t>
      </w:r>
      <w:r w:rsidRPr="00B34368">
        <w:rPr>
          <w:rFonts w:eastAsiaTheme="minorEastAsia" w:hAnsiTheme="minorEastAsia"/>
          <w:b/>
          <w:bCs/>
          <w:color w:themeColor="text1" w:val="000000"/>
          <w:kern w:val="0"/>
          <w:sz w:val="24"/>
        </w:rPr>
        <w:t>报告期末按公允价值占基金资产净值比例大小排序的前五名贵金属投资明细</w:t>
      </w:r>
    </w:p>
    <w:p w:rsidP="00B34368" w:rsidR="00E15FD1" w:rsidRDefault="00E15FD1" w:rsidRPr="00B34368">
      <w:pPr>
        <w:widowControl/>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本基金本报告期末未持有贵金属。</w:t>
      </w:r>
    </w:p>
    <w:p w:rsidP="00C544B8" w:rsidR="009238DB" w:rsidRDefault="00E15FD1"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001D5CD0" w:rsidRPr="00B34368">
        <w:rPr>
          <w:rFonts w:eastAsiaTheme="minorEastAsia"/>
          <w:b/>
          <w:color w:themeColor="text1" w:val="000000"/>
          <w:kern w:val="0"/>
          <w:sz w:val="24"/>
        </w:rPr>
        <w:t>5</w:t>
      </w:r>
      <w:r w:rsidR="009238DB" w:rsidRPr="00B34368">
        <w:rPr>
          <w:rFonts w:eastAsiaTheme="minorEastAsia"/>
          <w:b/>
          <w:color w:themeColor="text1" w:val="000000"/>
          <w:kern w:val="0"/>
          <w:sz w:val="24"/>
        </w:rPr>
        <w:t>.</w:t>
      </w:r>
      <w:r w:rsidR="001D5CD0" w:rsidRPr="00B34368">
        <w:rPr>
          <w:rFonts w:eastAsiaTheme="minorEastAsia"/>
          <w:b/>
          <w:color w:themeColor="text1" w:val="000000"/>
          <w:kern w:val="0"/>
          <w:sz w:val="24"/>
        </w:rPr>
        <w:t/>
      </w:r>
      <w:r w:rsidRPr="00B34368">
        <w:rPr>
          <w:rFonts w:eastAsiaTheme="minorEastAsia"/>
          <w:b/>
          <w:color w:themeColor="text1" w:val="000000"/>
          <w:kern w:val="0"/>
          <w:sz w:val="24"/>
        </w:rPr>
        <w:t/>
      </w:r>
      <w:r w:rsidR="001D5CD0" w:rsidRPr="00B34368">
        <w:rPr>
          <w:rFonts w:eastAsiaTheme="minorEastAsia"/>
          <w:b/>
          <w:color w:themeColor="text1" w:val="000000"/>
          <w:kern w:val="0"/>
          <w:sz w:val="24"/>
        </w:rPr>
        <w:t>9</w:t>
      </w:r>
      <w:r w:rsidR="009238DB" w:rsidRPr="00B34368">
        <w:rPr>
          <w:rFonts w:eastAsiaTheme="minorEastAsia"/>
          <w:b/>
          <w:color w:themeColor="text1" w:val="000000"/>
          <w:kern w:val="0"/>
          <w:sz w:val="24"/>
        </w:rPr>
        <w:t xml:space="preserve"> </w:t>
      </w:r>
      <w:r w:rsidR="009238DB" w:rsidRPr="00B34368">
        <w:rPr>
          <w:rFonts w:eastAsiaTheme="minorEastAsia" w:hAnsiTheme="minorEastAsia"/>
          <w:b/>
          <w:color w:themeColor="text1" w:val="000000"/>
          <w:kern w:val="0"/>
          <w:sz w:val="24"/>
        </w:rPr>
        <w:t>报告</w:t>
      </w:r>
      <w:r w:rsidR="009238DB" w:rsidRPr="00B34368">
        <w:rPr>
          <w:rFonts w:eastAsiaTheme="minorEastAsia" w:hAnsiTheme="minorEastAsia"/>
          <w:b/>
          <w:bCs/>
          <w:color w:themeColor="text1" w:val="000000"/>
          <w:kern w:val="0"/>
          <w:sz w:val="24"/>
        </w:rPr>
        <w:t>期末</w:t>
      </w:r>
      <w:r w:rsidR="009238DB" w:rsidRPr="00B34368">
        <w:rPr>
          <w:rFonts w:eastAsiaTheme="minorEastAsia" w:hAnsiTheme="minorEastAsia"/>
          <w:b/>
          <w:color w:themeColor="text1" w:val="000000"/>
          <w:kern w:val="0"/>
          <w:sz w:val="24"/>
        </w:rPr>
        <w:t>按公允价值占基金资产净值比例大小排</w:t>
      </w:r>
      <w:r w:rsidR="006B3FDB" w:rsidRPr="00B34368">
        <w:rPr>
          <w:rFonts w:eastAsiaTheme="minorEastAsia" w:hAnsiTheme="minorEastAsia"/>
          <w:b/>
          <w:color w:themeColor="text1" w:val="000000"/>
          <w:kern w:val="0"/>
          <w:sz w:val="24"/>
        </w:rPr>
        <w:t>序</w:t>
      </w:r>
      <w:r w:rsidR="009238DB" w:rsidRPr="00B34368">
        <w:rPr>
          <w:rFonts w:eastAsiaTheme="minorEastAsia" w:hAnsiTheme="minorEastAsia"/>
          <w:b/>
          <w:color w:themeColor="text1" w:val="000000"/>
          <w:kern w:val="0"/>
          <w:sz w:val="24"/>
        </w:rPr>
        <w:t>的前五名权证投资明细</w:t>
      </w:r>
    </w:p>
    <w:p w:rsidP="00B34368" w:rsidR="001D5CD0" w:rsidRDefault="00C260A2"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00407F66"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本基金本报告期末未持有权证。</w:t>
      </w:r>
    </w:p>
    <w:p w:rsidP="00C544B8" w:rsidR="001D5CD0" w:rsidRDefault="001D5CD0" w:rsidRPr="00B34368">
      <w:pPr>
        <w:autoSpaceDE w:val="0"/>
        <w:autoSpaceDN w:val="0"/>
        <w:adjustRightInd w:val="0"/>
        <w:spacing w:before="312" w:beforeLines="100" w:line="360" w:lineRule="auto"/>
        <w:jc w:val="left"/>
        <w:rPr>
          <w:rFonts w:eastAsiaTheme="minorEastAsia"/>
          <w:b/>
          <w:color w:themeColor="text1" w:val="000000"/>
          <w:sz w:val="24"/>
        </w:rPr>
      </w:pPr>
      <w:r w:rsidRPr="00B34368">
        <w:rPr>
          <w:rFonts w:eastAsiaTheme="minorEastAsia"/>
          <w:b/>
          <w:color w:themeColor="text1" w:val="000000"/>
          <w:sz w:val="24"/>
        </w:rPr>
        <w:lastRenderedPageBreak/>
        <w:t/>
      </w:r>
      <w:proofErr w:type="spellStart"/>
      <w:r w:rsidRPr="00B34368">
        <w:rPr>
          <w:rFonts w:eastAsiaTheme="minorEastAsia"/>
          <w:b/>
          <w:color w:themeColor="text1" w:val="000000"/>
          <w:sz w:val="24"/>
        </w:rPr>
        <w:t/>
      </w:r>
      <w:r w:rsidRPr="00B34368">
        <w:rPr>
          <w:rFonts w:eastAsiaTheme="minorEastAsia"/>
          <w:b/>
          <w:bCs/>
          <w:color w:themeColor="text1" w:val="000000"/>
          <w:kern w:val="0"/>
          <w:sz w:val="24"/>
        </w:rPr>
        <w:t/>
      </w:r>
      <w:proofErr w:type="spellEnd"/>
      <w:r w:rsidRPr="00B34368">
        <w:rPr>
          <w:rFonts w:eastAsiaTheme="minorEastAsia"/>
          <w:b/>
          <w:color w:themeColor="text1" w:val="000000"/>
          <w:sz w:val="24"/>
        </w:rPr>
        <w:t/>
      </w:r>
      <w:proofErr w:type="gramStart"/>
      <w:r w:rsidRPr="00B34368">
        <w:rPr>
          <w:rFonts w:eastAsiaTheme="minorEastAsia"/>
          <w:b/>
          <w:color w:themeColor="text1" w:val="000000"/>
          <w:sz w:val="24"/>
        </w:rPr>
        <w:t/>
      </w:r>
      <w:proofErr w:type="gramEnd"/>
      <w:r w:rsidRPr="00B34368">
        <w:rPr>
          <w:rFonts w:eastAsiaTheme="minorEastAsia"/>
          <w:b/>
          <w:color w:themeColor="text1" w:val="000000"/>
          <w:sz w:val="24"/>
        </w:rPr>
        <w:t xml:space="preserve">5.10 </w:t>
      </w:r>
      <w:r w:rsidRPr="00B34368">
        <w:rPr>
          <w:rFonts w:eastAsiaTheme="minorEastAsia" w:hAnsiTheme="minorEastAsia"/>
          <w:b/>
          <w:color w:themeColor="text1" w:val="000000"/>
          <w:sz w:val="24"/>
        </w:rPr>
        <w:t>报告期末本基金投资的股指期货交易情况说明</w:t>
      </w:r>
    </w:p>
    <w:p w:rsidP="00D27EA0" w:rsidR="001D5CD0" w:rsidRDefault="00D27EA0" w:rsidRPr="00B34368">
      <w:pPr>
        <w:spacing w:line="360" w:lineRule="auto"/>
        <w:ind w:firstLine="480" w:firstLineChars="200"/>
        <w:rPr>
          <w:rFonts w:eastAsiaTheme="minorEastAsia"/>
          <w:color w:themeColor="text1"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r w:rsidRPr="00D27EA0">
        <w:rPr>
          <w:rFonts w:eastAsiaTheme="minorEastAsia"/>
          <w:color w:themeColor="text1" w:val="000000"/>
          <w:sz w:val="24"/>
        </w:rPr>
        <w:t/>
      </w:r>
      <w:proofErr w:type="spellEnd"/>
      <w:proofErr w:type="gramEnd"/>
      <w:r w:rsidRPr="00D27EA0">
        <w:rPr>
          <w:rFonts w:eastAsiaTheme="minorEastAsia"/>
          <w:color w:themeColor="text1" w:val="000000"/>
          <w:sz w:val="24"/>
        </w:rPr>
        <w:t>本基金本报告期末未投资股指期货。</w:t>
      </w:r>
    </w:p>
    <w:p w:rsidP="00C544B8" w:rsidR="001D5CD0" w:rsidRDefault="001D5CD0" w:rsidRPr="00B34368">
      <w:pPr>
        <w:adjustRightInd w:val="0"/>
        <w:snapToGrid w:val="0"/>
        <w:spacing w:before="312" w:beforeLines="100" w:line="360" w:lineRule="auto"/>
        <w:rPr>
          <w:rFonts w:eastAsiaTheme="minorEastAsia"/>
          <w:b/>
          <w:color w:themeColor="text1" w:val="000000"/>
          <w:sz w:val="24"/>
        </w:rPr>
      </w:pPr>
      <w:r w:rsidRPr="00B34368">
        <w:rPr>
          <w:rFonts w:eastAsiaTheme="minorEastAsia"/>
          <w:b/>
          <w:color w:themeColor="text1" w:val="000000"/>
          <w:sz w:val="24"/>
        </w:rPr>
        <w:t/>
      </w:r>
      <w:proofErr w:type="spellStart"/>
      <w:r w:rsidRPr="00B34368">
        <w:rPr>
          <w:rFonts w:eastAsiaTheme="minorEastAsia"/>
          <w:b/>
          <w:color w:themeColor="text1" w:val="000000"/>
          <w:sz w:val="24"/>
        </w:rPr>
        <w:t/>
      </w:r>
      <w:proofErr w:type="spellEnd"/>
      <w:r w:rsidRPr="00B34368">
        <w:rPr>
          <w:rFonts w:eastAsiaTheme="minorEastAsia"/>
          <w:b/>
          <w:color w:themeColor="text1" w:val="000000"/>
          <w:sz w:val="24"/>
        </w:rPr>
        <w:t/>
      </w:r>
      <w:proofErr w:type="gramStart"/>
      <w:r w:rsidRPr="00B34368">
        <w:rPr>
          <w:rFonts w:eastAsiaTheme="minorEastAsia"/>
          <w:b/>
          <w:color w:themeColor="text1" w:val="000000"/>
          <w:sz w:val="24"/>
        </w:rPr>
        <w:t/>
      </w:r>
      <w:proofErr w:type="gramEnd"/>
      <w:r w:rsidRPr="00B34368">
        <w:rPr>
          <w:rFonts w:eastAsiaTheme="minorEastAsia"/>
          <w:b/>
          <w:color w:themeColor="text1" w:val="000000"/>
          <w:sz w:val="24"/>
        </w:rPr>
        <w:t>5.11</w:t>
      </w:r>
      <w:r w:rsidRPr="00B34368">
        <w:rPr>
          <w:rFonts w:eastAsiaTheme="minorEastAsia" w:hAnsiTheme="minorEastAsia"/>
          <w:b/>
          <w:color w:themeColor="text1" w:val="000000"/>
          <w:sz w:val="24"/>
        </w:rPr>
        <w:t>报告期末本基金投资的国债期货交易情况说明</w:t>
      </w:r>
    </w:p>
    <w:p w:rsidP="00985F0E" w:rsidR="00985F0E" w:rsidRDefault="00985F0E">
      <w:pPr>
        <w:spacing w:line="360" w:lineRule="auto"/>
        <w:ind w:firstLine="480" w:firstLineChars="200"/>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本基金本报告期末未投资国债期货。</w:t>
      </w:r>
    </w:p>
    <w:p w:rsidP="00C544B8" w:rsidR="001D5CD0" w:rsidRDefault="001D5CD0"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Pr="00B34368">
        <w:rPr>
          <w:rFonts w:eastAsiaTheme="minorEastAsia"/>
          <w:b/>
          <w:color w:themeColor="text1" w:val="000000"/>
          <w:kern w:val="0"/>
          <w:sz w:val="24"/>
        </w:rPr>
        <w:t>5.12</w:t>
      </w:r>
      <w:r w:rsidRPr="00B34368">
        <w:rPr>
          <w:rFonts w:eastAsiaTheme="minorEastAsia" w:hAnsiTheme="minorEastAsia"/>
          <w:b/>
          <w:color w:themeColor="text1" w:val="000000"/>
          <w:kern w:val="0"/>
          <w:sz w:val="24"/>
        </w:rPr>
        <w:t>投资组合报告附注</w:t>
      </w:r>
    </w:p>
    <w:p w:rsidP="000C3452" w:rsidR="000C3452" w:rsidRDefault="000C3452" w:rsidRPr="00B34368">
      <w:pPr>
        <w:widowControl/>
        <w:spacing w:line="360" w:lineRule="auto"/>
        <w:rPr>
          <w:rFonts w:eastAsiaTheme="minorEastAsia"/>
          <w:color w:themeColor="text1" w:val="000000"/>
          <w:sz w:val="24"/>
        </w:rPr>
      </w:pPr>
      <w:r w:rsidRPr="00B34368">
        <w:rPr>
          <w:rFonts w:eastAsiaTheme="minorEastAsia"/>
          <w:color w:themeColor="text1" w:val="000000"/>
          <w:sz w:val="24"/>
        </w:rPr>
        <w:t/>
      </w:r>
      <w:proofErr w:type="gramStart"/>
      <w:r w:rsidRPr="00B34368">
        <w:rPr>
          <w:rFonts w:eastAsiaTheme="minorEastAsia"/>
          <w:color w:themeColor="text1" w:val="000000"/>
          <w:sz w:val="24"/>
        </w:rPr>
        <w:t/>
      </w:r>
      <w:proofErr w:type="gramEnd"/>
      <w:r w:rsidRPr="00B34368">
        <w:rPr>
          <w:rFonts w:eastAsiaTheme="minorEastAsia"/>
          <w:color w:themeColor="text1" w:val="000000"/>
          <w:sz w:val="24"/>
        </w:rPr>
        <w:t>5.12.1</w:t>
      </w:r>
      <w:r w:rsidR="00BD1AD9">
        <w:rPr>
          <w:rFonts w:eastAsiaTheme="minorEastAsia" w:hint="eastAsia"/>
          <w:color w:themeColor="text1" w:val="000000"/>
          <w:sz w:val="24"/>
        </w:rPr>
        <w:t xml:space="preserve"> </w:t>
      </w:r>
      <w:r w:rsidRPr="00B34368">
        <w:rPr>
          <w:rFonts w:eastAsiaTheme="minorEastAsia"/>
          <w:color w:themeColor="text1" w:val="000000"/>
          <w:sz w:val="24"/>
        </w:rPr>
        <w:t>本基金投资的前十名证券的发行主体本期没有出现被监管部门立案调查，或在报告编制日前一年内受到公开谴责、处罚的情形。</w:t>
      </w:r>
    </w:p>
    <w:p w:rsidP="000C3452" w:rsidR="000C3452" w:rsidRDefault="000C3452" w:rsidRPr="00B34368">
      <w:pPr>
        <w:widowControl/>
        <w:spacing w:line="360" w:lineRule="auto"/>
        <w:rPr>
          <w:rFonts w:eastAsiaTheme="minorEastAsia"/>
          <w:color w:themeColor="text1" w:val="000000"/>
          <w:sz w:val="24"/>
        </w:rPr>
      </w:pPr>
      <w:r w:rsidRPr="00B34368">
        <w:rPr>
          <w:rFonts w:eastAsiaTheme="minorEastAsia"/>
          <w:color w:themeColor="text1" w:val="000000"/>
          <w:sz w:val="24"/>
        </w:rPr>
        <w:lastRenderedPageBreak/>
        <w:t/>
      </w:r>
      <w:proofErr w:type="gramStart"/>
      <w:r w:rsidRPr="00B34368">
        <w:rPr>
          <w:rFonts w:eastAsiaTheme="minorEastAsia"/>
          <w:color w:themeColor="text1" w:val="000000"/>
          <w:sz w:val="24"/>
        </w:rPr>
        <w:t/>
      </w:r>
      <w:proofErr w:type="gramEnd"/>
      <w:r w:rsidRPr="00B34368">
        <w:rPr>
          <w:rFonts w:eastAsiaTheme="minorEastAsia"/>
          <w:color w:themeColor="text1" w:val="000000"/>
          <w:sz w:val="24"/>
        </w:rPr>
        <w:t>5.12.2</w:t>
      </w:r>
      <w:r w:rsidR="00BD1AD9">
        <w:rPr>
          <w:rFonts w:eastAsiaTheme="minorEastAsia" w:hint="eastAsia"/>
          <w:color w:themeColor="text1" w:val="000000"/>
          <w:sz w:val="24"/>
        </w:rPr>
        <w:t xml:space="preserve"> </w:t>
      </w:r>
      <w:r w:rsidRPr="00B34368">
        <w:rPr>
          <w:rFonts w:eastAsiaTheme="minorEastAsia"/>
          <w:color w:themeColor="text1" w:val="000000"/>
          <w:sz w:val="24"/>
        </w:rPr>
        <w:t>本基金本报告期末未持有股票，不存在投资的前十名股票超出基金合同规定的备选股票库情况。</w:t>
      </w:r>
    </w:p>
    <w:p w:rsidP="001D5CD0" w:rsidR="001D5CD0" w:rsidRDefault="001D5CD0" w:rsidRPr="00B34368">
      <w:pPr>
        <w:autoSpaceDE w:val="0"/>
        <w:autoSpaceDN w:val="0"/>
        <w:adjustRightInd w:val="0"/>
        <w:spacing w:line="360" w:lineRule="auto"/>
        <w:rPr>
          <w:rFonts w:eastAsiaTheme="minorEastAsia"/>
          <w:b/>
          <w:color w:themeColor="text1" w:val="000000"/>
          <w:kern w:val="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Pr="00B34368">
        <w:rPr>
          <w:rFonts w:eastAsiaTheme="minorEastAsia"/>
          <w:b/>
          <w:color w:themeColor="text1" w:val="000000"/>
          <w:kern w:val="0"/>
          <w:sz w:val="24"/>
        </w:rPr>
        <w:t>5.12.3</w:t>
      </w:r>
      <w:r w:rsidR="00153CF9">
        <w:rPr>
          <w:rFonts w:eastAsiaTheme="minorEastAsia" w:hAnsiTheme="minorEastAsia"/>
          <w:b/>
          <w:color w:themeColor="text1" w:val="000000"/>
          <w:kern w:val="0"/>
          <w:sz w:val="24"/>
        </w:rPr>
        <w:t>其他</w:t>
      </w:r>
      <w:bookmarkStart w:id="3" w:name="_GoBack"/>
      <w:bookmarkEnd w:id="3"/>
      <w:r w:rsidRPr="00B34368">
        <w:rPr>
          <w:rFonts w:eastAsiaTheme="minorEastAsia" w:hAnsiTheme="minorEastAsia"/>
          <w:b/>
          <w:color w:themeColor="text1" w:val="000000"/>
          <w:kern w:val="0"/>
          <w:sz w:val="24"/>
        </w:rPr>
        <w:t>资产构成</w:t>
      </w:r>
    </w:p>
    <w:tbl>
      <w:tblPr>
        <w:tblStyle w:val="af2"/>
        <w:tblW w:type="auto" w:w="0"/>
        <w:tblInd w:type="dxa" w:w="108"/>
        <w:tblLook w:firstColumn="1" w:firstRow="1" w:lastColumn="0" w:lastRow="0" w:noHBand="0" w:noVBand="1" w:val="04A0"/>
      </w:tblPr>
      <w:tblGrid>
        <w:gridCol w:w="1235"/>
        <w:gridCol w:w="2761"/>
        <w:gridCol w:w="4808"/>
      </w:tblGrid>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序号</w:t>
            </w:r>
          </w:p>
        </w:tc>
        <w:tc>
          <w:tcPr>
            <w:tcW w:type="dxa" w:w="2761"/>
            <w:vAlign w:val="center"/>
          </w:tcPr>
          <w:p w:rsidP="00AE2AD2" w:rsidR="001D5CD0" w:rsidRDefault="001D5CD0" w:rsidRPr="00B34368">
            <w:pPr>
              <w:autoSpaceDE w:val="0"/>
              <w:autoSpaceDN w:val="0"/>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名称</w:t>
            </w:r>
          </w:p>
        </w:tc>
        <w:tc>
          <w:tcPr>
            <w:tcW w:type="dxa" w:w="4808"/>
            <w:vAlign w:val="center"/>
          </w:tcPr>
          <w:p w:rsidP="00AE2AD2" w:rsidR="001D5CD0" w:rsidRDefault="001D5CD0" w:rsidRPr="00B34368">
            <w:pPr>
              <w:autoSpaceDE w:val="0"/>
              <w:autoSpaceDN w:val="0"/>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金额</w:t>
            </w:r>
            <w:r w:rsidRPr="00B34368">
              <w:rPr>
                <w:rFonts w:eastAsiaTheme="minorEastAsia"/>
                <w:color w:themeColor="text1" w:val="000000"/>
                <w:kern w:val="0"/>
                <w:sz w:val="24"/>
              </w:rPr>
              <w:t>(</w:t>
            </w:r>
            <w:r w:rsidRPr="00B34368">
              <w:rPr>
                <w:rFonts w:eastAsiaTheme="minorEastAsia" w:hAnsiTheme="minorEastAsia"/>
                <w:color w:themeColor="text1" w:val="000000"/>
                <w:kern w:val="0"/>
                <w:sz w:val="24"/>
              </w:rPr>
              <w:t>元</w:t>
            </w:r>
            <w:r w:rsidRPr="00B34368">
              <w:rPr>
                <w:rFonts w:eastAsiaTheme="minorEastAsia"/>
                <w:color w:themeColor="text1" w:val="000000"/>
                <w:kern w:val="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color w:themeColor="text1" w:val="000000"/>
                <w:sz w:val="24"/>
              </w:rPr>
              <w:t>1</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存出保证金</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13,398,496.40</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2</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应收证券清算款</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3</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应收股利</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4</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应收利息</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793,189.53</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5</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应收申购款</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48,652,424.27</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6</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其他应收款</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7</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sz w:val="24"/>
              </w:rPr>
            </w:pPr>
            <w:r w:rsidRPr="00B34368">
              <w:rPr>
                <w:rFonts w:eastAsiaTheme="minorEastAsia" w:hAnsiTheme="minorEastAsia"/>
                <w:color w:themeColor="text1" w:val="000000"/>
                <w:sz w:val="24"/>
              </w:rPr>
              <w:t>待摊费用</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8</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其他</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9</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合计</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62,844,110.20</w:t>
            </w:r>
          </w:p>
        </w:tc>
      </w:tr>
    </w:tbl>
    <w:p w:rsidP="00C544B8" w:rsidR="001D5CD0" w:rsidRDefault="001D5CD0"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Pr="00B34368">
        <w:rPr>
          <w:rFonts w:eastAsiaTheme="minorEastAsia"/>
          <w:b/>
          <w:color w:themeColor="text1" w:val="000000"/>
          <w:kern w:val="0"/>
          <w:sz w:val="24"/>
        </w:rPr>
        <w:t>5.12.4</w:t>
      </w:r>
      <w:r w:rsidRPr="00B34368">
        <w:rPr>
          <w:rFonts w:eastAsiaTheme="minorEastAsia" w:hAnsiTheme="minorEastAsia"/>
          <w:b/>
          <w:color w:themeColor="text1" w:val="000000"/>
          <w:kern w:val="0"/>
          <w:sz w:val="24"/>
        </w:rPr>
        <w:t>报告期末持有的处于转股期的可转换债券明细</w:t>
      </w:r>
    </w:p>
    <w:p w:rsidP="00B34368" w:rsidR="001D5CD0" w:rsidRDefault="001D5CD0"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本基金本报告期末未持有处于转股期的可转换债券。</w:t>
      </w:r>
    </w:p>
    <w:p w:rsidP="00C544B8" w:rsidR="001D5CD0" w:rsidRDefault="001D5CD0" w:rsidRPr="00B34368">
      <w:pPr>
        <w:autoSpaceDE w:val="0"/>
        <w:autoSpaceDN w:val="0"/>
        <w:adjustRightInd w:val="0"/>
        <w:spacing w:before="312" w:beforeLines="100" w:line="360" w:lineRule="auto"/>
        <w:jc w:val="left"/>
        <w:rPr>
          <w:rFonts w:eastAsiaTheme="minorEastAsia"/>
          <w:b/>
          <w:bCs/>
          <w:color w:themeColor="text1" w:val="00000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Pr="00B34368">
        <w:rPr>
          <w:rFonts w:eastAsiaTheme="minorEastAsia"/>
          <w:b/>
          <w:color w:themeColor="text1" w:val="000000"/>
          <w:kern w:val="0"/>
          <w:sz w:val="24"/>
        </w:rPr>
        <w:t>5.12.5</w:t>
      </w:r>
      <w:r w:rsidRPr="00B34368">
        <w:rPr>
          <w:rFonts w:eastAsiaTheme="minorEastAsia" w:hAnsiTheme="minorEastAsia"/>
          <w:b/>
          <w:bCs/>
          <w:color w:themeColor="text1" w:val="000000"/>
          <w:sz w:val="24"/>
        </w:rPr>
        <w:t>报告期末前十名股票中存在流通受限情况的说明</w:t>
      </w:r>
    </w:p>
    <w:p w:rsidP="00B34368" w:rsidR="001D5CD0" w:rsidRDefault="001D5CD0"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gramStart"/>
      <w:r w:rsidRPr="00B34368">
        <w:rPr>
          <w:rFonts w:eastAsiaTheme="minorEastAsia"/>
          <w:color w:themeColor="text1" w:val="000000"/>
          <w:sz w:val="24"/>
        </w:rPr>
        <w:t/>
      </w:r>
      <w:proofErr w:type="gramEnd"/>
      <w:r w:rsidRPr="00B34368">
        <w:rPr>
          <w:rFonts w:eastAsiaTheme="minorEastAsia"/>
          <w:color w:themeColor="text1" w:val="000000"/>
          <w:sz w:val="24"/>
        </w:rPr>
        <w:t>本基金本报告期末未持有股票。</w:t>
      </w: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 xml:space="preserve">§6  </w:t>
      </w:r>
      <w:r w:rsidRPr="00B34368">
        <w:rPr>
          <w:rFonts w:eastAsiaTheme="minorEastAsia" w:hAnsiTheme="minorEastAsia"/>
          <w:color w:themeColor="text1" w:val="000000"/>
          <w:kern w:val="0"/>
          <w:sz w:val="24"/>
          <w:szCs w:val="24"/>
        </w:rPr>
        <w:t>开放式基金份额变动</w:t>
      </w:r>
    </w:p>
    <w:p w:rsidP="00302187" w:rsidR="009238DB" w:rsidRDefault="009238DB" w:rsidRPr="00B34368">
      <w:pPr>
        <w:autoSpaceDE w:val="0"/>
        <w:autoSpaceDN w:val="0"/>
        <w:adjustRightInd w:val="0"/>
        <w:spacing w:before="29" w:line="288" w:lineRule="auto"/>
        <w:ind w:left="15" w:right="480"/>
        <w:jc w:val="right"/>
        <w:rPr>
          <w:rFonts w:eastAsiaTheme="minorEastAsia"/>
          <w:color w:themeColor="text1" w:val="000000"/>
          <w:kern w:val="0"/>
          <w:sz w:val="24"/>
        </w:rPr>
      </w:pPr>
      <w:r w:rsidRPr="00B34368">
        <w:rPr>
          <w:rFonts w:eastAsiaTheme="minorEastAsia" w:hAnsiTheme="minorEastAsia"/>
          <w:color w:themeColor="text1" w:val="000000"/>
          <w:kern w:val="0"/>
          <w:sz w:val="24"/>
        </w:rPr>
        <w:t>单位：份</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D3639B" w:rsidRPr="00B34368" w:rsidTr="004E70B7">
        <w:tc>
          <w:tcPr>
            <w:tcW w:type="dxa" w:w="3900"/>
            <w:vAlign w:val="center"/>
          </w:tcPr>
          <w:p w:rsidP="00B84643" w:rsidR="00936D40" w:rsidRDefault="00936D40" w:rsidRPr="00B34368">
            <w:pPr>
              <w:autoSpaceDE w:val="0"/>
              <w:autoSpaceDN w:val="0"/>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项目</w:t>
            </w:r>
          </w:p>
        </w:tc>
        <w:tc>
          <w:tcPr>
            <w:tcW w:type="dxa" w:w="2367"/>
            <w:vAlign w:val="center"/>
          </w:tcPr>
          <w:p w:rsidP="00A1276C"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sz w:val="24"/>
              </w:rPr>
              <w:t/>
            </w:r>
            <w:proofErr w:type="spellEnd"/>
            <w:r w:rsidR="0042785F" w:rsidRPr="00B34368">
              <w:rPr>
                <w:rFonts w:eastAsiaTheme="minorEastAsia"/>
                <w:color w:themeColor="text1" w:val="000000"/>
                <w:sz w:val="24"/>
              </w:rPr>
              <w:t>易方达黄金ETF联接A</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kern w:val="0"/>
                <w:sz w:val="24"/>
              </w:rPr>
              <w:t/>
            </w: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易方达黄金ETF联接C</w:t>
            </w:r>
          </w:p>
        </w:tc>
      </w:tr>
      <w:tr w:rsidR="00D3639B" w:rsidRPr="00B34368" w:rsidTr="004E70B7">
        <w:tc>
          <w:tcPr>
            <w:tcW w:type="dxa" w:w="3900"/>
            <w:vAlign w:val="center"/>
          </w:tcPr>
          <w:p w:rsidP="00A1276C" w:rsidR="00936D40" w:rsidRDefault="00936D40"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报告期期</w:t>
            </w:r>
            <w:proofErr w:type="gramStart"/>
            <w:r w:rsidRPr="00B34368">
              <w:rPr>
                <w:rFonts w:eastAsiaTheme="minorEastAsia" w:hAnsiTheme="minorEastAsia"/>
                <w:color w:themeColor="text1" w:val="000000"/>
                <w:kern w:val="0"/>
                <w:sz w:val="24"/>
              </w:rPr>
              <w:t>初基金</w:t>
            </w:r>
            <w:proofErr w:type="gramEnd"/>
            <w:r w:rsidRPr="00B34368">
              <w:rPr>
                <w:rFonts w:eastAsiaTheme="minorEastAsia" w:hAnsiTheme="minorEastAsia"/>
                <w:color w:themeColor="text1" w:val="000000"/>
                <w:kern w:val="0"/>
                <w:sz w:val="24"/>
              </w:rPr>
              <w:t>份额总额</w:t>
            </w:r>
          </w:p>
        </w:tc>
        <w:tc>
          <w:tcPr>
            <w:tcW w:type="dxa" w:w="2367"/>
            <w:vAlign w:val="center"/>
          </w:tcPr>
          <w:p w:rsidP="00A1276C" w:rsidR="00936D40" w:rsidRDefault="00B011B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r w:rsidR="00936D40" w:rsidRPr="00B34368">
              <w:rPr>
                <w:rFonts w:eastAsiaTheme="minorEastAsia"/>
                <w:color w:themeColor="text1" w:val="000000"/>
                <w:sz w:val="24"/>
              </w:rPr>
              <w:t/>
            </w:r>
            <w:r w:rsidR="0042785F" w:rsidRPr="00B34368">
              <w:rPr>
                <w:rFonts w:eastAsiaTheme="minorEastAsia"/>
                <w:color w:themeColor="text1" w:val="000000"/>
                <w:sz w:val="24"/>
              </w:rPr>
              <w:t>856,461,583.42</w:t>
            </w:r>
          </w:p>
        </w:tc>
        <w:tc>
          <w:tcPr>
            <w:tcW w:type="dxa" w:w="2367"/>
            <w:vAlign w:val="center"/>
          </w:tcPr>
          <w:p w:rsidP="00936D40" w:rsidR="00936D40" w:rsidRDefault="00B011B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r w:rsidR="00936D40" w:rsidRPr="00B34368">
              <w:rPr>
                <w:rFonts w:eastAsiaTheme="minorEastAsia"/>
                <w:color w:themeColor="text1" w:val="000000"/>
                <w:sz w:val="24"/>
              </w:rPr>
              <w:t/>
            </w:r>
            <w:r w:rsidR="00EA1D33" w:rsidRPr="00B34368">
              <w:rPr>
                <w:rFonts w:eastAsiaTheme="minorEastAsia"/>
                <w:color w:themeColor="text1" w:val="000000"/>
                <w:sz w:val="24"/>
              </w:rPr>
              <w:t/>
            </w:r>
            <w:r w:rsidR="0042785F" w:rsidRPr="00B34368">
              <w:rPr>
                <w:rFonts w:eastAsiaTheme="minorEastAsia"/>
                <w:color w:themeColor="text1" w:val="000000"/>
                <w:sz w:val="24"/>
              </w:rPr>
              <w:t>986,085,036.15</w:t>
            </w:r>
          </w:p>
        </w:tc>
      </w:tr>
      <w:tr w:rsidR="00D3639B" w:rsidRPr="00B34368" w:rsidTr="004E70B7">
        <w:tc>
          <w:tcPr>
            <w:tcW w:type="dxa" w:w="3900"/>
            <w:vAlign w:val="center"/>
          </w:tcPr>
          <w:p w:rsidP="00A1276C" w:rsidR="00936D40" w:rsidRDefault="00F72579"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lastRenderedPageBreak/>
              <w:t/>
            </w:r>
            <w:proofErr w:type="spellStart"/>
            <w:r w:rsidR="00130E37">
              <w:rPr>
                <w:color w:val="000000"/>
                <w:kern w:val="0"/>
                <w:sz w:val="24"/>
              </w:rPr>
              <w:t/>
            </w:r>
            <w:proofErr w:type="spellEnd"/>
            <w:r w:rsidRPr="00B34368">
              <w:rPr>
                <w:rFonts w:eastAsiaTheme="minorEastAsia"/>
                <w:color w:themeColor="text1" w:val="000000"/>
                <w:kern w:val="0"/>
                <w:sz w:val="24"/>
              </w:rPr>
              <w:t>报告期</w:t>
            </w:r>
            <w:r w:rsidR="00936D40" w:rsidRPr="00B34368">
              <w:rPr>
                <w:rFonts w:eastAsiaTheme="minorEastAsia" w:hAnsiTheme="minorEastAsia"/>
                <w:color w:themeColor="text1" w:val="000000"/>
                <w:kern w:val="0"/>
                <w:sz w:val="24"/>
              </w:rPr>
              <w:t>基金总申购份额</w:t>
            </w:r>
          </w:p>
        </w:tc>
        <w:tc>
          <w:tcPr>
            <w:tcW w:type="dxa" w:w="2367"/>
            <w:vAlign w:val="center"/>
          </w:tcPr>
          <w:p w:rsidP="00A1276C"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0042785F" w:rsidRPr="00B34368">
              <w:rPr>
                <w:rFonts w:eastAsiaTheme="minorEastAsia"/>
                <w:color w:themeColor="text1" w:val="000000"/>
                <w:sz w:val="24"/>
              </w:rPr>
              <w:t>252,333,382.41</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1,077,283,341.15</w:t>
            </w:r>
          </w:p>
        </w:tc>
      </w:tr>
      <w:tr w:rsidR="00D3639B" w:rsidRPr="00B34368" w:rsidTr="004E70B7">
        <w:tc>
          <w:tcPr>
            <w:tcW w:type="dxa" w:w="3900"/>
            <w:vAlign w:val="center"/>
          </w:tcPr>
          <w:p w:rsidP="00A1276C" w:rsidR="00936D40" w:rsidRDefault="00936D40"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减：</w:t>
            </w:r>
            <w:r w:rsidR="00F72579" w:rsidRPr="00B34368">
              <w:rPr>
                <w:rFonts w:eastAsiaTheme="minorEastAsia"/>
                <w:color w:themeColor="text1" w:val="000000"/>
                <w:kern w:val="0"/>
                <w:sz w:val="24"/>
              </w:rPr>
              <w:t/>
            </w:r>
            <w:proofErr w:type="spellStart"/>
            <w:r w:rsidR="00130E37">
              <w:rPr>
                <w:color w:val="000000"/>
                <w:kern w:val="0"/>
                <w:sz w:val="24"/>
              </w:rPr>
              <w:t/>
            </w:r>
            <w:proofErr w:type="spellEnd"/>
            <w:r w:rsidR="00F72579" w:rsidRPr="00B34368">
              <w:rPr>
                <w:rFonts w:eastAsiaTheme="minorEastAsia"/>
                <w:color w:themeColor="text1" w:val="000000"/>
                <w:kern w:val="0"/>
                <w:sz w:val="24"/>
              </w:rPr>
              <w:t>报告期</w:t>
            </w:r>
            <w:r w:rsidRPr="00B34368">
              <w:rPr>
                <w:rFonts w:eastAsiaTheme="minorEastAsia" w:hAnsiTheme="minorEastAsia"/>
                <w:color w:themeColor="text1" w:val="000000"/>
                <w:kern w:val="0"/>
                <w:sz w:val="24"/>
              </w:rPr>
              <w:t>基金总赎回份额</w:t>
            </w:r>
          </w:p>
        </w:tc>
        <w:tc>
          <w:tcPr>
            <w:tcW w:type="dxa" w:w="2367"/>
            <w:vAlign w:val="center"/>
          </w:tcPr>
          <w:p w:rsidP="00A1276C"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0042785F" w:rsidRPr="00B34368">
              <w:rPr>
                <w:rFonts w:eastAsiaTheme="minorEastAsia"/>
                <w:color w:themeColor="text1" w:val="000000"/>
                <w:sz w:val="24"/>
              </w:rPr>
              <w:t>240,602,363.23</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1,058,133,858.17</w:t>
            </w:r>
          </w:p>
        </w:tc>
      </w:tr>
      <w:tr w:rsidR="00D3639B" w:rsidRPr="00B34368" w:rsidTr="004E70B7">
        <w:tc>
          <w:tcPr>
            <w:tcW w:type="dxa" w:w="3900"/>
            <w:vAlign w:val="center"/>
          </w:tcPr>
          <w:p w:rsidP="00A1276C" w:rsidR="00936D40" w:rsidRDefault="00F72579"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t/>
            </w:r>
            <w:r w:rsidR="00130E37">
              <w:rPr>
                <w:color w:val="000000"/>
                <w:kern w:val="0"/>
                <w:sz w:val="24"/>
              </w:rPr>
              <w:t/>
            </w:r>
            <w:r w:rsidRPr="00B34368">
              <w:rPr>
                <w:rFonts w:eastAsiaTheme="minorEastAsia"/>
                <w:color w:themeColor="text1" w:val="000000"/>
                <w:kern w:val="0"/>
                <w:sz w:val="24"/>
              </w:rPr>
              <w:t>报告期</w:t>
            </w:r>
            <w:r w:rsidR="00936D40" w:rsidRPr="00B34368">
              <w:rPr>
                <w:rFonts w:eastAsiaTheme="minorEastAsia" w:hAnsiTheme="minorEastAsia"/>
                <w:color w:themeColor="text1" w:val="000000"/>
                <w:kern w:val="0"/>
                <w:sz w:val="24"/>
              </w:rPr>
              <w:t>基金拆分变动份额</w:t>
            </w:r>
            <w:r w:rsidR="00130E37" w:rsidRPr="00130E37">
              <w:rPr>
                <w:rFonts w:eastAsiaTheme="minorEastAsia" w:hAnsiTheme="minorEastAsia" w:hint="eastAsia"/>
                <w:color w:themeColor="text1" w:val="000000"/>
                <w:kern w:val="0"/>
                <w:sz w:val="24"/>
              </w:rPr>
              <w:t>（份额减少以“</w:t>
            </w:r>
            <w:r w:rsidR="00130E37" w:rsidRPr="00130E37">
              <w:rPr>
                <w:rFonts w:eastAsiaTheme="minorEastAsia" w:hAnsiTheme="minorEastAsia" w:hint="eastAsia"/>
                <w:color w:themeColor="text1" w:val="000000"/>
                <w:kern w:val="0"/>
                <w:sz w:val="24"/>
              </w:rPr>
              <w:t>-</w:t>
            </w:r>
            <w:r w:rsidR="00130E37" w:rsidRPr="00130E37">
              <w:rPr>
                <w:rFonts w:eastAsiaTheme="minorEastAsia" w:hAnsiTheme="minorEastAsia" w:hint="eastAsia"/>
                <w:color w:themeColor="text1" w:val="000000"/>
                <w:kern w:val="0"/>
                <w:sz w:val="24"/>
              </w:rPr>
              <w:t>”填列）</w:t>
            </w:r>
          </w:p>
        </w:tc>
        <w:tc>
          <w:tcPr>
            <w:tcW w:type="dxa" w:w="2367"/>
            <w:vAlign w:val="center"/>
          </w:tcPr>
          <w:p w:rsidP="00A1276C"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0042785F" w:rsidRPr="00B34368">
              <w:rPr>
                <w:rFonts w:eastAsiaTheme="minorEastAsia"/>
                <w:color w:themeColor="text1" w:val="000000"/>
                <w:sz w:val="24"/>
              </w:rPr>
              <w:t>-</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w:t>
            </w:r>
          </w:p>
        </w:tc>
      </w:tr>
      <w:tr w:rsidR="00D3639B" w:rsidRPr="00B34368" w:rsidTr="004E70B7">
        <w:tc>
          <w:tcPr>
            <w:tcW w:type="dxa" w:w="3900"/>
            <w:vAlign w:val="center"/>
          </w:tcPr>
          <w:p w:rsidP="00A1276C" w:rsidR="00936D40" w:rsidRDefault="00936D40"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报告期期末基金份额总额</w:t>
            </w:r>
          </w:p>
        </w:tc>
        <w:tc>
          <w:tcPr>
            <w:tcW w:type="dxa" w:w="2367"/>
            <w:vAlign w:val="center"/>
          </w:tcPr>
          <w:p w:rsidP="00B57BCF"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r w:rsidR="0042785F" w:rsidRPr="00B34368">
              <w:rPr>
                <w:rFonts w:eastAsiaTheme="minorEastAsia"/>
                <w:color w:themeColor="text1" w:val="000000"/>
                <w:sz w:val="24"/>
              </w:rPr>
              <w:t/>
            </w:r>
            <w:proofErr w:type="spellEnd"/>
            <w:r w:rsidR="0042785F" w:rsidRPr="00B34368">
              <w:rPr>
                <w:rFonts w:eastAsiaTheme="minorEastAsia"/>
                <w:color w:themeColor="text1" w:val="000000"/>
                <w:sz w:val="24"/>
              </w:rPr>
              <w:t>868,192,602.60</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1,005,234,519.13</w:t>
            </w:r>
          </w:p>
        </w:tc>
      </w:tr>
    </w:tbl>
    <w:p w:rsidP="00C544B8" w:rsidR="00617125" w:rsidRDefault="00617125" w:rsidRPr="00B34368">
      <w:pPr>
        <w:pStyle w:val="1"/>
        <w:tabs>
          <w:tab w:pos="4156" w:val="center"/>
          <w:tab w:pos="8312" w:val="right"/>
        </w:tabs>
        <w:spacing w:after="312" w:afterLines="100" w:before="312" w:beforeLines="100" w:line="360" w:lineRule="auto"/>
        <w:jc w:val="center"/>
        <w:rPr>
          <w:rFonts w:eastAsiaTheme="minorEastAsia"/>
          <w:color w:themeColor="text1" w:val="000000"/>
          <w:sz w:val="24"/>
          <w:szCs w:val="24"/>
        </w:rPr>
      </w:pPr>
      <w:r w:rsidRPr="00B34368">
        <w:rPr>
          <w:rFonts w:eastAsiaTheme="minorEastAsia"/>
          <w:color w:themeColor="text1" w:val="000000"/>
          <w:kern w:val="0"/>
          <w:sz w:val="24"/>
          <w:szCs w:val="24"/>
        </w:rPr>
        <w:t/>
      </w:r>
      <w:proofErr w:type="spellStart"/>
      <w:r w:rsidRPr="00B34368">
        <w:rPr>
          <w:rFonts w:eastAsiaTheme="minorEastAsia"/>
          <w:color w:themeColor="text1" w:val="000000"/>
          <w:kern w:val="0"/>
          <w:sz w:val="24"/>
          <w:szCs w:val="24"/>
        </w:rPr>
        <w:t/>
      </w:r>
      <w:proofErr w:type="spellEnd"/>
      <w:r w:rsidRPr="00B34368">
        <w:rPr>
          <w:rFonts w:eastAsiaTheme="minorEastAsia"/>
          <w:color w:themeColor="text1" w:val="000000"/>
          <w:kern w:val="0"/>
          <w:sz w:val="24"/>
          <w:szCs w:val="24"/>
        </w:rPr>
        <w:t>§7</w:t>
      </w:r>
      <w:r w:rsidR="007661B8" w:rsidRPr="00B34368">
        <w:rPr>
          <w:rFonts w:eastAsiaTheme="minorEastAsia"/>
          <w:color w:themeColor="text1" w:val="000000"/>
          <w:kern w:val="0"/>
          <w:sz w:val="24"/>
          <w:szCs w:val="24"/>
        </w:rPr>
        <w:t xml:space="preserve">  </w:t>
      </w:r>
      <w:r w:rsidRPr="00B34368">
        <w:rPr>
          <w:rFonts w:eastAsiaTheme="minorEastAsia" w:hAnsiTheme="minorEastAsia"/>
          <w:color w:themeColor="text1" w:val="000000"/>
          <w:sz w:val="24"/>
          <w:szCs w:val="24"/>
        </w:rPr>
        <w:t>基金管理人运用</w:t>
      </w:r>
      <w:proofErr w:type="gramStart"/>
      <w:r w:rsidRPr="00B34368">
        <w:rPr>
          <w:rFonts w:eastAsiaTheme="minorEastAsia" w:hAnsiTheme="minorEastAsia"/>
          <w:color w:themeColor="text1" w:val="000000"/>
          <w:sz w:val="24"/>
          <w:szCs w:val="24"/>
        </w:rPr>
        <w:t>固有资金</w:t>
      </w:r>
      <w:proofErr w:type="gramEnd"/>
      <w:r w:rsidRPr="00B34368">
        <w:rPr>
          <w:rFonts w:eastAsiaTheme="minorEastAsia" w:hAnsiTheme="minorEastAsia"/>
          <w:color w:themeColor="text1" w:val="000000"/>
          <w:sz w:val="24"/>
          <w:szCs w:val="24"/>
        </w:rPr>
        <w:t>投资本基金情况</w:t>
      </w:r>
    </w:p>
    <w:p w:rsidP="00617125" w:rsidR="00617125" w:rsidRDefault="00617125" w:rsidRPr="00B34368">
      <w:pPr>
        <w:spacing w:line="360" w:lineRule="auto"/>
        <w:jc w:val="left"/>
        <w:rPr>
          <w:rFonts w:eastAsiaTheme="minorEastAsia"/>
          <w:color w:themeColor="text1" w:val="000000"/>
          <w:sz w:val="24"/>
        </w:rPr>
      </w:pPr>
      <w:r w:rsidRPr="00B34368">
        <w:rPr>
          <w:rFonts w:eastAsiaTheme="minorEastAsia"/>
          <w:b/>
          <w:color w:themeColor="text1" w:val="000000"/>
          <w:sz w:val="24"/>
        </w:rPr>
        <w:t/>
      </w:r>
      <w:proofErr w:type="spellStart"/>
      <w:r w:rsidRPr="00B34368">
        <w:rPr>
          <w:rFonts w:eastAsiaTheme="minorEastAsia"/>
          <w:b/>
          <w:color w:themeColor="text1" w:val="000000"/>
          <w:sz w:val="24"/>
        </w:rPr>
        <w:t/>
      </w:r>
      <w:proofErr w:type="spellEnd"/>
      <w:r w:rsidRPr="00B34368">
        <w:rPr>
          <w:rFonts w:eastAsiaTheme="minorEastAsia"/>
          <w:b/>
          <w:color w:themeColor="text1" w:val="000000"/>
          <w:sz w:val="24"/>
        </w:rPr>
        <w:t/>
      </w:r>
      <w:proofErr w:type="gramStart"/>
      <w:r w:rsidRPr="00B34368">
        <w:rPr>
          <w:rFonts w:eastAsiaTheme="minorEastAsia"/>
          <w:b/>
          <w:color w:themeColor="text1" w:val="000000"/>
          <w:sz w:val="24"/>
        </w:rPr>
        <w:t/>
      </w:r>
      <w:proofErr w:type="gramEnd"/>
      <w:r w:rsidRPr="00B34368">
        <w:rPr>
          <w:rFonts w:eastAsiaTheme="minorEastAsia"/>
          <w:b/>
          <w:color w:themeColor="text1" w:val="000000"/>
          <w:sz w:val="24"/>
        </w:rPr>
        <w:t xml:space="preserve">7.1 </w:t>
      </w:r>
      <w:r w:rsidRPr="00B34368">
        <w:rPr>
          <w:rFonts w:eastAsiaTheme="minorEastAsia" w:hAnsiTheme="minorEastAsia"/>
          <w:b/>
          <w:color w:themeColor="text1" w:val="000000"/>
          <w:sz w:val="24"/>
        </w:rPr>
        <w:t>基金管理人持有本基金份额变动情况</w:t>
      </w:r>
    </w:p>
    <w:p w:rsidP="00B34368" w:rsidR="00617125" w:rsidRDefault="00A01C74" w:rsidRPr="00B34368">
      <w:pPr>
        <w:autoSpaceDE w:val="0"/>
        <w:autoSpaceDN w:val="0"/>
        <w:adjustRightInd w:val="0"/>
        <w:spacing w:line="360" w:lineRule="auto"/>
        <w:ind w:firstLine="480" w:firstLineChars="200"/>
        <w:jc w:val="left"/>
        <w:rPr>
          <w:rFonts w:eastAsiaTheme="minorEastAsia"/>
          <w:color w:themeColor="text1" w:val="000000"/>
          <w:sz w:val="24"/>
        </w:rPr>
      </w:pPr>
      <w:r w:rsidRPr="00DF18FE">
        <w:rPr>
          <w:color w:val="000000"/>
          <w:sz w:val="24"/>
        </w:rPr>
        <w:t/>
      </w:r>
      <w:r w:rsidRPr="00EA6415">
        <w:rPr>
          <w:color w:val="000000"/>
          <w:sz w:val="24"/>
        </w:rPr>
        <w:t/>
      </w: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本报告期内基金管理人未持有本基金份额。</w:t>
      </w:r>
    </w:p>
    <w:p w:rsidP="00C544B8" w:rsidR="00617125" w:rsidRDefault="00617125" w:rsidRPr="00B34368">
      <w:pPr>
        <w:spacing w:before="312" w:beforeLines="100" w:line="360" w:lineRule="auto"/>
        <w:jc w:val="left"/>
        <w:rPr>
          <w:rFonts w:eastAsiaTheme="minorEastAsia"/>
          <w:color w:themeColor="text1" w:val="000000"/>
          <w:sz w:val="24"/>
        </w:rPr>
      </w:pPr>
      <w:r w:rsidRPr="00B34368">
        <w:rPr>
          <w:rFonts w:eastAsiaTheme="minorEastAsia"/>
          <w:b/>
          <w:color w:themeColor="text1" w:val="000000"/>
          <w:sz w:val="24"/>
        </w:rPr>
        <w:t/>
      </w:r>
      <w:proofErr w:type="spellStart"/>
      <w:r w:rsidRPr="00B34368">
        <w:rPr>
          <w:rFonts w:eastAsiaTheme="minorEastAsia"/>
          <w:b/>
          <w:color w:themeColor="text1" w:val="000000"/>
          <w:sz w:val="24"/>
        </w:rPr>
        <w:t/>
      </w:r>
      <w:proofErr w:type="spellEnd"/>
      <w:r w:rsidRPr="00B34368">
        <w:rPr>
          <w:rFonts w:eastAsiaTheme="minorEastAsia"/>
          <w:b/>
          <w:color w:themeColor="text1" w:val="000000"/>
          <w:sz w:val="24"/>
        </w:rPr>
        <w:t/>
      </w:r>
      <w:proofErr w:type="gramStart"/>
      <w:r w:rsidRPr="00B34368">
        <w:rPr>
          <w:rFonts w:eastAsiaTheme="minorEastAsia"/>
          <w:b/>
          <w:color w:themeColor="text1" w:val="000000"/>
          <w:sz w:val="24"/>
        </w:rPr>
        <w:t/>
      </w:r>
      <w:proofErr w:type="gramEnd"/>
      <w:r w:rsidRPr="00B34368">
        <w:rPr>
          <w:rFonts w:eastAsiaTheme="minorEastAsia"/>
          <w:b/>
          <w:color w:themeColor="text1" w:val="000000"/>
          <w:sz w:val="24"/>
        </w:rPr>
        <w:t xml:space="preserve">7.2 </w:t>
      </w:r>
      <w:r w:rsidRPr="00B34368">
        <w:rPr>
          <w:rFonts w:eastAsiaTheme="minorEastAsia" w:hAnsiTheme="minorEastAsia"/>
          <w:b/>
          <w:color w:themeColor="text1" w:val="000000"/>
          <w:sz w:val="24"/>
        </w:rPr>
        <w:t>基金管理人运用固有资金投资本基金交易明细</w:t>
      </w:r>
    </w:p>
    <w:p w:rsidP="00B34368" w:rsidR="00617125" w:rsidRDefault="00617125"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本报告期内基金管理人未运用固有资金申购、赎回、买卖本基金份额。</w:t>
      </w: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w:t>
      </w:r>
      <w:r w:rsidR="00A14399" w:rsidRPr="00B34368">
        <w:rPr>
          <w:rFonts w:eastAsiaTheme="minorEastAsia"/>
          <w:color w:themeColor="text1" w:val="000000"/>
          <w:kern w:val="0"/>
          <w:sz w:val="24"/>
          <w:szCs w:val="24"/>
        </w:rPr>
        <w:t/>
      </w:r>
      <w:r w:rsidR="00D13A01" w:rsidRPr="00B34368">
        <w:rPr>
          <w:rFonts w:eastAsiaTheme="minorEastAsia"/>
          <w:color w:themeColor="text1" w:val="000000"/>
          <w:kern w:val="0"/>
          <w:sz w:val="24"/>
          <w:szCs w:val="24"/>
        </w:rPr>
        <w:t/>
      </w:r>
      <w:r w:rsidR="00A14399" w:rsidRPr="00B34368">
        <w:rPr>
          <w:rFonts w:eastAsiaTheme="minorEastAsia"/>
          <w:color w:themeColor="text1" w:val="000000"/>
          <w:kern w:val="0"/>
          <w:sz w:val="24"/>
          <w:szCs w:val="24"/>
        </w:rPr>
        <w:t>8</w:t>
      </w:r>
      <w:r w:rsidR="007661B8" w:rsidRPr="00B34368">
        <w:rPr>
          <w:rFonts w:eastAsiaTheme="minorEastAsia"/>
          <w:color w:themeColor="text1" w:val="000000"/>
          <w:kern w:val="0"/>
          <w:sz w:val="24"/>
          <w:szCs w:val="24"/>
        </w:rPr>
        <w:t xml:space="preserve">  </w:t>
      </w:r>
      <w:r w:rsidRPr="00B34368">
        <w:rPr>
          <w:rFonts w:eastAsiaTheme="minorEastAsia" w:hAnsiTheme="minorEastAsia"/>
          <w:color w:themeColor="text1" w:val="000000"/>
          <w:kern w:val="0"/>
          <w:sz w:val="24"/>
          <w:szCs w:val="24"/>
        </w:rPr>
        <w:t>备查文件目录</w:t>
      </w:r>
    </w:p>
    <w:p w:rsidP="00FC13C8" w:rsidR="00FB3C94" w:rsidRDefault="00A14399" w:rsidRPr="00B34368">
      <w:pPr>
        <w:autoSpaceDE w:val="0"/>
        <w:autoSpaceDN w:val="0"/>
        <w:adjustRightInd w:val="0"/>
        <w:spacing w:line="360" w:lineRule="auto"/>
        <w:jc w:val="left"/>
        <w:rPr>
          <w:rFonts w:eastAsiaTheme="minorEastAsia"/>
          <w:b/>
          <w:bCs/>
          <w:color w:themeColor="text1" w:val="000000"/>
          <w:kern w:val="0"/>
          <w:sz w:val="24"/>
        </w:rPr>
      </w:pPr>
      <w:r w:rsidRPr="00B34368">
        <w:rPr>
          <w:rFonts w:eastAsiaTheme="minorEastAsia"/>
          <w:b/>
          <w:bCs/>
          <w:color w:themeColor="text1" w:val="000000"/>
          <w:kern w:val="0"/>
          <w:sz w:val="24"/>
        </w:rPr>
        <w:t/>
      </w:r>
      <w:proofErr w:type="gramStart"/>
      <w:r w:rsidR="00D13A01" w:rsidRPr="00B34368">
        <w:rPr>
          <w:rFonts w:eastAsiaTheme="minorEastAsia"/>
          <w:b/>
          <w:bCs/>
          <w:color w:themeColor="text1" w:val="000000"/>
          <w:kern w:val="0"/>
          <w:sz w:val="24"/>
        </w:rPr>
        <w:t/>
      </w:r>
      <w:proofErr w:type="gramEnd"/>
      <w:r w:rsidRPr="00B34368">
        <w:rPr>
          <w:rFonts w:eastAsiaTheme="minorEastAsia"/>
          <w:b/>
          <w:bCs/>
          <w:color w:themeColor="text1" w:val="000000"/>
          <w:kern w:val="0"/>
          <w:sz w:val="24"/>
        </w:rPr>
        <w:t>8.</w:t>
      </w:r>
      <w:r w:rsidR="00D13A01" w:rsidRPr="00B34368">
        <w:rPr>
          <w:rFonts w:eastAsiaTheme="minorEastAsia"/>
          <w:b/>
          <w:bCs/>
          <w:color w:themeColor="text1" w:val="000000"/>
          <w:kern w:val="0"/>
          <w:sz w:val="24"/>
        </w:rPr>
        <w:t>1</w:t>
      </w:r>
      <w:r w:rsidR="00FB3C94" w:rsidRPr="00B34368">
        <w:rPr>
          <w:rFonts w:eastAsiaTheme="minorEastAsia" w:hAnsiTheme="minorEastAsia"/>
          <w:b/>
          <w:bCs/>
          <w:color w:themeColor="text1" w:val="000000"/>
          <w:kern w:val="0"/>
          <w:sz w:val="24"/>
        </w:rPr>
        <w:t>备查文件目录</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1.中国证监会注册易方达黄金交易型开放式证券投资基金及其联接基金募集的文件；</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2.《易方达黄金交易型开放式证券投资基金联接基金基金合同》；</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3.《易方达黄金交易型开放式证券投资基金联接基金托管协议》；</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4.《易方达基金管理有限公司开放式基金业务规则》；</w:t>
      </w:r>
    </w:p>
    <w:p w:rsidP="00B34368" w:rsidR="00F11783" w:rsidRDefault="00FB3C94"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5.基金管理人业务资格批件、营业执照。</w:t>
      </w:r>
    </w:p>
    <w:p w:rsidP="00C544B8" w:rsidR="00FB3C94" w:rsidRDefault="00D13A01" w:rsidRPr="00B34368">
      <w:pPr>
        <w:autoSpaceDE w:val="0"/>
        <w:autoSpaceDN w:val="0"/>
        <w:adjustRightInd w:val="0"/>
        <w:spacing w:before="312" w:beforeLines="100" w:line="360" w:lineRule="auto"/>
        <w:jc w:val="left"/>
        <w:rPr>
          <w:rFonts w:eastAsiaTheme="minorEastAsia"/>
          <w:b/>
          <w:bCs/>
          <w:color w:themeColor="text1" w:val="000000"/>
          <w:kern w:val="0"/>
          <w:sz w:val="24"/>
        </w:rPr>
      </w:pPr>
      <w:r w:rsidRPr="00B34368">
        <w:rPr>
          <w:rFonts w:eastAsiaTheme="minorEastAsia"/>
          <w:b/>
          <w:bCs/>
          <w:color w:themeColor="text1" w:val="000000"/>
          <w:kern w:val="0"/>
          <w:sz w:val="24"/>
        </w:rPr>
        <w:t/>
      </w:r>
      <w:proofErr w:type="gramStart"/>
      <w:r w:rsidRPr="00B34368">
        <w:rPr>
          <w:rFonts w:eastAsiaTheme="minorEastAsia"/>
          <w:b/>
          <w:bCs/>
          <w:color w:themeColor="text1" w:val="000000"/>
          <w:kern w:val="0"/>
          <w:sz w:val="24"/>
        </w:rPr>
        <w:t/>
      </w:r>
      <w:proofErr w:type="gramEnd"/>
      <w:r w:rsidRPr="00B34368">
        <w:rPr>
          <w:rFonts w:eastAsiaTheme="minorEastAsia"/>
          <w:b/>
          <w:bCs/>
          <w:color w:themeColor="text1" w:val="000000"/>
          <w:kern w:val="0"/>
          <w:sz w:val="24"/>
        </w:rPr>
        <w:t>8.2</w:t>
      </w:r>
      <w:r w:rsidR="00FB3C94" w:rsidRPr="00B34368">
        <w:rPr>
          <w:rFonts w:eastAsiaTheme="minorEastAsia" w:hAnsiTheme="minorEastAsia"/>
          <w:b/>
          <w:bCs/>
          <w:color w:themeColor="text1" w:val="000000"/>
          <w:kern w:val="0"/>
          <w:sz w:val="24"/>
        </w:rPr>
        <w:t>存放地点</w:t>
      </w:r>
    </w:p>
    <w:p w:rsidP="00B34368" w:rsidR="00F11783" w:rsidRDefault="00FB3C94"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广州市天河区珠江新城珠江东路30号广州银行大厦40-43楼。</w:t>
      </w:r>
    </w:p>
    <w:p w:rsidP="00C544B8" w:rsidR="00FB3C94" w:rsidRDefault="00D13A01" w:rsidRPr="00B34368">
      <w:pPr>
        <w:autoSpaceDE w:val="0"/>
        <w:autoSpaceDN w:val="0"/>
        <w:adjustRightInd w:val="0"/>
        <w:spacing w:before="312" w:beforeLines="100" w:line="360" w:lineRule="auto"/>
        <w:jc w:val="left"/>
        <w:rPr>
          <w:rFonts w:eastAsiaTheme="minorEastAsia"/>
          <w:b/>
          <w:bCs/>
          <w:color w:themeColor="text1" w:val="000000"/>
          <w:kern w:val="0"/>
          <w:sz w:val="24"/>
        </w:rPr>
      </w:pPr>
      <w:r w:rsidRPr="00B34368">
        <w:rPr>
          <w:rFonts w:eastAsiaTheme="minorEastAsia"/>
          <w:b/>
          <w:bCs/>
          <w:color w:themeColor="text1" w:val="000000"/>
          <w:kern w:val="0"/>
          <w:sz w:val="24"/>
        </w:rPr>
        <w:t/>
      </w:r>
      <w:proofErr w:type="gramStart"/>
      <w:r w:rsidRPr="00B34368">
        <w:rPr>
          <w:rFonts w:eastAsiaTheme="minorEastAsia"/>
          <w:b/>
          <w:bCs/>
          <w:color w:themeColor="text1" w:val="000000"/>
          <w:kern w:val="0"/>
          <w:sz w:val="24"/>
        </w:rPr>
        <w:t/>
      </w:r>
      <w:proofErr w:type="gramEnd"/>
      <w:r w:rsidRPr="00B34368">
        <w:rPr>
          <w:rFonts w:eastAsiaTheme="minorEastAsia"/>
          <w:b/>
          <w:bCs/>
          <w:color w:themeColor="text1" w:val="000000"/>
          <w:kern w:val="0"/>
          <w:sz w:val="24"/>
        </w:rPr>
        <w:t>8.3</w:t>
      </w:r>
      <w:r w:rsidR="00FB3C94" w:rsidRPr="00B34368">
        <w:rPr>
          <w:rFonts w:eastAsiaTheme="minorEastAsia" w:hAnsiTheme="minorEastAsia"/>
          <w:b/>
          <w:bCs/>
          <w:color w:themeColor="text1" w:val="000000"/>
          <w:kern w:val="0"/>
          <w:sz w:val="24"/>
        </w:rPr>
        <w:t>查阅方式</w:t>
      </w:r>
    </w:p>
    <w:p w:rsidP="00B34368" w:rsidR="00FB3C94" w:rsidRDefault="00FB3C94"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投资者可在营业时间免费查阅，也可按工本费购买复印件。</w:t>
      </w:r>
    </w:p>
    <w:p w:rsidP="00FB3C94" w:rsidR="00FB3C94" w:rsidRDefault="00FB3C94" w:rsidRPr="00B34368">
      <w:pPr>
        <w:spacing w:line="360" w:lineRule="auto"/>
        <w:ind w:left="840"/>
        <w:jc w:val="right"/>
        <w:rPr>
          <w:rFonts w:eastAsiaTheme="minorEastAsia"/>
          <w:color w:themeColor="text1" w:val="000000"/>
          <w:sz w:val="24"/>
        </w:rPr>
      </w:pPr>
    </w:p>
    <w:p w:rsidP="00053FFD" w:rsidR="00AF3AF9" w:rsidRDefault="00AF3AF9" w:rsidRPr="00B34368">
      <w:pPr>
        <w:spacing w:line="360" w:lineRule="auto"/>
        <w:ind w:left="840"/>
        <w:jc w:val="center"/>
        <w:rPr>
          <w:rFonts w:eastAsiaTheme="minorEastAsia"/>
          <w:b/>
          <w:color w:themeColor="text1" w:val="000000"/>
          <w:sz w:val="24"/>
        </w:rPr>
      </w:pPr>
    </w:p>
    <w:p w:rsidP="00B1493B" w:rsidR="00FB3C94" w:rsidRDefault="00FB3C94" w:rsidRPr="00B34368">
      <w:pPr>
        <w:spacing w:line="360" w:lineRule="auto"/>
        <w:jc w:val="right"/>
        <w:rPr>
          <w:rFonts w:eastAsiaTheme="minorEastAsia"/>
          <w:b/>
          <w:bCs/>
          <w:color w:themeColor="text1" w:val="000000"/>
          <w:sz w:val="24"/>
        </w:rPr>
      </w:pPr>
      <w:r w:rsidRPr="00B34368">
        <w:rPr>
          <w:rFonts w:eastAsiaTheme="minorEastAsia"/>
          <w:b/>
          <w:bCs/>
          <w:color w:themeColor="text1" w:val="000000"/>
          <w:sz w:val="24"/>
        </w:rPr>
        <w:t/>
      </w:r>
      <w:proofErr w:type="spellStart"/>
      <w:proofErr w:type="gramStart"/>
      <w:r w:rsidRPr="00B34368">
        <w:rPr>
          <w:rFonts w:eastAsiaTheme="minorEastAsia"/>
          <w:b/>
          <w:bCs/>
          <w:color w:themeColor="text1" w:val="000000"/>
          <w:sz w:val="24"/>
        </w:rPr>
        <w:t/>
      </w:r>
      <w:proofErr w:type="spellEnd"/>
      <w:proofErr w:type="gramEnd"/>
      <w:r w:rsidRPr="00B34368">
        <w:rPr>
          <w:rFonts w:eastAsiaTheme="minorEastAsia"/>
          <w:b/>
          <w:bCs/>
          <w:color w:themeColor="text1" w:val="000000"/>
          <w:sz w:val="24"/>
        </w:rPr>
        <w:t>易方达基金管理有限公司</w:t>
      </w:r>
    </w:p>
    <w:p w:rsidP="00B1493B" w:rsidR="009238DB" w:rsidRDefault="00D04410" w:rsidRPr="00B34368">
      <w:pPr>
        <w:spacing w:line="360" w:lineRule="auto"/>
        <w:jc w:val="right"/>
        <w:rPr>
          <w:rFonts w:eastAsiaTheme="minorEastAsia"/>
          <w:b/>
          <w:bCs/>
          <w:color w:themeColor="text1" w:val="000000"/>
          <w:sz w:val="24"/>
        </w:rPr>
      </w:pPr>
      <w:r w:rsidRPr="00B34368">
        <w:rPr>
          <w:rFonts w:eastAsiaTheme="minorEastAsia"/>
          <w:b/>
          <w:bCs/>
          <w:color w:themeColor="text1" w:val="000000"/>
          <w:sz w:val="24"/>
        </w:rPr>
        <w:t/>
      </w:r>
      <w:proofErr w:type="spellStart"/>
      <w:proofErr w:type="gramStart"/>
      <w:r w:rsidRPr="00B34368">
        <w:rPr>
          <w:rFonts w:eastAsiaTheme="minorEastAsia"/>
          <w:b/>
          <w:bCs/>
          <w:color w:themeColor="text1" w:val="000000"/>
          <w:sz w:val="24"/>
        </w:rPr>
        <w:t/>
      </w:r>
      <w:proofErr w:type="spellEnd"/>
      <w:proofErr w:type="gramEnd"/>
      <w:r w:rsidRPr="00B34368">
        <w:rPr>
          <w:rFonts w:eastAsiaTheme="minorEastAsia"/>
          <w:b/>
          <w:bCs/>
          <w:color w:themeColor="text1" w:val="000000"/>
          <w:sz w:val="24"/>
        </w:rPr>
        <w:t>二〇二〇年七月二十一日</w:t>
      </w:r>
    </w:p>
    <w:sectPr w:rsidR="009238DB" w:rsidRPr="00B34368" w:rsidSect="00A8324F">
      <w:footerReference r:id="rId13" w:type="even"/>
      <w:footerReference r:id="rId14" w:type="default"/>
      <w:pgSz w:h="16838" w:w="11906"/>
      <w:pgMar w:bottom="1440" w:footer="992" w:gutter="0" w:header="851" w:left="1800" w:right="1286"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493E" w:rsidRDefault="0055493E">
      <w:r>
        <w:separator/>
      </w:r>
    </w:p>
  </w:endnote>
  <w:endnote w:type="continuationSeparator" w:id="0">
    <w:p w:rsidR="0055493E" w:rsidRDefault="00554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7094A" w:rsidR="007C1122" w:rsidRDefault="007C1122" w:rsidRPr="001D0DB0">
    <w:pPr>
      <w:pStyle w:val="a6"/>
      <w:jc w:val="center"/>
    </w:pPr>
    <w:r>
      <w:rPr>
        <w:rFonts w:hint="eastAsia"/>
        <w:kern w:val="0"/>
        <w:szCs w:val="21"/>
      </w:rPr>
      <w:t>第</w:t>
    </w:r>
    <w:r w:rsidR="00EA55D2">
      <w:rPr>
        <w:kern w:val="0"/>
        <w:szCs w:val="21"/>
      </w:rPr>
      <w:fldChar w:fldCharType="begin"/>
    </w:r>
    <w:r>
      <w:rPr>
        <w:kern w:val="0"/>
        <w:szCs w:val="21"/>
      </w:rPr>
      <w:instrText xml:space="preserve"> PAGE </w:instrText>
    </w:r>
    <w:r w:rsidR="00EA55D2">
      <w:rPr>
        <w:kern w:val="0"/>
        <w:szCs w:val="21"/>
      </w:rPr>
      <w:fldChar w:fldCharType="separate"/>
    </w:r>
    <w:r w:rsidR="00153CF9">
      <w:rPr>
        <w:noProof/>
        <w:kern w:val="0"/>
        <w:szCs w:val="21"/>
      </w:rPr>
      <w:t>1</w:t>
    </w:r>
    <w:r w:rsidR="00EA55D2">
      <w:rPr>
        <w:kern w:val="0"/>
        <w:szCs w:val="21"/>
      </w:rPr>
      <w:fldChar w:fldCharType="end"/>
    </w:r>
    <w:proofErr w:type="gramStart"/>
    <w:r>
      <w:rPr>
        <w:rFonts w:hint="eastAsia"/>
        <w:kern w:val="0"/>
        <w:szCs w:val="21"/>
      </w:rPr>
      <w:t>页共</w:t>
    </w:r>
    <w:proofErr w:type="gramEnd"/>
    <w:r w:rsidR="00EA55D2">
      <w:rPr>
        <w:kern w:val="0"/>
        <w:szCs w:val="21"/>
      </w:rPr>
      <w:fldChar w:fldCharType="begin"/>
    </w:r>
    <w:r>
      <w:rPr>
        <w:kern w:val="0"/>
        <w:szCs w:val="21"/>
      </w:rPr>
      <w:instrText xml:space="preserve"> NUMPAGES </w:instrText>
    </w:r>
    <w:r w:rsidR="00EA55D2">
      <w:rPr>
        <w:kern w:val="0"/>
        <w:szCs w:val="21"/>
      </w:rPr>
      <w:fldChar w:fldCharType="separate"/>
    </w:r>
    <w:r w:rsidR="00153CF9">
      <w:rPr>
        <w:noProof/>
        <w:kern w:val="0"/>
        <w:szCs w:val="21"/>
      </w:rPr>
      <w:t>30</w:t>
    </w:r>
    <w:r w:rsidR="00EA55D2">
      <w:rPr>
        <w:kern w:val="0"/>
        <w:szCs w:val="21"/>
      </w:rPr>
      <w:fldChar w:fldCharType="end"/>
    </w:r>
    <w:r>
      <w:rPr>
        <w:rFonts w:hint="eastAsia"/>
        <w:kern w:val="0"/>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7C1122" w:rsidRDefault="00EA55D2">
    <w:pPr>
      <w:pStyle w:val="a6"/>
      <w:framePr w:hAnchor="margin" w:vAnchor="text" w:wrap="around" w:xAlign="center" w:y="1"/>
      <w:rPr>
        <w:rStyle w:val="a7"/>
      </w:rPr>
    </w:pPr>
    <w:r>
      <w:rPr>
        <w:rStyle w:val="a7"/>
      </w:rPr>
      <w:fldChar w:fldCharType="begin"/>
    </w:r>
    <w:r w:rsidR="007C1122">
      <w:rPr>
        <w:rStyle w:val="a7"/>
      </w:rPr>
      <w:instrText xml:space="preserve">PAGE  </w:instrText>
    </w:r>
    <w:r>
      <w:rPr>
        <w:rStyle w:val="a7"/>
      </w:rPr>
      <w:fldChar w:fldCharType="end"/>
    </w:r>
  </w:p>
  <w:p w:rsidR="007C1122" w:rsidRDefault="007C1122">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7C1122" w:rsidRDefault="00EA55D2">
    <w:pPr>
      <w:pStyle w:val="a6"/>
      <w:framePr w:hAnchor="margin" w:vAnchor="text" w:wrap="around" w:xAlign="center" w:y="1"/>
      <w:rPr>
        <w:rStyle w:val="a7"/>
      </w:rPr>
    </w:pPr>
    <w:r>
      <w:rPr>
        <w:rStyle w:val="a7"/>
      </w:rPr>
      <w:fldChar w:fldCharType="begin"/>
    </w:r>
    <w:r w:rsidR="007C1122">
      <w:rPr>
        <w:rStyle w:val="a7"/>
      </w:rPr>
      <w:instrText xml:space="preserve">PAGE  </w:instrText>
    </w:r>
    <w:r>
      <w:rPr>
        <w:rStyle w:val="a7"/>
      </w:rPr>
      <w:fldChar w:fldCharType="separate"/>
    </w:r>
    <w:r w:rsidR="00153CF9">
      <w:rPr>
        <w:rStyle w:val="a7"/>
        <w:noProof/>
      </w:rPr>
      <w:t>22</w:t>
    </w:r>
    <w:r>
      <w:rPr>
        <w:rStyle w:val="a7"/>
      </w:rPr>
      <w:fldChar w:fldCharType="end"/>
    </w:r>
  </w:p>
  <w:p w:rsidR="007C1122" w:rsidRDefault="007C1122">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55493E" w:rsidRDefault="0055493E">
      <w:r>
        <w:separator/>
      </w:r>
    </w:p>
  </w:footnote>
  <w:footnote w:id="0" w:type="continuationSeparator">
    <w:p w:rsidR="0055493E" w:rsidRDefault="0055493E">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207F2" w:rsidR="007C1122" w:rsidRDefault="007C1122">
    <w:pPr>
      <w:pStyle w:val="a9"/>
      <w:pBdr>
        <w:bottom w:color="auto" w:space="0" w:sz="6" w:val="single"/>
      </w:pBdr>
      <w:jc w:val="right"/>
    </w:pPr>
    <w:r>
      <w:rPr>
        <w:sz w:val="21"/>
        <w:szCs w:val="21"/>
      </w:rPr>
      <w:t/>
    </w:r>
    <w:proofErr w:type="spellStart"/>
    <w:proofErr w:type="gramStart"/>
    <w:r>
      <w:rPr>
        <w:sz w:val="21"/>
        <w:szCs w:val="21"/>
      </w:rPr>
      <w:t/>
    </w:r>
    <w:proofErr w:type="spellEnd"/>
    <w:proofErr w:type="gramEnd"/>
    <w:r>
      <w:rPr>
        <w:sz w:val="21"/>
        <w:szCs w:val="21"/>
      </w:rPr>
      <w:t>易方达黄金交易型开放式证券投资基金联接基金</w:t>
    </w:r>
    <w:proofErr w:type="spellStart"/>
    <w:r>
      <w:rPr>
        <w:sz w:val="21"/>
        <w:szCs w:val="21"/>
      </w:rPr>
      <w:t/>
    </w:r>
    <w:proofErr w:type="spellEnd"/>
    <w:r>
      <w:rPr>
        <w:sz w:val="21"/>
        <w:szCs w:val="21"/>
      </w:rPr>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cs="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2A93165E"/>
    <w:multiLevelType w:val="hybridMultilevel"/>
    <w:tmpl w:val="8F54F77E"/>
    <w:lvl w:ilvl="0" w:tplc="8996D53A">
      <w:start w:val="1"/>
      <w:numFmt w:val="japaneseCounting"/>
      <w:lvlText w:val="（%1）"/>
      <w:lvlJc w:val="left"/>
      <w:pPr>
        <w:tabs>
          <w:tab w:pos="1200" w:val="num"/>
        </w:tabs>
        <w:ind w:hanging="720" w:left="1200"/>
      </w:pPr>
      <w:rPr>
        <w:rFonts w:hAnsi="宋体" w:hint="default"/>
      </w:rPr>
    </w:lvl>
    <w:lvl w:ilvl="1" w:tentative="1" w:tplc="04090019">
      <w:start w:val="1"/>
      <w:numFmt w:val="lowerLetter"/>
      <w:lvlText w:val="%2)"/>
      <w:lvlJc w:val="left"/>
      <w:pPr>
        <w:tabs>
          <w:tab w:pos="1320" w:val="num"/>
        </w:tabs>
        <w:ind w:hanging="420" w:left="1320"/>
      </w:pPr>
    </w:lvl>
    <w:lvl w:ilvl="2" w:tentative="1" w:tplc="0409001B">
      <w:start w:val="1"/>
      <w:numFmt w:val="lowerRoman"/>
      <w:lvlText w:val="%3."/>
      <w:lvlJc w:val="right"/>
      <w:pPr>
        <w:tabs>
          <w:tab w:pos="1740" w:val="num"/>
        </w:tabs>
        <w:ind w:hanging="420" w:left="1740"/>
      </w:pPr>
    </w:lvl>
    <w:lvl w:ilvl="3" w:tentative="1" w:tplc="0409000F">
      <w:start w:val="1"/>
      <w:numFmt w:val="decimal"/>
      <w:lvlText w:val="%4."/>
      <w:lvlJc w:val="left"/>
      <w:pPr>
        <w:tabs>
          <w:tab w:pos="2160" w:val="num"/>
        </w:tabs>
        <w:ind w:hanging="420" w:left="2160"/>
      </w:pPr>
    </w:lvl>
    <w:lvl w:ilvl="4" w:tentative="1" w:tplc="04090019">
      <w:start w:val="1"/>
      <w:numFmt w:val="lowerLetter"/>
      <w:lvlText w:val="%5)"/>
      <w:lvlJc w:val="left"/>
      <w:pPr>
        <w:tabs>
          <w:tab w:pos="2580" w:val="num"/>
        </w:tabs>
        <w:ind w:hanging="420" w:left="2580"/>
      </w:pPr>
    </w:lvl>
    <w:lvl w:ilvl="5" w:tentative="1" w:tplc="0409001B">
      <w:start w:val="1"/>
      <w:numFmt w:val="lowerRoman"/>
      <w:lvlText w:val="%6."/>
      <w:lvlJc w:val="right"/>
      <w:pPr>
        <w:tabs>
          <w:tab w:pos="3000" w:val="num"/>
        </w:tabs>
        <w:ind w:hanging="420" w:left="3000"/>
      </w:pPr>
    </w:lvl>
    <w:lvl w:ilvl="6" w:tentative="1" w:tplc="0409000F">
      <w:start w:val="1"/>
      <w:numFmt w:val="decimal"/>
      <w:lvlText w:val="%7."/>
      <w:lvlJc w:val="left"/>
      <w:pPr>
        <w:tabs>
          <w:tab w:pos="3420" w:val="num"/>
        </w:tabs>
        <w:ind w:hanging="420" w:left="3420"/>
      </w:pPr>
    </w:lvl>
    <w:lvl w:ilvl="7" w:tentative="1" w:tplc="04090019">
      <w:start w:val="1"/>
      <w:numFmt w:val="lowerLetter"/>
      <w:lvlText w:val="%8)"/>
      <w:lvlJc w:val="left"/>
      <w:pPr>
        <w:tabs>
          <w:tab w:pos="3840" w:val="num"/>
        </w:tabs>
        <w:ind w:hanging="420" w:left="3840"/>
      </w:pPr>
    </w:lvl>
    <w:lvl w:ilvl="8" w:tentative="1" w:tplc="0409001B">
      <w:start w:val="1"/>
      <w:numFmt w:val="lowerRoman"/>
      <w:lvlText w:val="%9."/>
      <w:lvlJc w:val="right"/>
      <w:pPr>
        <w:tabs>
          <w:tab w:pos="4260" w:val="num"/>
        </w:tabs>
        <w:ind w:hanging="420" w:left="4260"/>
      </w:pPr>
    </w:lvl>
  </w:abstractNum>
  <w:abstractNum w:abstractNumId="2">
    <w:nsid w:val="32C43FA3"/>
    <w:multiLevelType w:val="hybridMultilevel"/>
    <w:tmpl w:val="2658615A"/>
    <w:lvl w:ilvl="0" w:tplc="04090001">
      <w:start w:val="1"/>
      <w:numFmt w:val="bullet"/>
      <w:lvlText w:val=""/>
      <w:lvlJc w:val="left"/>
      <w:pPr>
        <w:tabs>
          <w:tab w:pos="420" w:val="num"/>
        </w:tabs>
        <w:ind w:hanging="420" w:left="420"/>
      </w:pPr>
      <w:rPr>
        <w:rFonts w:ascii="Wingdings" w:hAnsi="Wingdings" w:hint="default"/>
      </w:rPr>
    </w:lvl>
    <w:lvl w:ilvl="1" w:tentative="1" w:tplc="04090003">
      <w:start w:val="1"/>
      <w:numFmt w:val="bullet"/>
      <w:lvlText w:val=""/>
      <w:lvlJc w:val="left"/>
      <w:pPr>
        <w:tabs>
          <w:tab w:pos="840" w:val="num"/>
        </w:tabs>
        <w:ind w:hanging="420" w:left="840"/>
      </w:pPr>
      <w:rPr>
        <w:rFonts w:ascii="Wingdings" w:hAnsi="Wingdings" w:hint="default"/>
      </w:rPr>
    </w:lvl>
    <w:lvl w:ilvl="2" w:tentative="1" w:tplc="04090005">
      <w:start w:val="1"/>
      <w:numFmt w:val="bullet"/>
      <w:lvlText w:val=""/>
      <w:lvlJc w:val="left"/>
      <w:pPr>
        <w:tabs>
          <w:tab w:pos="1260" w:val="num"/>
        </w:tabs>
        <w:ind w:hanging="420" w:left="1260"/>
      </w:pPr>
      <w:rPr>
        <w:rFonts w:ascii="Wingdings" w:hAnsi="Wingdings" w:hint="default"/>
      </w:rPr>
    </w:lvl>
    <w:lvl w:ilvl="3" w:tentative="1" w:tplc="04090001">
      <w:start w:val="1"/>
      <w:numFmt w:val="bullet"/>
      <w:lvlText w:val=""/>
      <w:lvlJc w:val="left"/>
      <w:pPr>
        <w:tabs>
          <w:tab w:pos="1680" w:val="num"/>
        </w:tabs>
        <w:ind w:hanging="420" w:left="1680"/>
      </w:pPr>
      <w:rPr>
        <w:rFonts w:ascii="Wingdings" w:hAnsi="Wingdings" w:hint="default"/>
      </w:rPr>
    </w:lvl>
    <w:lvl w:ilvl="4" w:tentative="1" w:tplc="04090003">
      <w:start w:val="1"/>
      <w:numFmt w:val="bullet"/>
      <w:lvlText w:val=""/>
      <w:lvlJc w:val="left"/>
      <w:pPr>
        <w:tabs>
          <w:tab w:pos="2100" w:val="num"/>
        </w:tabs>
        <w:ind w:hanging="420" w:left="2100"/>
      </w:pPr>
      <w:rPr>
        <w:rFonts w:ascii="Wingdings" w:hAnsi="Wingdings" w:hint="default"/>
      </w:rPr>
    </w:lvl>
    <w:lvl w:ilvl="5" w:tentative="1" w:tplc="04090005">
      <w:start w:val="1"/>
      <w:numFmt w:val="bullet"/>
      <w:lvlText w:val=""/>
      <w:lvlJc w:val="left"/>
      <w:pPr>
        <w:tabs>
          <w:tab w:pos="2520" w:val="num"/>
        </w:tabs>
        <w:ind w:hanging="420" w:left="2520"/>
      </w:pPr>
      <w:rPr>
        <w:rFonts w:ascii="Wingdings" w:hAnsi="Wingdings" w:hint="default"/>
      </w:rPr>
    </w:lvl>
    <w:lvl w:ilvl="6" w:tentative="1" w:tplc="04090001">
      <w:start w:val="1"/>
      <w:numFmt w:val="bullet"/>
      <w:lvlText w:val=""/>
      <w:lvlJc w:val="left"/>
      <w:pPr>
        <w:tabs>
          <w:tab w:pos="2940" w:val="num"/>
        </w:tabs>
        <w:ind w:hanging="420" w:left="2940"/>
      </w:pPr>
      <w:rPr>
        <w:rFonts w:ascii="Wingdings" w:hAnsi="Wingdings" w:hint="default"/>
      </w:rPr>
    </w:lvl>
    <w:lvl w:ilvl="7" w:tentative="1" w:tplc="04090003">
      <w:start w:val="1"/>
      <w:numFmt w:val="bullet"/>
      <w:lvlText w:val=""/>
      <w:lvlJc w:val="left"/>
      <w:pPr>
        <w:tabs>
          <w:tab w:pos="3360" w:val="num"/>
        </w:tabs>
        <w:ind w:hanging="420" w:left="3360"/>
      </w:pPr>
      <w:rPr>
        <w:rFonts w:ascii="Wingdings" w:hAnsi="Wingdings" w:hint="default"/>
      </w:rPr>
    </w:lvl>
    <w:lvl w:ilvl="8" w:tentative="1" w:tplc="04090005">
      <w:start w:val="1"/>
      <w:numFmt w:val="bullet"/>
      <w:lvlText w:val=""/>
      <w:lvlJc w:val="left"/>
      <w:pPr>
        <w:tabs>
          <w:tab w:pos="3780" w:val="num"/>
        </w:tabs>
        <w:ind w:hanging="420" w:left="3780"/>
      </w:pPr>
      <w:rPr>
        <w:rFonts w:ascii="Wingdings" w:hAnsi="Wingdings" w:hint="default"/>
      </w:rPr>
    </w:lvl>
  </w:abstractNum>
  <w:abstractNum w:abstractNumId="3">
    <w:nsid w:val="45342383"/>
    <w:multiLevelType w:val="multilevel"/>
    <w:tmpl w:val="0409001D"/>
    <w:styleLink w:val="5"/>
    <w:lvl w:ilvl="0">
      <w:start w:val="1"/>
      <w:numFmt w:val="decimal"/>
      <w:lvlText w:val="%1"/>
      <w:lvlJc w:val="left"/>
      <w:pPr>
        <w:tabs>
          <w:tab w:pos="425" w:val="num"/>
        </w:tabs>
        <w:ind w:hanging="425" w:left="425"/>
      </w:pPr>
    </w:lvl>
    <w:lvl w:ilvl="1">
      <w:start w:val="1"/>
      <w:numFmt w:val="decimal"/>
      <w:lvlText w:val="%1.%2"/>
      <w:lvlJc w:val="left"/>
      <w:pPr>
        <w:tabs>
          <w:tab w:pos="992" w:val="num"/>
        </w:tabs>
        <w:ind w:hanging="567" w:left="992"/>
      </w:pPr>
    </w:lvl>
    <w:lvl w:ilvl="2">
      <w:start w:val="1"/>
      <w:numFmt w:val="decimal"/>
      <w:lvlText w:val="%1.%2.%3"/>
      <w:lvlJc w:val="left"/>
      <w:pPr>
        <w:tabs>
          <w:tab w:pos="1418" w:val="num"/>
        </w:tabs>
        <w:ind w:hanging="567" w:left="1418"/>
      </w:pPr>
    </w:lvl>
    <w:lvl w:ilvl="3">
      <w:start w:val="1"/>
      <w:numFmt w:val="decimal"/>
      <w:lvlText w:val="%1.%2.%3.%4"/>
      <w:lvlJc w:val="left"/>
      <w:pPr>
        <w:tabs>
          <w:tab w:pos="1984" w:val="num"/>
        </w:tabs>
        <w:ind w:hanging="708" w:left="1984"/>
      </w:pPr>
    </w:lvl>
    <w:lvl w:ilvl="4">
      <w:start w:val="1"/>
      <w:numFmt w:val="decimal"/>
      <w:lvlText w:val="%1.%2.%3.%4.%5"/>
      <w:lvlJc w:val="left"/>
      <w:pPr>
        <w:tabs>
          <w:tab w:pos="2551" w:val="num"/>
        </w:tabs>
        <w:ind w:hanging="850" w:left="2551"/>
      </w:pPr>
    </w:lvl>
    <w:lvl w:ilvl="5">
      <w:start w:val="1"/>
      <w:numFmt w:val="decimal"/>
      <w:lvlText w:val="%1.%2.%3.%4.%5.%6"/>
      <w:lvlJc w:val="left"/>
      <w:pPr>
        <w:tabs>
          <w:tab w:pos="3260" w:val="num"/>
        </w:tabs>
        <w:ind w:hanging="1134" w:left="3260"/>
      </w:pPr>
    </w:lvl>
    <w:lvl w:ilvl="6">
      <w:start w:val="1"/>
      <w:numFmt w:val="decimal"/>
      <w:lvlText w:val="%1.%2.%3.%4.%5.%6.%7"/>
      <w:lvlJc w:val="left"/>
      <w:pPr>
        <w:tabs>
          <w:tab w:pos="3827" w:val="num"/>
        </w:tabs>
        <w:ind w:hanging="1276" w:left="3827"/>
      </w:pPr>
    </w:lvl>
    <w:lvl w:ilvl="7">
      <w:start w:val="1"/>
      <w:numFmt w:val="decimal"/>
      <w:lvlText w:val="%1.%2.%3.%4.%5.%6.%7.%8"/>
      <w:lvlJc w:val="left"/>
      <w:pPr>
        <w:tabs>
          <w:tab w:pos="4394" w:val="num"/>
        </w:tabs>
        <w:ind w:hanging="1418" w:left="4394"/>
      </w:pPr>
    </w:lvl>
    <w:lvl w:ilvl="8">
      <w:start w:val="1"/>
      <w:numFmt w:val="decimal"/>
      <w:lvlText w:val="%1.%2.%3.%4.%5.%6.%7.%8.%9"/>
      <w:lvlJc w:val="left"/>
      <w:pPr>
        <w:tabs>
          <w:tab w:pos="5102" w:val="num"/>
        </w:tabs>
        <w:ind w:hanging="1700" w:left="5102"/>
      </w:pPr>
    </w:lvl>
  </w:abstractNum>
  <w:abstractNum w:abstractNumId="4">
    <w:nsid w:val="57E8240C"/>
    <w:multiLevelType w:val="hybridMultilevel"/>
    <w:tmpl w:val="300A7112"/>
    <w:lvl w:ilvl="0" w:tplc="3782FDB8">
      <w:start w:val="1"/>
      <w:numFmt w:val="decimal"/>
      <w:lvlText w:val="（%1）"/>
      <w:lvlJc w:val="left"/>
      <w:pPr>
        <w:tabs>
          <w:tab w:pos="1200" w:val="num"/>
        </w:tabs>
        <w:ind w:hanging="720" w:left="1200"/>
      </w:pPr>
      <w:rPr>
        <w:rFonts w:hint="eastAsia"/>
        <w:sz w:val="24"/>
      </w:rPr>
    </w:lvl>
    <w:lvl w:ilvl="1" w:tentative="1" w:tplc="04090019">
      <w:start w:val="1"/>
      <w:numFmt w:val="lowerLetter"/>
      <w:lvlText w:val="%2)"/>
      <w:lvlJc w:val="left"/>
      <w:pPr>
        <w:tabs>
          <w:tab w:pos="1320" w:val="num"/>
        </w:tabs>
        <w:ind w:hanging="420" w:left="1320"/>
      </w:pPr>
    </w:lvl>
    <w:lvl w:ilvl="2" w:tentative="1" w:tplc="0409001B">
      <w:start w:val="1"/>
      <w:numFmt w:val="lowerRoman"/>
      <w:lvlText w:val="%3."/>
      <w:lvlJc w:val="right"/>
      <w:pPr>
        <w:tabs>
          <w:tab w:pos="1740" w:val="num"/>
        </w:tabs>
        <w:ind w:hanging="420" w:left="1740"/>
      </w:pPr>
    </w:lvl>
    <w:lvl w:ilvl="3" w:tentative="1" w:tplc="0409000F">
      <w:start w:val="1"/>
      <w:numFmt w:val="decimal"/>
      <w:lvlText w:val="%4."/>
      <w:lvlJc w:val="left"/>
      <w:pPr>
        <w:tabs>
          <w:tab w:pos="2160" w:val="num"/>
        </w:tabs>
        <w:ind w:hanging="420" w:left="2160"/>
      </w:pPr>
    </w:lvl>
    <w:lvl w:ilvl="4" w:tentative="1" w:tplc="04090019">
      <w:start w:val="1"/>
      <w:numFmt w:val="lowerLetter"/>
      <w:lvlText w:val="%5)"/>
      <w:lvlJc w:val="left"/>
      <w:pPr>
        <w:tabs>
          <w:tab w:pos="2580" w:val="num"/>
        </w:tabs>
        <w:ind w:hanging="420" w:left="2580"/>
      </w:pPr>
    </w:lvl>
    <w:lvl w:ilvl="5" w:tentative="1" w:tplc="0409001B">
      <w:start w:val="1"/>
      <w:numFmt w:val="lowerRoman"/>
      <w:lvlText w:val="%6."/>
      <w:lvlJc w:val="right"/>
      <w:pPr>
        <w:tabs>
          <w:tab w:pos="3000" w:val="num"/>
        </w:tabs>
        <w:ind w:hanging="420" w:left="3000"/>
      </w:pPr>
    </w:lvl>
    <w:lvl w:ilvl="6" w:tentative="1" w:tplc="0409000F">
      <w:start w:val="1"/>
      <w:numFmt w:val="decimal"/>
      <w:lvlText w:val="%7."/>
      <w:lvlJc w:val="left"/>
      <w:pPr>
        <w:tabs>
          <w:tab w:pos="3420" w:val="num"/>
        </w:tabs>
        <w:ind w:hanging="420" w:left="3420"/>
      </w:pPr>
    </w:lvl>
    <w:lvl w:ilvl="7" w:tentative="1" w:tplc="04090019">
      <w:start w:val="1"/>
      <w:numFmt w:val="lowerLetter"/>
      <w:lvlText w:val="%8)"/>
      <w:lvlJc w:val="left"/>
      <w:pPr>
        <w:tabs>
          <w:tab w:pos="3840" w:val="num"/>
        </w:tabs>
        <w:ind w:hanging="420" w:left="3840"/>
      </w:pPr>
    </w:lvl>
    <w:lvl w:ilvl="8" w:tentative="1" w:tplc="0409001B">
      <w:start w:val="1"/>
      <w:numFmt w:val="lowerRoman"/>
      <w:lvlText w:val="%9."/>
      <w:lvlJc w:val="right"/>
      <w:pPr>
        <w:tabs>
          <w:tab w:pos="4260" w:val="num"/>
        </w:tabs>
        <w:ind w:hanging="420" w:left="4260"/>
      </w:pPr>
    </w:lvl>
  </w:abstractNum>
  <w:abstractNum w:abstractNumId="5">
    <w:nsid w:val="64C22724"/>
    <w:multiLevelType w:val="multilevel"/>
    <w:tmpl w:val="0409001D"/>
    <w:numStyleLink w:val="5"/>
  </w:abstractNum>
  <w:abstractNum w:abstractNumId="6">
    <w:nsid w:val="7EC34207"/>
    <w:multiLevelType w:val="hybridMultilevel"/>
    <w:tmpl w:val="58FC50DE"/>
    <w:lvl w:ilvl="0" w:tplc="788C0680">
      <w:start w:val="1"/>
      <w:numFmt w:val="japaneseCounting"/>
      <w:lvlText w:val="%1、"/>
      <w:lvlJc w:val="left"/>
      <w:pPr>
        <w:tabs>
          <w:tab w:pos="480" w:val="num"/>
        </w:tabs>
        <w:ind w:hanging="480" w:left="480"/>
      </w:pPr>
      <w:rPr>
        <w:rFonts w:eastAsia="宋体" w:hint="eastAsia"/>
        <w:color w:val="auto"/>
      </w:rPr>
    </w:lvl>
    <w:lvl w:ilvl="1" w:tplc="D5ACC954">
      <w:start w:val="1"/>
      <w:numFmt w:val="japaneseCounting"/>
      <w:lvlText w:val="(%2)"/>
      <w:lvlJc w:val="left"/>
      <w:pPr>
        <w:tabs>
          <w:tab w:pos="810" w:val="num"/>
        </w:tabs>
        <w:ind w:hanging="390" w:left="810"/>
      </w:pPr>
      <w:rPr>
        <w:rFonts w:hint="eastAsia"/>
      </w:rPr>
    </w:lvl>
    <w:lvl w:ilvl="2" w:tplc="E2F6B948">
      <w:start w:val="1"/>
      <w:numFmt w:val="decimal"/>
      <w:lvlText w:val="%3、"/>
      <w:lvlJc w:val="left"/>
      <w:pPr>
        <w:tabs>
          <w:tab w:pos="1200" w:val="num"/>
        </w:tabs>
        <w:ind w:hanging="360" w:left="1200"/>
      </w:pPr>
      <w:rPr>
        <w:rFonts w:hint="eastAsia"/>
      </w:rPr>
    </w:lvl>
    <w:lvl w:ilvl="3" w:tentative="1" w:tplc="0409000F">
      <w:start w:val="1"/>
      <w:numFmt w:val="decimal"/>
      <w:lvlText w:val="%4."/>
      <w:lvlJc w:val="left"/>
      <w:pPr>
        <w:tabs>
          <w:tab w:pos="1680" w:val="num"/>
        </w:tabs>
        <w:ind w:hanging="420" w:left="1680"/>
      </w:pPr>
    </w:lvl>
    <w:lvl w:ilvl="4" w:tentative="1" w:tplc="04090019">
      <w:start w:val="1"/>
      <w:numFmt w:val="lowerLetter"/>
      <w:lvlText w:val="%5)"/>
      <w:lvlJc w:val="left"/>
      <w:pPr>
        <w:tabs>
          <w:tab w:pos="2100" w:val="num"/>
        </w:tabs>
        <w:ind w:hanging="420" w:left="2100"/>
      </w:pPr>
    </w:lvl>
    <w:lvl w:ilvl="5" w:tentative="1" w:tplc="0409001B">
      <w:start w:val="1"/>
      <w:numFmt w:val="lowerRoman"/>
      <w:lvlText w:val="%6."/>
      <w:lvlJc w:val="right"/>
      <w:pPr>
        <w:tabs>
          <w:tab w:pos="2520" w:val="num"/>
        </w:tabs>
        <w:ind w:hanging="420" w:left="2520"/>
      </w:pPr>
    </w:lvl>
    <w:lvl w:ilvl="6" w:tentative="1" w:tplc="0409000F">
      <w:start w:val="1"/>
      <w:numFmt w:val="decimal"/>
      <w:lvlText w:val="%7."/>
      <w:lvlJc w:val="left"/>
      <w:pPr>
        <w:tabs>
          <w:tab w:pos="2940" w:val="num"/>
        </w:tabs>
        <w:ind w:hanging="420" w:left="2940"/>
      </w:pPr>
    </w:lvl>
    <w:lvl w:ilvl="7" w:tentative="1" w:tplc="04090019">
      <w:start w:val="1"/>
      <w:numFmt w:val="lowerLetter"/>
      <w:lvlText w:val="%8)"/>
      <w:lvlJc w:val="left"/>
      <w:pPr>
        <w:tabs>
          <w:tab w:pos="3360" w:val="num"/>
        </w:tabs>
        <w:ind w:hanging="420" w:left="3360"/>
      </w:pPr>
    </w:lvl>
    <w:lvl w:ilvl="8" w:tentative="1" w:tplc="0409001B">
      <w:start w:val="1"/>
      <w:numFmt w:val="lowerRoman"/>
      <w:lvlText w:val="%9."/>
      <w:lvlJc w:val="right"/>
      <w:pPr>
        <w:tabs>
          <w:tab w:pos="3780" w:val="num"/>
        </w:tabs>
        <w:ind w:hanging="420" w:left="3780"/>
      </w:p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lvl>
    </w:lvlOverride>
    <w:lvlOverride w:ilvl="1">
      <w:lvl w:ilvl="1">
        <w:start w:val="1"/>
        <w:numFmt w:val="decimal"/>
        <w:lvlText w:val="%1.%2"/>
        <w:lvlJc w:val="left"/>
        <w:pPr>
          <w:tabs>
            <w:tab w:pos="992" w:val="num"/>
          </w:tabs>
          <w:ind w:hanging="567" w:left="992"/>
        </w:pPr>
      </w:lvl>
    </w:lvlOverride>
    <w:lvlOverride w:ilvl="2">
      <w:lvl w:ilvl="2">
        <w:start w:val="1"/>
        <w:numFmt w:val="decimal"/>
        <w:lvlText w:val="%1.%2.%3"/>
        <w:lvlJc w:val="left"/>
        <w:pPr>
          <w:tabs>
            <w:tab w:pos="1418" w:val="num"/>
          </w:tabs>
          <w:ind w:hanging="567" w:left="1418"/>
        </w:pPr>
      </w:lvl>
    </w:lvlOverride>
  </w:num>
  <w:num w:numId="8">
    <w:abstractNumId w:val="3"/>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efaultTabStop w:val="420"/>
  <w:drawingGridVerticalSpacing w:val="156"/>
  <w:displayHorizontalDrawingGridEvery w:val="0"/>
  <w:displayVerticalDrawingGridEvery w:val="2"/>
  <w:characterSpacingControl w:val="compressPunctuation"/>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02187"/>
    <w:rsid w:val="0000059C"/>
    <w:rsid w:val="000008B1"/>
    <w:rsid w:val="00002791"/>
    <w:rsid w:val="0000403B"/>
    <w:rsid w:val="00007441"/>
    <w:rsid w:val="00007F1F"/>
    <w:rsid w:val="00010A83"/>
    <w:rsid w:val="000137C1"/>
    <w:rsid w:val="000142F4"/>
    <w:rsid w:val="00014851"/>
    <w:rsid w:val="0001579C"/>
    <w:rsid w:val="00016551"/>
    <w:rsid w:val="00016934"/>
    <w:rsid w:val="00020737"/>
    <w:rsid w:val="00020C27"/>
    <w:rsid w:val="000219D5"/>
    <w:rsid w:val="00022396"/>
    <w:rsid w:val="00023073"/>
    <w:rsid w:val="00023B97"/>
    <w:rsid w:val="00024836"/>
    <w:rsid w:val="00024FB8"/>
    <w:rsid w:val="000252D8"/>
    <w:rsid w:val="0003564A"/>
    <w:rsid w:val="00035B0C"/>
    <w:rsid w:val="00042065"/>
    <w:rsid w:val="00043FD2"/>
    <w:rsid w:val="00045BA9"/>
    <w:rsid w:val="00047D87"/>
    <w:rsid w:val="000510AB"/>
    <w:rsid w:val="00053FFD"/>
    <w:rsid w:val="00056D5C"/>
    <w:rsid w:val="00057507"/>
    <w:rsid w:val="00061B0B"/>
    <w:rsid w:val="00061E09"/>
    <w:rsid w:val="00062C69"/>
    <w:rsid w:val="00062DC5"/>
    <w:rsid w:val="00062E1F"/>
    <w:rsid w:val="00064601"/>
    <w:rsid w:val="00064AE3"/>
    <w:rsid w:val="0006750A"/>
    <w:rsid w:val="00075E4E"/>
    <w:rsid w:val="000776C0"/>
    <w:rsid w:val="00077849"/>
    <w:rsid w:val="000803AD"/>
    <w:rsid w:val="000813D6"/>
    <w:rsid w:val="00081D05"/>
    <w:rsid w:val="000827CC"/>
    <w:rsid w:val="000871DB"/>
    <w:rsid w:val="000922C5"/>
    <w:rsid w:val="0009314F"/>
    <w:rsid w:val="00093A23"/>
    <w:rsid w:val="000A08FC"/>
    <w:rsid w:val="000A15F1"/>
    <w:rsid w:val="000A1617"/>
    <w:rsid w:val="000A40A5"/>
    <w:rsid w:val="000A457E"/>
    <w:rsid w:val="000A549A"/>
    <w:rsid w:val="000A5A81"/>
    <w:rsid w:val="000A72F2"/>
    <w:rsid w:val="000A7BFD"/>
    <w:rsid w:val="000B000E"/>
    <w:rsid w:val="000B1CB9"/>
    <w:rsid w:val="000B24AF"/>
    <w:rsid w:val="000B251E"/>
    <w:rsid w:val="000B3E43"/>
    <w:rsid w:val="000B4E99"/>
    <w:rsid w:val="000B648A"/>
    <w:rsid w:val="000C3452"/>
    <w:rsid w:val="000C45E7"/>
    <w:rsid w:val="000C5956"/>
    <w:rsid w:val="000C751D"/>
    <w:rsid w:val="000C757F"/>
    <w:rsid w:val="000C7DD4"/>
    <w:rsid w:val="000D1164"/>
    <w:rsid w:val="000D1BBE"/>
    <w:rsid w:val="000D3773"/>
    <w:rsid w:val="000D4DE9"/>
    <w:rsid w:val="000D53FB"/>
    <w:rsid w:val="000D6660"/>
    <w:rsid w:val="000D6BA0"/>
    <w:rsid w:val="000D7ECA"/>
    <w:rsid w:val="000E2F81"/>
    <w:rsid w:val="000E3726"/>
    <w:rsid w:val="000E39DB"/>
    <w:rsid w:val="000F0558"/>
    <w:rsid w:val="000F0AC3"/>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0862"/>
    <w:rsid w:val="00121533"/>
    <w:rsid w:val="00121F00"/>
    <w:rsid w:val="0012304E"/>
    <w:rsid w:val="00123051"/>
    <w:rsid w:val="001257C7"/>
    <w:rsid w:val="00125E66"/>
    <w:rsid w:val="00126AC0"/>
    <w:rsid w:val="00126C2B"/>
    <w:rsid w:val="00127A01"/>
    <w:rsid w:val="00130D77"/>
    <w:rsid w:val="00130E37"/>
    <w:rsid w:val="00131EF6"/>
    <w:rsid w:val="0013251D"/>
    <w:rsid w:val="00134734"/>
    <w:rsid w:val="00134CBE"/>
    <w:rsid w:val="00140C30"/>
    <w:rsid w:val="00142C74"/>
    <w:rsid w:val="00145E5B"/>
    <w:rsid w:val="00147319"/>
    <w:rsid w:val="00147551"/>
    <w:rsid w:val="0015012F"/>
    <w:rsid w:val="00150C2E"/>
    <w:rsid w:val="0015170D"/>
    <w:rsid w:val="001517AE"/>
    <w:rsid w:val="00153CF9"/>
    <w:rsid w:val="00154FA5"/>
    <w:rsid w:val="0015531A"/>
    <w:rsid w:val="00156F9D"/>
    <w:rsid w:val="001602E3"/>
    <w:rsid w:val="00160539"/>
    <w:rsid w:val="00161548"/>
    <w:rsid w:val="0017176A"/>
    <w:rsid w:val="00172B54"/>
    <w:rsid w:val="00176312"/>
    <w:rsid w:val="00176874"/>
    <w:rsid w:val="0017725A"/>
    <w:rsid w:val="0018052A"/>
    <w:rsid w:val="00180952"/>
    <w:rsid w:val="0018191A"/>
    <w:rsid w:val="001837D3"/>
    <w:rsid w:val="001857CB"/>
    <w:rsid w:val="00185B68"/>
    <w:rsid w:val="00186199"/>
    <w:rsid w:val="00194155"/>
    <w:rsid w:val="001A0417"/>
    <w:rsid w:val="001A0B71"/>
    <w:rsid w:val="001A1389"/>
    <w:rsid w:val="001A3016"/>
    <w:rsid w:val="001A3914"/>
    <w:rsid w:val="001A5FA6"/>
    <w:rsid w:val="001A78CC"/>
    <w:rsid w:val="001B053A"/>
    <w:rsid w:val="001B06D5"/>
    <w:rsid w:val="001B0C78"/>
    <w:rsid w:val="001B1A13"/>
    <w:rsid w:val="001B22BA"/>
    <w:rsid w:val="001B67D3"/>
    <w:rsid w:val="001C2045"/>
    <w:rsid w:val="001C5040"/>
    <w:rsid w:val="001C715A"/>
    <w:rsid w:val="001D0F6A"/>
    <w:rsid w:val="001D2FA5"/>
    <w:rsid w:val="001D3394"/>
    <w:rsid w:val="001D3D57"/>
    <w:rsid w:val="001D4980"/>
    <w:rsid w:val="001D5045"/>
    <w:rsid w:val="001D5A44"/>
    <w:rsid w:val="001D5CD0"/>
    <w:rsid w:val="001D724B"/>
    <w:rsid w:val="001E023C"/>
    <w:rsid w:val="001E0BA5"/>
    <w:rsid w:val="001F03E1"/>
    <w:rsid w:val="001F1F19"/>
    <w:rsid w:val="001F2BD1"/>
    <w:rsid w:val="001F3080"/>
    <w:rsid w:val="001F3CC6"/>
    <w:rsid w:val="001F5028"/>
    <w:rsid w:val="001F5F5F"/>
    <w:rsid w:val="001F66D3"/>
    <w:rsid w:val="00205064"/>
    <w:rsid w:val="0020548A"/>
    <w:rsid w:val="00206EC3"/>
    <w:rsid w:val="00211668"/>
    <w:rsid w:val="002118A6"/>
    <w:rsid w:val="002122FF"/>
    <w:rsid w:val="002125F7"/>
    <w:rsid w:val="0021288A"/>
    <w:rsid w:val="002150AC"/>
    <w:rsid w:val="002164B5"/>
    <w:rsid w:val="00221938"/>
    <w:rsid w:val="00222262"/>
    <w:rsid w:val="002230A8"/>
    <w:rsid w:val="00225E1C"/>
    <w:rsid w:val="00227D20"/>
    <w:rsid w:val="00231BCE"/>
    <w:rsid w:val="00233CFB"/>
    <w:rsid w:val="002359EB"/>
    <w:rsid w:val="0023649E"/>
    <w:rsid w:val="00241740"/>
    <w:rsid w:val="002424E4"/>
    <w:rsid w:val="00243122"/>
    <w:rsid w:val="002437F5"/>
    <w:rsid w:val="00244DB1"/>
    <w:rsid w:val="00245012"/>
    <w:rsid w:val="0024504E"/>
    <w:rsid w:val="00245B76"/>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6645"/>
    <w:rsid w:val="00267386"/>
    <w:rsid w:val="00267C2E"/>
    <w:rsid w:val="00267DA9"/>
    <w:rsid w:val="00275FD0"/>
    <w:rsid w:val="00280514"/>
    <w:rsid w:val="002819E7"/>
    <w:rsid w:val="00282FF2"/>
    <w:rsid w:val="00283483"/>
    <w:rsid w:val="002844B5"/>
    <w:rsid w:val="0028459B"/>
    <w:rsid w:val="002872F8"/>
    <w:rsid w:val="00296E4A"/>
    <w:rsid w:val="002976E5"/>
    <w:rsid w:val="002A1F14"/>
    <w:rsid w:val="002A2678"/>
    <w:rsid w:val="002A3369"/>
    <w:rsid w:val="002A4B8A"/>
    <w:rsid w:val="002A5161"/>
    <w:rsid w:val="002A5C0F"/>
    <w:rsid w:val="002A61BA"/>
    <w:rsid w:val="002A6385"/>
    <w:rsid w:val="002A7929"/>
    <w:rsid w:val="002B41D7"/>
    <w:rsid w:val="002B5240"/>
    <w:rsid w:val="002B6A13"/>
    <w:rsid w:val="002C0904"/>
    <w:rsid w:val="002C0F67"/>
    <w:rsid w:val="002C1E84"/>
    <w:rsid w:val="002C32ED"/>
    <w:rsid w:val="002C36C3"/>
    <w:rsid w:val="002C77CC"/>
    <w:rsid w:val="002D2A00"/>
    <w:rsid w:val="002D5199"/>
    <w:rsid w:val="002E2862"/>
    <w:rsid w:val="002E4C01"/>
    <w:rsid w:val="002F0516"/>
    <w:rsid w:val="002F22D2"/>
    <w:rsid w:val="002F778A"/>
    <w:rsid w:val="002F7889"/>
    <w:rsid w:val="00302187"/>
    <w:rsid w:val="003028D8"/>
    <w:rsid w:val="0030290F"/>
    <w:rsid w:val="00302DE9"/>
    <w:rsid w:val="0030385E"/>
    <w:rsid w:val="00303869"/>
    <w:rsid w:val="00303F1D"/>
    <w:rsid w:val="00305084"/>
    <w:rsid w:val="00311ABF"/>
    <w:rsid w:val="003123E9"/>
    <w:rsid w:val="00314A81"/>
    <w:rsid w:val="00314DD2"/>
    <w:rsid w:val="00315A7C"/>
    <w:rsid w:val="00317705"/>
    <w:rsid w:val="003204E9"/>
    <w:rsid w:val="003232AA"/>
    <w:rsid w:val="00323A10"/>
    <w:rsid w:val="00323E6A"/>
    <w:rsid w:val="00323F25"/>
    <w:rsid w:val="00324A71"/>
    <w:rsid w:val="003303E3"/>
    <w:rsid w:val="0033236C"/>
    <w:rsid w:val="00334656"/>
    <w:rsid w:val="00337A86"/>
    <w:rsid w:val="0034147B"/>
    <w:rsid w:val="00341889"/>
    <w:rsid w:val="003426CE"/>
    <w:rsid w:val="00343016"/>
    <w:rsid w:val="0034447B"/>
    <w:rsid w:val="00350C22"/>
    <w:rsid w:val="00351704"/>
    <w:rsid w:val="003570C8"/>
    <w:rsid w:val="00367770"/>
    <w:rsid w:val="00371424"/>
    <w:rsid w:val="00371FF4"/>
    <w:rsid w:val="00372209"/>
    <w:rsid w:val="00377160"/>
    <w:rsid w:val="003771ED"/>
    <w:rsid w:val="0037768B"/>
    <w:rsid w:val="00382E6F"/>
    <w:rsid w:val="00387C00"/>
    <w:rsid w:val="00397960"/>
    <w:rsid w:val="00397F75"/>
    <w:rsid w:val="003A2008"/>
    <w:rsid w:val="003A3BC4"/>
    <w:rsid w:val="003A4AA3"/>
    <w:rsid w:val="003B405E"/>
    <w:rsid w:val="003B4843"/>
    <w:rsid w:val="003B494E"/>
    <w:rsid w:val="003B560C"/>
    <w:rsid w:val="003C6E9E"/>
    <w:rsid w:val="003C792F"/>
    <w:rsid w:val="003D117A"/>
    <w:rsid w:val="003D36B2"/>
    <w:rsid w:val="003D42D5"/>
    <w:rsid w:val="003D78B5"/>
    <w:rsid w:val="003E0BD4"/>
    <w:rsid w:val="003E45B9"/>
    <w:rsid w:val="003E654C"/>
    <w:rsid w:val="003F0DE5"/>
    <w:rsid w:val="003F46FC"/>
    <w:rsid w:val="003F4AA5"/>
    <w:rsid w:val="003F697D"/>
    <w:rsid w:val="003F7C45"/>
    <w:rsid w:val="00400500"/>
    <w:rsid w:val="0040132C"/>
    <w:rsid w:val="0040218E"/>
    <w:rsid w:val="00404257"/>
    <w:rsid w:val="00407F66"/>
    <w:rsid w:val="004113B4"/>
    <w:rsid w:val="0041220A"/>
    <w:rsid w:val="00413B96"/>
    <w:rsid w:val="00413C2C"/>
    <w:rsid w:val="00415168"/>
    <w:rsid w:val="00415B04"/>
    <w:rsid w:val="00416A6B"/>
    <w:rsid w:val="0042044C"/>
    <w:rsid w:val="00421624"/>
    <w:rsid w:val="00424151"/>
    <w:rsid w:val="00425A5A"/>
    <w:rsid w:val="00425FB6"/>
    <w:rsid w:val="004268BB"/>
    <w:rsid w:val="0042785F"/>
    <w:rsid w:val="004314FF"/>
    <w:rsid w:val="004358D6"/>
    <w:rsid w:val="004408EC"/>
    <w:rsid w:val="00440F74"/>
    <w:rsid w:val="00441FEC"/>
    <w:rsid w:val="004425E8"/>
    <w:rsid w:val="0044280E"/>
    <w:rsid w:val="00443C8F"/>
    <w:rsid w:val="00447BC6"/>
    <w:rsid w:val="004501CE"/>
    <w:rsid w:val="00452481"/>
    <w:rsid w:val="00452B25"/>
    <w:rsid w:val="00453417"/>
    <w:rsid w:val="00454A0F"/>
    <w:rsid w:val="0046335D"/>
    <w:rsid w:val="00463C2C"/>
    <w:rsid w:val="00483271"/>
    <w:rsid w:val="0049210E"/>
    <w:rsid w:val="0049297D"/>
    <w:rsid w:val="0049327D"/>
    <w:rsid w:val="0049405D"/>
    <w:rsid w:val="0049455C"/>
    <w:rsid w:val="00495A03"/>
    <w:rsid w:val="004A1BE1"/>
    <w:rsid w:val="004A63CB"/>
    <w:rsid w:val="004A67B0"/>
    <w:rsid w:val="004A6FB2"/>
    <w:rsid w:val="004B0847"/>
    <w:rsid w:val="004B0E6D"/>
    <w:rsid w:val="004B16E8"/>
    <w:rsid w:val="004B54B8"/>
    <w:rsid w:val="004C0541"/>
    <w:rsid w:val="004C634A"/>
    <w:rsid w:val="004C660B"/>
    <w:rsid w:val="004D050C"/>
    <w:rsid w:val="004D23D9"/>
    <w:rsid w:val="004D3537"/>
    <w:rsid w:val="004D45B6"/>
    <w:rsid w:val="004D4D4E"/>
    <w:rsid w:val="004D614E"/>
    <w:rsid w:val="004D650F"/>
    <w:rsid w:val="004E2133"/>
    <w:rsid w:val="004E4E04"/>
    <w:rsid w:val="004E70B7"/>
    <w:rsid w:val="004F521C"/>
    <w:rsid w:val="005002A3"/>
    <w:rsid w:val="00502CD8"/>
    <w:rsid w:val="0050361C"/>
    <w:rsid w:val="0050527A"/>
    <w:rsid w:val="00506A40"/>
    <w:rsid w:val="0051064F"/>
    <w:rsid w:val="00513A0E"/>
    <w:rsid w:val="005142E5"/>
    <w:rsid w:val="00515D7B"/>
    <w:rsid w:val="00515F29"/>
    <w:rsid w:val="0052009E"/>
    <w:rsid w:val="00524880"/>
    <w:rsid w:val="00530161"/>
    <w:rsid w:val="005413D4"/>
    <w:rsid w:val="0054389B"/>
    <w:rsid w:val="005450F7"/>
    <w:rsid w:val="00545A0B"/>
    <w:rsid w:val="00545BED"/>
    <w:rsid w:val="0054672F"/>
    <w:rsid w:val="00547A9A"/>
    <w:rsid w:val="00547FA4"/>
    <w:rsid w:val="005536D4"/>
    <w:rsid w:val="00553EC8"/>
    <w:rsid w:val="0055493E"/>
    <w:rsid w:val="005564EE"/>
    <w:rsid w:val="00557D4A"/>
    <w:rsid w:val="0056176B"/>
    <w:rsid w:val="00561889"/>
    <w:rsid w:val="005621F6"/>
    <w:rsid w:val="0056291C"/>
    <w:rsid w:val="005668D3"/>
    <w:rsid w:val="00566EBD"/>
    <w:rsid w:val="0057154B"/>
    <w:rsid w:val="005742DB"/>
    <w:rsid w:val="00577209"/>
    <w:rsid w:val="005800A9"/>
    <w:rsid w:val="00581139"/>
    <w:rsid w:val="00581645"/>
    <w:rsid w:val="00583723"/>
    <w:rsid w:val="0058694E"/>
    <w:rsid w:val="005875F9"/>
    <w:rsid w:val="00593A35"/>
    <w:rsid w:val="00593C74"/>
    <w:rsid w:val="00597D8B"/>
    <w:rsid w:val="005A46FF"/>
    <w:rsid w:val="005A557E"/>
    <w:rsid w:val="005A63FD"/>
    <w:rsid w:val="005B462A"/>
    <w:rsid w:val="005B5137"/>
    <w:rsid w:val="005B6047"/>
    <w:rsid w:val="005C0ED7"/>
    <w:rsid w:val="005C4AE5"/>
    <w:rsid w:val="005C5409"/>
    <w:rsid w:val="005C6FF7"/>
    <w:rsid w:val="005C7D00"/>
    <w:rsid w:val="005D01A4"/>
    <w:rsid w:val="005D0BAB"/>
    <w:rsid w:val="005D1893"/>
    <w:rsid w:val="005D26E9"/>
    <w:rsid w:val="005D2CAA"/>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321C"/>
    <w:rsid w:val="00613F44"/>
    <w:rsid w:val="006160BD"/>
    <w:rsid w:val="0061679A"/>
    <w:rsid w:val="00617125"/>
    <w:rsid w:val="00620EDB"/>
    <w:rsid w:val="0062386E"/>
    <w:rsid w:val="00623DB6"/>
    <w:rsid w:val="00624EDE"/>
    <w:rsid w:val="006253EF"/>
    <w:rsid w:val="00626075"/>
    <w:rsid w:val="0062680E"/>
    <w:rsid w:val="00631158"/>
    <w:rsid w:val="00632923"/>
    <w:rsid w:val="006341E6"/>
    <w:rsid w:val="00634439"/>
    <w:rsid w:val="006366C6"/>
    <w:rsid w:val="00636B55"/>
    <w:rsid w:val="00636EB1"/>
    <w:rsid w:val="006373D6"/>
    <w:rsid w:val="006403D4"/>
    <w:rsid w:val="00642CBC"/>
    <w:rsid w:val="00643760"/>
    <w:rsid w:val="0064454A"/>
    <w:rsid w:val="00645293"/>
    <w:rsid w:val="0064698F"/>
    <w:rsid w:val="00651B78"/>
    <w:rsid w:val="0065237A"/>
    <w:rsid w:val="00652FF5"/>
    <w:rsid w:val="00654382"/>
    <w:rsid w:val="00654758"/>
    <w:rsid w:val="00661244"/>
    <w:rsid w:val="006640DF"/>
    <w:rsid w:val="00666A3C"/>
    <w:rsid w:val="00667519"/>
    <w:rsid w:val="006676A0"/>
    <w:rsid w:val="00670857"/>
    <w:rsid w:val="00670868"/>
    <w:rsid w:val="00673D69"/>
    <w:rsid w:val="00676431"/>
    <w:rsid w:val="0068050D"/>
    <w:rsid w:val="00685FFC"/>
    <w:rsid w:val="00686943"/>
    <w:rsid w:val="00686EDE"/>
    <w:rsid w:val="00687AD5"/>
    <w:rsid w:val="00690A31"/>
    <w:rsid w:val="006911CE"/>
    <w:rsid w:val="00695251"/>
    <w:rsid w:val="00695B58"/>
    <w:rsid w:val="0069798D"/>
    <w:rsid w:val="006A4828"/>
    <w:rsid w:val="006A7C09"/>
    <w:rsid w:val="006B046C"/>
    <w:rsid w:val="006B252F"/>
    <w:rsid w:val="006B3940"/>
    <w:rsid w:val="006B3FDB"/>
    <w:rsid w:val="006B4DD1"/>
    <w:rsid w:val="006B66FE"/>
    <w:rsid w:val="006C168D"/>
    <w:rsid w:val="006C4033"/>
    <w:rsid w:val="006C642C"/>
    <w:rsid w:val="006D3BC4"/>
    <w:rsid w:val="006D7386"/>
    <w:rsid w:val="006E0DAD"/>
    <w:rsid w:val="006E313F"/>
    <w:rsid w:val="006E3EFB"/>
    <w:rsid w:val="006F1F1A"/>
    <w:rsid w:val="006F5AC2"/>
    <w:rsid w:val="006F5B4C"/>
    <w:rsid w:val="006F6C28"/>
    <w:rsid w:val="007007EB"/>
    <w:rsid w:val="00701F57"/>
    <w:rsid w:val="00703E8A"/>
    <w:rsid w:val="00706046"/>
    <w:rsid w:val="007112F0"/>
    <w:rsid w:val="00711343"/>
    <w:rsid w:val="00714309"/>
    <w:rsid w:val="0071450F"/>
    <w:rsid w:val="00714C6F"/>
    <w:rsid w:val="0071681D"/>
    <w:rsid w:val="00717772"/>
    <w:rsid w:val="00721DBE"/>
    <w:rsid w:val="007226EC"/>
    <w:rsid w:val="00722B5E"/>
    <w:rsid w:val="00724F6D"/>
    <w:rsid w:val="0072678C"/>
    <w:rsid w:val="00732D1D"/>
    <w:rsid w:val="007350D4"/>
    <w:rsid w:val="00736034"/>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B8"/>
    <w:rsid w:val="007661D4"/>
    <w:rsid w:val="007661FD"/>
    <w:rsid w:val="00766A7C"/>
    <w:rsid w:val="00767A27"/>
    <w:rsid w:val="0077111A"/>
    <w:rsid w:val="00775419"/>
    <w:rsid w:val="007763A5"/>
    <w:rsid w:val="0078008C"/>
    <w:rsid w:val="0078105B"/>
    <w:rsid w:val="00782390"/>
    <w:rsid w:val="00782B50"/>
    <w:rsid w:val="00784FE0"/>
    <w:rsid w:val="007858B1"/>
    <w:rsid w:val="0078648E"/>
    <w:rsid w:val="00791A3A"/>
    <w:rsid w:val="00791D9C"/>
    <w:rsid w:val="007A391B"/>
    <w:rsid w:val="007A4409"/>
    <w:rsid w:val="007A4F37"/>
    <w:rsid w:val="007A5241"/>
    <w:rsid w:val="007A59B8"/>
    <w:rsid w:val="007B06C7"/>
    <w:rsid w:val="007B3D06"/>
    <w:rsid w:val="007B42F5"/>
    <w:rsid w:val="007B5157"/>
    <w:rsid w:val="007B5CD8"/>
    <w:rsid w:val="007C04A1"/>
    <w:rsid w:val="007C1122"/>
    <w:rsid w:val="007C19EC"/>
    <w:rsid w:val="007C364E"/>
    <w:rsid w:val="007C5359"/>
    <w:rsid w:val="007C6701"/>
    <w:rsid w:val="007D16ED"/>
    <w:rsid w:val="007D2398"/>
    <w:rsid w:val="007D440B"/>
    <w:rsid w:val="007D5908"/>
    <w:rsid w:val="007D62F9"/>
    <w:rsid w:val="007D63A4"/>
    <w:rsid w:val="007D732D"/>
    <w:rsid w:val="007E0F19"/>
    <w:rsid w:val="007E2A84"/>
    <w:rsid w:val="007E5ECB"/>
    <w:rsid w:val="007F063D"/>
    <w:rsid w:val="007F0D73"/>
    <w:rsid w:val="007F2FC8"/>
    <w:rsid w:val="007F432A"/>
    <w:rsid w:val="007F63AA"/>
    <w:rsid w:val="008006B7"/>
    <w:rsid w:val="008032FD"/>
    <w:rsid w:val="00806461"/>
    <w:rsid w:val="008064CE"/>
    <w:rsid w:val="0080673A"/>
    <w:rsid w:val="00807A94"/>
    <w:rsid w:val="00810B79"/>
    <w:rsid w:val="00810EAD"/>
    <w:rsid w:val="00812803"/>
    <w:rsid w:val="008129C0"/>
    <w:rsid w:val="00813B0C"/>
    <w:rsid w:val="00814530"/>
    <w:rsid w:val="00815386"/>
    <w:rsid w:val="00821F9C"/>
    <w:rsid w:val="00825570"/>
    <w:rsid w:val="00826403"/>
    <w:rsid w:val="00827990"/>
    <w:rsid w:val="00834CA6"/>
    <w:rsid w:val="0083623B"/>
    <w:rsid w:val="008379E4"/>
    <w:rsid w:val="00837E59"/>
    <w:rsid w:val="00842100"/>
    <w:rsid w:val="008428A9"/>
    <w:rsid w:val="0084308F"/>
    <w:rsid w:val="00846C2B"/>
    <w:rsid w:val="0085139A"/>
    <w:rsid w:val="008524F6"/>
    <w:rsid w:val="00854B3F"/>
    <w:rsid w:val="00861C2C"/>
    <w:rsid w:val="008668B8"/>
    <w:rsid w:val="00866D32"/>
    <w:rsid w:val="0086748F"/>
    <w:rsid w:val="00867B4D"/>
    <w:rsid w:val="00867CF3"/>
    <w:rsid w:val="00870278"/>
    <w:rsid w:val="00874AB5"/>
    <w:rsid w:val="008750A9"/>
    <w:rsid w:val="00875A68"/>
    <w:rsid w:val="00877671"/>
    <w:rsid w:val="00877A13"/>
    <w:rsid w:val="008869BC"/>
    <w:rsid w:val="00887DDD"/>
    <w:rsid w:val="00887DE6"/>
    <w:rsid w:val="00887E9F"/>
    <w:rsid w:val="008908AA"/>
    <w:rsid w:val="00890E08"/>
    <w:rsid w:val="00894DCA"/>
    <w:rsid w:val="00897D88"/>
    <w:rsid w:val="008A00BE"/>
    <w:rsid w:val="008A1539"/>
    <w:rsid w:val="008A2C5D"/>
    <w:rsid w:val="008A3BE2"/>
    <w:rsid w:val="008A6B30"/>
    <w:rsid w:val="008B05E7"/>
    <w:rsid w:val="008B0758"/>
    <w:rsid w:val="008B1875"/>
    <w:rsid w:val="008B4146"/>
    <w:rsid w:val="008B5312"/>
    <w:rsid w:val="008B59CE"/>
    <w:rsid w:val="008B6078"/>
    <w:rsid w:val="008B7110"/>
    <w:rsid w:val="008B7F4A"/>
    <w:rsid w:val="008C04E1"/>
    <w:rsid w:val="008C04FE"/>
    <w:rsid w:val="008C2F50"/>
    <w:rsid w:val="008C3109"/>
    <w:rsid w:val="008C5312"/>
    <w:rsid w:val="008C5DBD"/>
    <w:rsid w:val="008C61D6"/>
    <w:rsid w:val="008D49AF"/>
    <w:rsid w:val="008D4A2B"/>
    <w:rsid w:val="008D4A9F"/>
    <w:rsid w:val="008D6294"/>
    <w:rsid w:val="008E1FE0"/>
    <w:rsid w:val="008E3939"/>
    <w:rsid w:val="008E3DDD"/>
    <w:rsid w:val="008E58D6"/>
    <w:rsid w:val="008F1426"/>
    <w:rsid w:val="008F2125"/>
    <w:rsid w:val="008F23F4"/>
    <w:rsid w:val="008F61C4"/>
    <w:rsid w:val="008F7763"/>
    <w:rsid w:val="009007CB"/>
    <w:rsid w:val="009010F0"/>
    <w:rsid w:val="00901162"/>
    <w:rsid w:val="00901D46"/>
    <w:rsid w:val="009028E2"/>
    <w:rsid w:val="00903692"/>
    <w:rsid w:val="00904E07"/>
    <w:rsid w:val="00912BAF"/>
    <w:rsid w:val="00914EAB"/>
    <w:rsid w:val="0091541F"/>
    <w:rsid w:val="009165E9"/>
    <w:rsid w:val="00920D98"/>
    <w:rsid w:val="0092249B"/>
    <w:rsid w:val="00922D49"/>
    <w:rsid w:val="009238DB"/>
    <w:rsid w:val="00925E37"/>
    <w:rsid w:val="00925EDD"/>
    <w:rsid w:val="00930079"/>
    <w:rsid w:val="00930966"/>
    <w:rsid w:val="00932F64"/>
    <w:rsid w:val="00936075"/>
    <w:rsid w:val="00936D40"/>
    <w:rsid w:val="00937445"/>
    <w:rsid w:val="00937ABF"/>
    <w:rsid w:val="00937DB1"/>
    <w:rsid w:val="009407FE"/>
    <w:rsid w:val="009463CC"/>
    <w:rsid w:val="00950413"/>
    <w:rsid w:val="0095078E"/>
    <w:rsid w:val="00952404"/>
    <w:rsid w:val="00952A72"/>
    <w:rsid w:val="009530AC"/>
    <w:rsid w:val="009550A8"/>
    <w:rsid w:val="00955FF2"/>
    <w:rsid w:val="0095693D"/>
    <w:rsid w:val="00956B0D"/>
    <w:rsid w:val="0096260B"/>
    <w:rsid w:val="009631C1"/>
    <w:rsid w:val="00963918"/>
    <w:rsid w:val="00970C69"/>
    <w:rsid w:val="00973B57"/>
    <w:rsid w:val="00973E0D"/>
    <w:rsid w:val="0097403F"/>
    <w:rsid w:val="00975D18"/>
    <w:rsid w:val="00976797"/>
    <w:rsid w:val="00980C0C"/>
    <w:rsid w:val="00982E47"/>
    <w:rsid w:val="00983E7D"/>
    <w:rsid w:val="00985F0E"/>
    <w:rsid w:val="00986963"/>
    <w:rsid w:val="00990ABB"/>
    <w:rsid w:val="00991642"/>
    <w:rsid w:val="0099260C"/>
    <w:rsid w:val="009942F4"/>
    <w:rsid w:val="00995B3C"/>
    <w:rsid w:val="009A045B"/>
    <w:rsid w:val="009A0513"/>
    <w:rsid w:val="009A2283"/>
    <w:rsid w:val="009A31AF"/>
    <w:rsid w:val="009A3507"/>
    <w:rsid w:val="009A5C1D"/>
    <w:rsid w:val="009B4286"/>
    <w:rsid w:val="009B5BF9"/>
    <w:rsid w:val="009B5DAF"/>
    <w:rsid w:val="009B5F83"/>
    <w:rsid w:val="009B61C5"/>
    <w:rsid w:val="009B769E"/>
    <w:rsid w:val="009C03E5"/>
    <w:rsid w:val="009C4D19"/>
    <w:rsid w:val="009C5FDB"/>
    <w:rsid w:val="009C65AF"/>
    <w:rsid w:val="009C67A4"/>
    <w:rsid w:val="009C70CB"/>
    <w:rsid w:val="009C74DD"/>
    <w:rsid w:val="009D27AA"/>
    <w:rsid w:val="009D2AD9"/>
    <w:rsid w:val="009D514E"/>
    <w:rsid w:val="009D5C39"/>
    <w:rsid w:val="009D6FED"/>
    <w:rsid w:val="009E0A95"/>
    <w:rsid w:val="009E0D47"/>
    <w:rsid w:val="009E549D"/>
    <w:rsid w:val="009E54AF"/>
    <w:rsid w:val="009E5C59"/>
    <w:rsid w:val="009E6BB8"/>
    <w:rsid w:val="009F1CC3"/>
    <w:rsid w:val="009F26F2"/>
    <w:rsid w:val="009F3E1E"/>
    <w:rsid w:val="009F4CC5"/>
    <w:rsid w:val="009F6550"/>
    <w:rsid w:val="00A003BE"/>
    <w:rsid w:val="00A01C74"/>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20263"/>
    <w:rsid w:val="00A22E07"/>
    <w:rsid w:val="00A26437"/>
    <w:rsid w:val="00A32410"/>
    <w:rsid w:val="00A32B48"/>
    <w:rsid w:val="00A36D00"/>
    <w:rsid w:val="00A43389"/>
    <w:rsid w:val="00A4642E"/>
    <w:rsid w:val="00A47AF8"/>
    <w:rsid w:val="00A50AC8"/>
    <w:rsid w:val="00A52D75"/>
    <w:rsid w:val="00A53013"/>
    <w:rsid w:val="00A54BD6"/>
    <w:rsid w:val="00A5643A"/>
    <w:rsid w:val="00A57678"/>
    <w:rsid w:val="00A6090C"/>
    <w:rsid w:val="00A6200E"/>
    <w:rsid w:val="00A62D1E"/>
    <w:rsid w:val="00A65C6D"/>
    <w:rsid w:val="00A716B9"/>
    <w:rsid w:val="00A720D8"/>
    <w:rsid w:val="00A72216"/>
    <w:rsid w:val="00A733F2"/>
    <w:rsid w:val="00A75705"/>
    <w:rsid w:val="00A75BE1"/>
    <w:rsid w:val="00A8187C"/>
    <w:rsid w:val="00A82C9E"/>
    <w:rsid w:val="00A8324F"/>
    <w:rsid w:val="00A85142"/>
    <w:rsid w:val="00A95B37"/>
    <w:rsid w:val="00A96B6F"/>
    <w:rsid w:val="00AA0CE8"/>
    <w:rsid w:val="00AA35FD"/>
    <w:rsid w:val="00AA3DB7"/>
    <w:rsid w:val="00AA5F63"/>
    <w:rsid w:val="00AA7EBD"/>
    <w:rsid w:val="00AB2431"/>
    <w:rsid w:val="00AB69EF"/>
    <w:rsid w:val="00AC11DC"/>
    <w:rsid w:val="00AC3E87"/>
    <w:rsid w:val="00AC469F"/>
    <w:rsid w:val="00AD0611"/>
    <w:rsid w:val="00AD0E4F"/>
    <w:rsid w:val="00AD26D7"/>
    <w:rsid w:val="00AD3905"/>
    <w:rsid w:val="00AD4555"/>
    <w:rsid w:val="00AD4A31"/>
    <w:rsid w:val="00AD5638"/>
    <w:rsid w:val="00AD7214"/>
    <w:rsid w:val="00AE1066"/>
    <w:rsid w:val="00AE12A4"/>
    <w:rsid w:val="00AE2E1B"/>
    <w:rsid w:val="00AE33EA"/>
    <w:rsid w:val="00AE5129"/>
    <w:rsid w:val="00AE5645"/>
    <w:rsid w:val="00AF1D6B"/>
    <w:rsid w:val="00AF24AA"/>
    <w:rsid w:val="00AF3AF9"/>
    <w:rsid w:val="00AF3E5F"/>
    <w:rsid w:val="00AF4CE4"/>
    <w:rsid w:val="00AF4F09"/>
    <w:rsid w:val="00AF643E"/>
    <w:rsid w:val="00AF79C8"/>
    <w:rsid w:val="00B007B6"/>
    <w:rsid w:val="00B00FA8"/>
    <w:rsid w:val="00B011B0"/>
    <w:rsid w:val="00B0270C"/>
    <w:rsid w:val="00B0391C"/>
    <w:rsid w:val="00B047F6"/>
    <w:rsid w:val="00B06019"/>
    <w:rsid w:val="00B0700F"/>
    <w:rsid w:val="00B1493B"/>
    <w:rsid w:val="00B15119"/>
    <w:rsid w:val="00B17169"/>
    <w:rsid w:val="00B20F47"/>
    <w:rsid w:val="00B23996"/>
    <w:rsid w:val="00B23CB2"/>
    <w:rsid w:val="00B24A18"/>
    <w:rsid w:val="00B255C5"/>
    <w:rsid w:val="00B25807"/>
    <w:rsid w:val="00B268B3"/>
    <w:rsid w:val="00B268DD"/>
    <w:rsid w:val="00B32AE1"/>
    <w:rsid w:val="00B34368"/>
    <w:rsid w:val="00B37780"/>
    <w:rsid w:val="00B37813"/>
    <w:rsid w:val="00B37EEF"/>
    <w:rsid w:val="00B411CD"/>
    <w:rsid w:val="00B41ABB"/>
    <w:rsid w:val="00B41C1D"/>
    <w:rsid w:val="00B43917"/>
    <w:rsid w:val="00B43E1E"/>
    <w:rsid w:val="00B4515C"/>
    <w:rsid w:val="00B46220"/>
    <w:rsid w:val="00B464EA"/>
    <w:rsid w:val="00B47574"/>
    <w:rsid w:val="00B52BE7"/>
    <w:rsid w:val="00B5430C"/>
    <w:rsid w:val="00B56A90"/>
    <w:rsid w:val="00B5711C"/>
    <w:rsid w:val="00B57BCF"/>
    <w:rsid w:val="00B57E36"/>
    <w:rsid w:val="00B60209"/>
    <w:rsid w:val="00B606A3"/>
    <w:rsid w:val="00B65D6F"/>
    <w:rsid w:val="00B673F3"/>
    <w:rsid w:val="00B67A25"/>
    <w:rsid w:val="00B70229"/>
    <w:rsid w:val="00B7354A"/>
    <w:rsid w:val="00B7435B"/>
    <w:rsid w:val="00B74446"/>
    <w:rsid w:val="00B74B59"/>
    <w:rsid w:val="00B77142"/>
    <w:rsid w:val="00B8024E"/>
    <w:rsid w:val="00B80C3A"/>
    <w:rsid w:val="00B81633"/>
    <w:rsid w:val="00B84643"/>
    <w:rsid w:val="00B90452"/>
    <w:rsid w:val="00B90780"/>
    <w:rsid w:val="00B916D6"/>
    <w:rsid w:val="00B91AD8"/>
    <w:rsid w:val="00B9209B"/>
    <w:rsid w:val="00B9240D"/>
    <w:rsid w:val="00B95753"/>
    <w:rsid w:val="00B97E42"/>
    <w:rsid w:val="00BA0C05"/>
    <w:rsid w:val="00BA54D0"/>
    <w:rsid w:val="00BA7532"/>
    <w:rsid w:val="00BB1013"/>
    <w:rsid w:val="00BB4515"/>
    <w:rsid w:val="00BB7B89"/>
    <w:rsid w:val="00BC1A9B"/>
    <w:rsid w:val="00BC2A22"/>
    <w:rsid w:val="00BC4986"/>
    <w:rsid w:val="00BC5E2E"/>
    <w:rsid w:val="00BC6379"/>
    <w:rsid w:val="00BC7EEF"/>
    <w:rsid w:val="00BD1AD9"/>
    <w:rsid w:val="00BD43BB"/>
    <w:rsid w:val="00BD7ADE"/>
    <w:rsid w:val="00BE1A85"/>
    <w:rsid w:val="00BE46ED"/>
    <w:rsid w:val="00BE4FD1"/>
    <w:rsid w:val="00BE642D"/>
    <w:rsid w:val="00BE6D7A"/>
    <w:rsid w:val="00BF2511"/>
    <w:rsid w:val="00BF377F"/>
    <w:rsid w:val="00BF3F88"/>
    <w:rsid w:val="00BF57BE"/>
    <w:rsid w:val="00C0042B"/>
    <w:rsid w:val="00C02E58"/>
    <w:rsid w:val="00C030B6"/>
    <w:rsid w:val="00C04B38"/>
    <w:rsid w:val="00C067B7"/>
    <w:rsid w:val="00C10A09"/>
    <w:rsid w:val="00C121BC"/>
    <w:rsid w:val="00C14D92"/>
    <w:rsid w:val="00C16739"/>
    <w:rsid w:val="00C17F3F"/>
    <w:rsid w:val="00C23BA2"/>
    <w:rsid w:val="00C260A2"/>
    <w:rsid w:val="00C30DEC"/>
    <w:rsid w:val="00C31142"/>
    <w:rsid w:val="00C31DEF"/>
    <w:rsid w:val="00C338EB"/>
    <w:rsid w:val="00C35BB7"/>
    <w:rsid w:val="00C36B35"/>
    <w:rsid w:val="00C400CD"/>
    <w:rsid w:val="00C41617"/>
    <w:rsid w:val="00C4309A"/>
    <w:rsid w:val="00C43F23"/>
    <w:rsid w:val="00C43FF1"/>
    <w:rsid w:val="00C45494"/>
    <w:rsid w:val="00C52D18"/>
    <w:rsid w:val="00C544B8"/>
    <w:rsid w:val="00C559CE"/>
    <w:rsid w:val="00C55E19"/>
    <w:rsid w:val="00C563BF"/>
    <w:rsid w:val="00C57512"/>
    <w:rsid w:val="00C57607"/>
    <w:rsid w:val="00C61133"/>
    <w:rsid w:val="00C64009"/>
    <w:rsid w:val="00C7016D"/>
    <w:rsid w:val="00C767B3"/>
    <w:rsid w:val="00C76C07"/>
    <w:rsid w:val="00C80F23"/>
    <w:rsid w:val="00C835B4"/>
    <w:rsid w:val="00C850A3"/>
    <w:rsid w:val="00C87568"/>
    <w:rsid w:val="00C92451"/>
    <w:rsid w:val="00C9272C"/>
    <w:rsid w:val="00C97764"/>
    <w:rsid w:val="00C97C9B"/>
    <w:rsid w:val="00CA344C"/>
    <w:rsid w:val="00CB142D"/>
    <w:rsid w:val="00CB26C7"/>
    <w:rsid w:val="00CB29F6"/>
    <w:rsid w:val="00CB2BBF"/>
    <w:rsid w:val="00CB481C"/>
    <w:rsid w:val="00CB4C8C"/>
    <w:rsid w:val="00CB62E1"/>
    <w:rsid w:val="00CB6EFE"/>
    <w:rsid w:val="00CC16F9"/>
    <w:rsid w:val="00CC28A9"/>
    <w:rsid w:val="00CC4183"/>
    <w:rsid w:val="00CC6928"/>
    <w:rsid w:val="00CC70A4"/>
    <w:rsid w:val="00CD2BA8"/>
    <w:rsid w:val="00CD4A0C"/>
    <w:rsid w:val="00CD5CEF"/>
    <w:rsid w:val="00CE06EC"/>
    <w:rsid w:val="00CE1F8A"/>
    <w:rsid w:val="00CE592E"/>
    <w:rsid w:val="00CE5BC5"/>
    <w:rsid w:val="00CF16A4"/>
    <w:rsid w:val="00CF299F"/>
    <w:rsid w:val="00CF3357"/>
    <w:rsid w:val="00CF58DF"/>
    <w:rsid w:val="00D00BC3"/>
    <w:rsid w:val="00D03538"/>
    <w:rsid w:val="00D04410"/>
    <w:rsid w:val="00D05EE7"/>
    <w:rsid w:val="00D06A9D"/>
    <w:rsid w:val="00D07C15"/>
    <w:rsid w:val="00D11D4F"/>
    <w:rsid w:val="00D13A01"/>
    <w:rsid w:val="00D15733"/>
    <w:rsid w:val="00D20364"/>
    <w:rsid w:val="00D2130C"/>
    <w:rsid w:val="00D26746"/>
    <w:rsid w:val="00D26DDD"/>
    <w:rsid w:val="00D27BDC"/>
    <w:rsid w:val="00D27EA0"/>
    <w:rsid w:val="00D305C9"/>
    <w:rsid w:val="00D3194F"/>
    <w:rsid w:val="00D33751"/>
    <w:rsid w:val="00D3639B"/>
    <w:rsid w:val="00D37343"/>
    <w:rsid w:val="00D37495"/>
    <w:rsid w:val="00D41727"/>
    <w:rsid w:val="00D427E4"/>
    <w:rsid w:val="00D45F1B"/>
    <w:rsid w:val="00D472A5"/>
    <w:rsid w:val="00D52289"/>
    <w:rsid w:val="00D55A37"/>
    <w:rsid w:val="00D55B7E"/>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110D"/>
    <w:rsid w:val="00D91124"/>
    <w:rsid w:val="00D91987"/>
    <w:rsid w:val="00D92168"/>
    <w:rsid w:val="00D93426"/>
    <w:rsid w:val="00D94B22"/>
    <w:rsid w:val="00D958D3"/>
    <w:rsid w:val="00D9594F"/>
    <w:rsid w:val="00D97213"/>
    <w:rsid w:val="00DA0C95"/>
    <w:rsid w:val="00DA134E"/>
    <w:rsid w:val="00DA13F3"/>
    <w:rsid w:val="00DA2DE3"/>
    <w:rsid w:val="00DA47D9"/>
    <w:rsid w:val="00DA64AF"/>
    <w:rsid w:val="00DB1F4F"/>
    <w:rsid w:val="00DB2AC7"/>
    <w:rsid w:val="00DB704C"/>
    <w:rsid w:val="00DC693B"/>
    <w:rsid w:val="00DC7C77"/>
    <w:rsid w:val="00DD0F5D"/>
    <w:rsid w:val="00DD426D"/>
    <w:rsid w:val="00DD74FC"/>
    <w:rsid w:val="00DE117F"/>
    <w:rsid w:val="00DE1769"/>
    <w:rsid w:val="00DE1A17"/>
    <w:rsid w:val="00DE1D7B"/>
    <w:rsid w:val="00DE44C8"/>
    <w:rsid w:val="00DE64CC"/>
    <w:rsid w:val="00DE6AA9"/>
    <w:rsid w:val="00DE7B30"/>
    <w:rsid w:val="00DF20C7"/>
    <w:rsid w:val="00DF4D0C"/>
    <w:rsid w:val="00DF5C20"/>
    <w:rsid w:val="00DF7D81"/>
    <w:rsid w:val="00E02DEB"/>
    <w:rsid w:val="00E03486"/>
    <w:rsid w:val="00E0405A"/>
    <w:rsid w:val="00E042A1"/>
    <w:rsid w:val="00E0476C"/>
    <w:rsid w:val="00E0576B"/>
    <w:rsid w:val="00E067EA"/>
    <w:rsid w:val="00E06D18"/>
    <w:rsid w:val="00E104FA"/>
    <w:rsid w:val="00E1320D"/>
    <w:rsid w:val="00E15FD1"/>
    <w:rsid w:val="00E16022"/>
    <w:rsid w:val="00E1738C"/>
    <w:rsid w:val="00E174FF"/>
    <w:rsid w:val="00E205AA"/>
    <w:rsid w:val="00E22296"/>
    <w:rsid w:val="00E27360"/>
    <w:rsid w:val="00E27C04"/>
    <w:rsid w:val="00E30713"/>
    <w:rsid w:val="00E30EDF"/>
    <w:rsid w:val="00E31FBA"/>
    <w:rsid w:val="00E328E2"/>
    <w:rsid w:val="00E336BB"/>
    <w:rsid w:val="00E3384E"/>
    <w:rsid w:val="00E33F90"/>
    <w:rsid w:val="00E374C8"/>
    <w:rsid w:val="00E4042D"/>
    <w:rsid w:val="00E4135D"/>
    <w:rsid w:val="00E43750"/>
    <w:rsid w:val="00E508EB"/>
    <w:rsid w:val="00E50A31"/>
    <w:rsid w:val="00E521E3"/>
    <w:rsid w:val="00E53B7A"/>
    <w:rsid w:val="00E550C9"/>
    <w:rsid w:val="00E55405"/>
    <w:rsid w:val="00E561F9"/>
    <w:rsid w:val="00E5645D"/>
    <w:rsid w:val="00E57CD3"/>
    <w:rsid w:val="00E608D5"/>
    <w:rsid w:val="00E627A4"/>
    <w:rsid w:val="00E6280E"/>
    <w:rsid w:val="00E62C9C"/>
    <w:rsid w:val="00E630EE"/>
    <w:rsid w:val="00E67A61"/>
    <w:rsid w:val="00E70455"/>
    <w:rsid w:val="00E73221"/>
    <w:rsid w:val="00E75116"/>
    <w:rsid w:val="00E763EB"/>
    <w:rsid w:val="00E8249B"/>
    <w:rsid w:val="00E8342F"/>
    <w:rsid w:val="00E84632"/>
    <w:rsid w:val="00E847EE"/>
    <w:rsid w:val="00E876F9"/>
    <w:rsid w:val="00E96A72"/>
    <w:rsid w:val="00E96B52"/>
    <w:rsid w:val="00EA01F7"/>
    <w:rsid w:val="00EA1D33"/>
    <w:rsid w:val="00EA1F5A"/>
    <w:rsid w:val="00EA375F"/>
    <w:rsid w:val="00EA55D2"/>
    <w:rsid w:val="00EA7104"/>
    <w:rsid w:val="00EA7533"/>
    <w:rsid w:val="00EB067F"/>
    <w:rsid w:val="00EB2419"/>
    <w:rsid w:val="00EB58F5"/>
    <w:rsid w:val="00EB6E6B"/>
    <w:rsid w:val="00EC010F"/>
    <w:rsid w:val="00EC2E3A"/>
    <w:rsid w:val="00EC3CCB"/>
    <w:rsid w:val="00EC5A74"/>
    <w:rsid w:val="00EC737D"/>
    <w:rsid w:val="00ED2154"/>
    <w:rsid w:val="00ED4277"/>
    <w:rsid w:val="00ED7C8C"/>
    <w:rsid w:val="00ED7DDB"/>
    <w:rsid w:val="00EE431B"/>
    <w:rsid w:val="00EE4874"/>
    <w:rsid w:val="00EE53E5"/>
    <w:rsid w:val="00EE6852"/>
    <w:rsid w:val="00EE73FB"/>
    <w:rsid w:val="00EE7BF0"/>
    <w:rsid w:val="00EF2674"/>
    <w:rsid w:val="00EF556F"/>
    <w:rsid w:val="00EF7D07"/>
    <w:rsid w:val="00F0181C"/>
    <w:rsid w:val="00F03512"/>
    <w:rsid w:val="00F0433A"/>
    <w:rsid w:val="00F0519B"/>
    <w:rsid w:val="00F059D4"/>
    <w:rsid w:val="00F11783"/>
    <w:rsid w:val="00F119AF"/>
    <w:rsid w:val="00F1480B"/>
    <w:rsid w:val="00F1498D"/>
    <w:rsid w:val="00F15173"/>
    <w:rsid w:val="00F20065"/>
    <w:rsid w:val="00F21B6D"/>
    <w:rsid w:val="00F22211"/>
    <w:rsid w:val="00F22341"/>
    <w:rsid w:val="00F24039"/>
    <w:rsid w:val="00F24E0E"/>
    <w:rsid w:val="00F26693"/>
    <w:rsid w:val="00F30F17"/>
    <w:rsid w:val="00F3477D"/>
    <w:rsid w:val="00F347FE"/>
    <w:rsid w:val="00F34859"/>
    <w:rsid w:val="00F356F7"/>
    <w:rsid w:val="00F40055"/>
    <w:rsid w:val="00F405D4"/>
    <w:rsid w:val="00F40868"/>
    <w:rsid w:val="00F421D5"/>
    <w:rsid w:val="00F44FDE"/>
    <w:rsid w:val="00F46467"/>
    <w:rsid w:val="00F46B63"/>
    <w:rsid w:val="00F4715C"/>
    <w:rsid w:val="00F47FF8"/>
    <w:rsid w:val="00F529B5"/>
    <w:rsid w:val="00F52AA4"/>
    <w:rsid w:val="00F56162"/>
    <w:rsid w:val="00F56B7E"/>
    <w:rsid w:val="00F6052F"/>
    <w:rsid w:val="00F62FDE"/>
    <w:rsid w:val="00F654E6"/>
    <w:rsid w:val="00F662CD"/>
    <w:rsid w:val="00F67E39"/>
    <w:rsid w:val="00F703A8"/>
    <w:rsid w:val="00F707F1"/>
    <w:rsid w:val="00F7094A"/>
    <w:rsid w:val="00F710BE"/>
    <w:rsid w:val="00F72579"/>
    <w:rsid w:val="00F74742"/>
    <w:rsid w:val="00F804B9"/>
    <w:rsid w:val="00F80AE2"/>
    <w:rsid w:val="00F83FF9"/>
    <w:rsid w:val="00F84D52"/>
    <w:rsid w:val="00F91B52"/>
    <w:rsid w:val="00F961A9"/>
    <w:rsid w:val="00F97478"/>
    <w:rsid w:val="00F97B71"/>
    <w:rsid w:val="00F97B9E"/>
    <w:rsid w:val="00FA0527"/>
    <w:rsid w:val="00FA085E"/>
    <w:rsid w:val="00FA0947"/>
    <w:rsid w:val="00FA2185"/>
    <w:rsid w:val="00FA2D49"/>
    <w:rsid w:val="00FA4B52"/>
    <w:rsid w:val="00FA4D4F"/>
    <w:rsid w:val="00FA4D5B"/>
    <w:rsid w:val="00FA54E8"/>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0C8B"/>
    <w:rsid w:val="00FE1E47"/>
    <w:rsid w:val="00FE275D"/>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0" w:defUnhideWhenUsed="1">
    <w:lsdException w:name="Normal" w:qFormat="1" w:semiHidden="0" w:unhideWhenUsed="0"/>
    <w:lsdException w:name="heading 1" w:qFormat="1" w:semiHidden="0" w:uiPriority="99"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iPriority="99" w:unhideWhenUsed="0"/>
    <w:lsdException w:name="Body Text First Indent" w:semiHidden="0" w:unhideWhenUsed="0"/>
    <w:lsdException w:name="Strong" w:qFormat="1" w:semiHidden="0" w:uiPriority="22" w:unhideWhenUsed="0"/>
    <w:lsdException w:name="Emphasis" w:qFormat="1" w:semiHidden="0" w:unhideWhenUsed="0"/>
    <w:lsdException w:name="Plain Text" w:uiPriority="99"/>
    <w:lsdException w:name="Table Grid" w:qFormat="1"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6A4828"/>
    <w:pPr>
      <w:widowControl w:val="0"/>
      <w:jc w:val="both"/>
    </w:pPr>
    <w:rPr>
      <w:kern w:val="2"/>
      <w:sz w:val="21"/>
      <w:szCs w:val="24"/>
    </w:rPr>
  </w:style>
  <w:style w:styleId="1" w:type="paragraph">
    <w:name w:val="heading 1"/>
    <w:basedOn w:val="a"/>
    <w:next w:val="a"/>
    <w:link w:val="1Char"/>
    <w:uiPriority w:val="99"/>
    <w:qFormat/>
    <w:rsid w:val="00180952"/>
    <w:pPr>
      <w:keepNext/>
      <w:keepLines/>
      <w:spacing w:after="330" w:before="340" w:line="578" w:lineRule="auto"/>
      <w:outlineLvl w:val="0"/>
    </w:pPr>
    <w:rPr>
      <w:b/>
      <w:bCs/>
      <w:kern w:val="44"/>
      <w:sz w:val="44"/>
      <w:szCs w:val="44"/>
    </w:rPr>
  </w:style>
  <w:style w:styleId="2" w:type="paragraph">
    <w:name w:val="heading 2"/>
    <w:basedOn w:val="a"/>
    <w:next w:val="a0"/>
    <w:qFormat/>
    <w:rsid w:val="006A4828"/>
    <w:pPr>
      <w:keepNext/>
      <w:keepLines/>
      <w:spacing w:after="260" w:before="260" w:line="360" w:lineRule="auto"/>
      <w:outlineLvl w:val="1"/>
    </w:pPr>
    <w:rPr>
      <w:rFonts w:ascii="Arial" w:cs="Arial" w:hAnsi="Arial"/>
      <w:b/>
      <w:bCs/>
      <w:sz w:val="24"/>
      <w:szCs w:val="28"/>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styleId="a0" w:type="paragraph">
    <w:name w:val="Normal Indent"/>
    <w:basedOn w:val="a"/>
    <w:uiPriority w:val="99"/>
    <w:rsid w:val="006A4828"/>
    <w:pPr>
      <w:ind w:firstLine="420" w:firstLineChars="200"/>
    </w:pPr>
  </w:style>
  <w:style w:styleId="a4" w:type="paragraph">
    <w:name w:val="Body Text Indent"/>
    <w:basedOn w:val="a"/>
    <w:rsid w:val="006A4828"/>
    <w:pPr>
      <w:widowControl/>
      <w:spacing w:after="100" w:afterAutospacing="1" w:before="100" w:beforeAutospacing="1"/>
      <w:jc w:val="left"/>
    </w:pPr>
    <w:rPr>
      <w:rFonts w:ascii="Arial Unicode MS" w:cs="Arial Unicode MS" w:eastAsia="Arial Unicode MS" w:hAnsi="Arial Unicode MS"/>
      <w:kern w:val="0"/>
      <w:sz w:val="24"/>
    </w:rPr>
  </w:style>
  <w:style w:styleId="a5" w:type="paragraph">
    <w:name w:val="Plain Text"/>
    <w:basedOn w:val="a"/>
    <w:link w:val="Char"/>
    <w:uiPriority w:val="99"/>
    <w:rsid w:val="006A4828"/>
    <w:rPr>
      <w:rFonts w:ascii="宋体" w:hAnsi="Courier New"/>
      <w:szCs w:val="21"/>
    </w:rPr>
  </w:style>
  <w:style w:styleId="20" w:type="paragraph">
    <w:name w:val="Body Text Indent 2"/>
    <w:basedOn w:val="a"/>
    <w:rsid w:val="006A4828"/>
    <w:pPr>
      <w:spacing w:line="560" w:lineRule="exact"/>
      <w:ind w:firstLine="480" w:firstLineChars="200"/>
    </w:pPr>
    <w:rPr>
      <w:rFonts w:ascii="宋体" w:hAnsi="宋体"/>
      <w:color w:val="FF0000"/>
      <w:sz w:val="24"/>
    </w:rPr>
  </w:style>
  <w:style w:styleId="a6" w:type="paragraph">
    <w:name w:val="footer"/>
    <w:basedOn w:val="a"/>
    <w:rsid w:val="006A4828"/>
    <w:pPr>
      <w:tabs>
        <w:tab w:pos="4153" w:val="center"/>
        <w:tab w:pos="8306" w:val="right"/>
      </w:tabs>
      <w:snapToGrid w:val="0"/>
      <w:jc w:val="left"/>
    </w:pPr>
    <w:rPr>
      <w:sz w:val="18"/>
      <w:szCs w:val="18"/>
    </w:rPr>
  </w:style>
  <w:style w:styleId="a7" w:type="character">
    <w:name w:val="page number"/>
    <w:basedOn w:val="a1"/>
    <w:rsid w:val="006A4828"/>
  </w:style>
  <w:style w:styleId="a8" w:type="character">
    <w:name w:val="Hyperlink"/>
    <w:basedOn w:val="a1"/>
    <w:rsid w:val="006A4828"/>
    <w:rPr>
      <w:color w:val="0000FF"/>
      <w:u w:val="single"/>
    </w:rPr>
  </w:style>
  <w:style w:styleId="3" w:type="paragraph">
    <w:name w:val="Body Text Indent 3"/>
    <w:basedOn w:val="a"/>
    <w:rsid w:val="006A4828"/>
    <w:pPr>
      <w:spacing w:line="560" w:lineRule="exact"/>
      <w:ind w:firstLine="420" w:firstLineChars="200"/>
    </w:pPr>
    <w:rPr>
      <w:rFonts w:ascii="Arial" w:cs="Arial" w:hAnsi="Arial"/>
      <w:color w:val="FF0000"/>
    </w:rPr>
  </w:style>
  <w:style w:styleId="a9" w:type="paragraph">
    <w:name w:val="header"/>
    <w:basedOn w:val="a"/>
    <w:link w:val="Char0"/>
    <w:uiPriority w:val="99"/>
    <w:rsid w:val="006A4828"/>
    <w:pPr>
      <w:pBdr>
        <w:bottom w:color="auto" w:space="1" w:sz="6" w:val="single"/>
      </w:pBdr>
      <w:tabs>
        <w:tab w:pos="4153" w:val="center"/>
        <w:tab w:pos="8306" w:val="right"/>
      </w:tabs>
      <w:snapToGrid w:val="0"/>
      <w:jc w:val="center"/>
    </w:pPr>
    <w:rPr>
      <w:sz w:val="18"/>
      <w:szCs w:val="18"/>
    </w:rPr>
  </w:style>
  <w:style w:customStyle="1" w:styleId="10" w:type="character">
    <w:name w:val="已访问的超链接1"/>
    <w:basedOn w:val="a1"/>
    <w:rsid w:val="006A4828"/>
    <w:rPr>
      <w:color w:val="800080"/>
      <w:u w:val="single"/>
    </w:rPr>
  </w:style>
  <w:style w:styleId="aa" w:type="paragraph">
    <w:name w:val="List"/>
    <w:basedOn w:val="ab"/>
    <w:rsid w:val="006A4828"/>
    <w:pPr>
      <w:spacing w:after="220" w:line="220" w:lineRule="atLeast"/>
      <w:ind w:hanging="360" w:left="1440"/>
    </w:pPr>
    <w:rPr>
      <w:szCs w:val="20"/>
    </w:rPr>
  </w:style>
  <w:style w:styleId="ab" w:type="paragraph">
    <w:name w:val="Body Text"/>
    <w:basedOn w:val="a"/>
    <w:rsid w:val="006A4828"/>
    <w:pPr>
      <w:spacing w:after="120"/>
    </w:pPr>
  </w:style>
  <w:style w:styleId="ac" w:type="paragraph">
    <w:name w:val="Date"/>
    <w:basedOn w:val="a"/>
    <w:next w:val="a"/>
    <w:link w:val="Char1"/>
    <w:uiPriority w:val="99"/>
    <w:rsid w:val="006A4828"/>
    <w:rPr>
      <w:sz w:val="24"/>
      <w:szCs w:val="20"/>
    </w:rPr>
  </w:style>
  <w:style w:customStyle="1" w:styleId="c1" w:type="character">
    <w:name w:val="c1"/>
    <w:basedOn w:val="a1"/>
    <w:rsid w:val="006A4828"/>
    <w:rPr>
      <w:color w:val="000000"/>
      <w:sz w:val="18"/>
      <w:szCs w:val="18"/>
    </w:rPr>
  </w:style>
  <w:style w:styleId="11" w:type="paragraph">
    <w:name w:val="index 1"/>
    <w:basedOn w:val="a"/>
    <w:next w:val="a"/>
    <w:autoRedefine/>
    <w:semiHidden/>
    <w:rsid w:val="006A4828"/>
    <w:pPr>
      <w:jc w:val="right"/>
    </w:pPr>
    <w:rPr>
      <w:color w:val="008000"/>
    </w:rPr>
  </w:style>
  <w:style w:customStyle="1" w:styleId="font5" w:type="paragraph">
    <w:name w:val="font5"/>
    <w:basedOn w:val="a"/>
    <w:rsid w:val="006A4828"/>
    <w:pPr>
      <w:widowControl/>
      <w:spacing w:after="100" w:afterAutospacing="1" w:before="100" w:beforeAutospacing="1"/>
      <w:jc w:val="left"/>
    </w:pPr>
    <w:rPr>
      <w:rFonts w:ascii="宋体" w:cs="Arial Unicode MS" w:hAnsi="宋体" w:hint="eastAsia"/>
      <w:kern w:val="0"/>
      <w:sz w:val="18"/>
      <w:szCs w:val="18"/>
    </w:rPr>
  </w:style>
  <w:style w:customStyle="1" w:styleId="xl24" w:type="paragraph">
    <w:name w:val="xl24"/>
    <w:basedOn w:val="a"/>
    <w:rsid w:val="006A482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d" w:type="paragraph">
    <w:name w:val="Balloon Text"/>
    <w:basedOn w:val="a"/>
    <w:semiHidden/>
    <w:rsid w:val="006A4828"/>
    <w:rPr>
      <w:sz w:val="18"/>
      <w:szCs w:val="18"/>
    </w:rPr>
  </w:style>
  <w:style w:styleId="ae" w:type="character">
    <w:name w:val="annotation reference"/>
    <w:basedOn w:val="a1"/>
    <w:semiHidden/>
    <w:rsid w:val="006A4828"/>
    <w:rPr>
      <w:sz w:val="21"/>
      <w:szCs w:val="21"/>
    </w:rPr>
  </w:style>
  <w:style w:styleId="af" w:type="paragraph">
    <w:name w:val="annotation text"/>
    <w:basedOn w:val="a"/>
    <w:semiHidden/>
    <w:rsid w:val="006A4828"/>
    <w:pPr>
      <w:jc w:val="left"/>
    </w:pPr>
  </w:style>
  <w:style w:styleId="af0" w:type="paragraph">
    <w:name w:val="annotation subject"/>
    <w:basedOn w:val="af"/>
    <w:next w:val="af"/>
    <w:semiHidden/>
    <w:rsid w:val="006A4828"/>
    <w:rPr>
      <w:b/>
      <w:bCs/>
    </w:rPr>
  </w:style>
  <w:style w:customStyle="1" w:styleId="Char2" w:type="paragraph">
    <w:name w:val="Char"/>
    <w:basedOn w:val="a"/>
    <w:rsid w:val="006A4828"/>
  </w:style>
  <w:style w:styleId="af1" w:type="paragraph">
    <w:name w:val="Document Map"/>
    <w:basedOn w:val="a"/>
    <w:semiHidden/>
    <w:rsid w:val="000A549A"/>
    <w:pPr>
      <w:shd w:color="auto" w:fill="000080" w:val="clear"/>
    </w:pPr>
  </w:style>
  <w:style w:styleId="af2" w:type="table">
    <w:name w:val="Table Grid"/>
    <w:basedOn w:val="a2"/>
    <w:qFormat/>
    <w:rsid w:val="009A31AF"/>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f3" w:type="paragraph">
    <w:name w:val="footnote text"/>
    <w:basedOn w:val="a"/>
    <w:link w:val="Char3"/>
    <w:rsid w:val="000B251E"/>
    <w:pPr>
      <w:snapToGrid w:val="0"/>
      <w:jc w:val="left"/>
    </w:pPr>
    <w:rPr>
      <w:sz w:val="18"/>
      <w:szCs w:val="18"/>
    </w:rPr>
  </w:style>
  <w:style w:styleId="af4" w:type="character">
    <w:name w:val="footnote reference"/>
    <w:basedOn w:val="a1"/>
    <w:rsid w:val="000B251E"/>
    <w:rPr>
      <w:vertAlign w:val="superscript"/>
    </w:rPr>
  </w:style>
  <w:style w:styleId="af5" w:type="paragraph">
    <w:name w:val="Normal (Web)"/>
    <w:basedOn w:val="a"/>
    <w:rsid w:val="00B25807"/>
    <w:pPr>
      <w:widowControl/>
      <w:spacing w:after="100" w:afterAutospacing="1" w:before="100" w:beforeAutospacing="1"/>
      <w:jc w:val="left"/>
    </w:pPr>
    <w:rPr>
      <w:rFonts w:ascii="宋体" w:hAnsi="宋体"/>
      <w:kern w:val="0"/>
      <w:sz w:val="24"/>
    </w:rPr>
  </w:style>
  <w:style w:customStyle="1" w:styleId="Char4" w:type="paragraph">
    <w:name w:val="Char"/>
    <w:basedOn w:val="a"/>
    <w:rsid w:val="00D97213"/>
  </w:style>
  <w:style w:customStyle="1" w:styleId="5" w:type="numbering">
    <w:name w:val="样式5"/>
    <w:rsid w:val="00952A72"/>
    <w:pPr>
      <w:numPr>
        <w:numId w:val="8"/>
      </w:numPr>
    </w:pPr>
  </w:style>
  <w:style w:customStyle="1" w:styleId="t1" w:type="character">
    <w:name w:val="t1"/>
    <w:basedOn w:val="a1"/>
    <w:rsid w:val="002D2A00"/>
    <w:rPr>
      <w:color w:val="990000"/>
    </w:rPr>
  </w:style>
  <w:style w:customStyle="1" w:styleId="Char" w:type="character">
    <w:name w:val="纯文本 Char"/>
    <w:basedOn w:val="a1"/>
    <w:link w:val="a5"/>
    <w:uiPriority w:val="99"/>
    <w:rsid w:val="009A045B"/>
    <w:rPr>
      <w:rFonts w:ascii="宋体" w:hAnsi="Courier New"/>
      <w:kern w:val="2"/>
      <w:sz w:val="21"/>
      <w:szCs w:val="21"/>
    </w:rPr>
  </w:style>
  <w:style w:customStyle="1" w:styleId="Char3" w:type="character">
    <w:name w:val="脚注文本 Char"/>
    <w:basedOn w:val="a1"/>
    <w:link w:val="af3"/>
    <w:rsid w:val="00CB481C"/>
    <w:rPr>
      <w:kern w:val="2"/>
      <w:sz w:val="18"/>
      <w:szCs w:val="18"/>
    </w:rPr>
  </w:style>
  <w:style w:customStyle="1" w:styleId="Default" w:type="paragraph">
    <w:name w:val="Default"/>
    <w:uiPriority w:val="99"/>
    <w:rsid w:val="00CB481C"/>
    <w:pPr>
      <w:widowControl w:val="0"/>
      <w:autoSpaceDE w:val="0"/>
      <w:autoSpaceDN w:val="0"/>
      <w:adjustRightInd w:val="0"/>
    </w:pPr>
    <w:rPr>
      <w:rFonts w:ascii="FangSong" w:cs="FangSong" w:hAnsi="FangSong"/>
      <w:color w:val="000000"/>
      <w:sz w:val="24"/>
      <w:szCs w:val="24"/>
    </w:rPr>
  </w:style>
  <w:style w:customStyle="1" w:styleId="Char0" w:type="character">
    <w:name w:val="页眉 Char"/>
    <w:basedOn w:val="a1"/>
    <w:link w:val="a9"/>
    <w:uiPriority w:val="99"/>
    <w:rsid w:val="001207F2"/>
    <w:rPr>
      <w:kern w:val="2"/>
      <w:sz w:val="18"/>
      <w:szCs w:val="18"/>
    </w:rPr>
  </w:style>
  <w:style w:customStyle="1" w:styleId="1Char" w:type="character">
    <w:name w:val="标题 1 Char"/>
    <w:basedOn w:val="a1"/>
    <w:link w:val="1"/>
    <w:uiPriority w:val="99"/>
    <w:rsid w:val="00180952"/>
    <w:rPr>
      <w:b/>
      <w:bCs/>
      <w:kern w:val="44"/>
      <w:sz w:val="44"/>
      <w:szCs w:val="44"/>
    </w:rPr>
  </w:style>
  <w:style w:customStyle="1" w:styleId="Char1" w:type="character">
    <w:name w:val="日期 Char"/>
    <w:basedOn w:val="a1"/>
    <w:link w:val="ac"/>
    <w:uiPriority w:val="99"/>
    <w:rsid w:val="00D66685"/>
    <w:rPr>
      <w:kern w:val="2"/>
      <w:sz w:val="24"/>
    </w:rPr>
  </w:style>
  <w:style w:styleId="af6" w:type="character">
    <w:name w:val="Strong"/>
    <w:basedOn w:val="a1"/>
    <w:uiPriority w:val="22"/>
    <w:qFormat/>
    <w:rsid w:val="00FE0C8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a0">
    <w:name w:val="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032286">
      <w:bodyDiv w:val="1"/>
      <w:marLeft w:val="0"/>
      <w:marRight w:val="0"/>
      <w:marTop w:val="0"/>
      <w:marBottom w:val="0"/>
      <w:divBdr>
        <w:top w:val="none" w:sz="0" w:space="0" w:color="auto"/>
        <w:left w:val="none" w:sz="0" w:space="0" w:color="auto"/>
        <w:bottom w:val="none" w:sz="0" w:space="0" w:color="auto"/>
        <w:right w:val="none" w:sz="0" w:space="0" w:color="auto"/>
      </w:divBdr>
    </w:div>
    <w:div w:id="269166985">
      <w:bodyDiv w:val="1"/>
      <w:marLeft w:val="0"/>
      <w:marRight w:val="0"/>
      <w:marTop w:val="0"/>
      <w:marBottom w:val="0"/>
      <w:divBdr>
        <w:top w:val="none" w:sz="0" w:space="0" w:color="auto"/>
        <w:left w:val="none" w:sz="0" w:space="0" w:color="auto"/>
        <w:bottom w:val="none" w:sz="0" w:space="0" w:color="auto"/>
        <w:right w:val="none" w:sz="0" w:space="0" w:color="auto"/>
      </w:divBdr>
    </w:div>
    <w:div w:id="275908062">
      <w:bodyDiv w:val="1"/>
      <w:marLeft w:val="0"/>
      <w:marRight w:val="0"/>
      <w:marTop w:val="0"/>
      <w:marBottom w:val="0"/>
      <w:divBdr>
        <w:top w:val="none" w:sz="0" w:space="0" w:color="auto"/>
        <w:left w:val="none" w:sz="0" w:space="0" w:color="auto"/>
        <w:bottom w:val="none" w:sz="0" w:space="0" w:color="auto"/>
        <w:right w:val="none" w:sz="0" w:space="0" w:color="auto"/>
      </w:divBdr>
    </w:div>
    <w:div w:id="462040351">
      <w:bodyDiv w:val="1"/>
      <w:marLeft w:val="0"/>
      <w:marRight w:val="0"/>
      <w:marTop w:val="0"/>
      <w:marBottom w:val="0"/>
      <w:divBdr>
        <w:top w:val="none" w:sz="0" w:space="0" w:color="auto"/>
        <w:left w:val="none" w:sz="0" w:space="0" w:color="auto"/>
        <w:bottom w:val="none" w:sz="0" w:space="0" w:color="auto"/>
        <w:right w:val="none" w:sz="0" w:space="0" w:color="auto"/>
      </w:divBdr>
    </w:div>
    <w:div w:id="515924504">
      <w:bodyDiv w:val="1"/>
      <w:marLeft w:val="0"/>
      <w:marRight w:val="0"/>
      <w:marTop w:val="0"/>
      <w:marBottom w:val="0"/>
      <w:divBdr>
        <w:top w:val="none" w:sz="0" w:space="0" w:color="auto"/>
        <w:left w:val="none" w:sz="0" w:space="0" w:color="auto"/>
        <w:bottom w:val="none" w:sz="0" w:space="0" w:color="auto"/>
        <w:right w:val="none" w:sz="0" w:space="0" w:color="auto"/>
      </w:divBdr>
    </w:div>
    <w:div w:id="713970738">
      <w:bodyDiv w:val="1"/>
      <w:marLeft w:val="0"/>
      <w:marRight w:val="0"/>
      <w:marTop w:val="0"/>
      <w:marBottom w:val="0"/>
      <w:divBdr>
        <w:top w:val="none" w:sz="0" w:space="0" w:color="auto"/>
        <w:left w:val="none" w:sz="0" w:space="0" w:color="auto"/>
        <w:bottom w:val="none" w:sz="0" w:space="0" w:color="auto"/>
        <w:right w:val="none" w:sz="0" w:space="0" w:color="auto"/>
      </w:divBdr>
    </w:div>
    <w:div w:id="718362652">
      <w:bodyDiv w:val="1"/>
      <w:marLeft w:val="0"/>
      <w:marRight w:val="0"/>
      <w:marTop w:val="0"/>
      <w:marBottom w:val="0"/>
      <w:divBdr>
        <w:top w:val="none" w:sz="0" w:space="0" w:color="auto"/>
        <w:left w:val="none" w:sz="0" w:space="0" w:color="auto"/>
        <w:bottom w:val="none" w:sz="0" w:space="0" w:color="auto"/>
        <w:right w:val="none" w:sz="0" w:space="0" w:color="auto"/>
      </w:divBdr>
    </w:div>
    <w:div w:id="1042290413">
      <w:bodyDiv w:val="1"/>
      <w:marLeft w:val="0"/>
      <w:marRight w:val="0"/>
      <w:marTop w:val="0"/>
      <w:marBottom w:val="0"/>
      <w:divBdr>
        <w:top w:val="none" w:sz="0" w:space="0" w:color="auto"/>
        <w:left w:val="none" w:sz="0" w:space="0" w:color="auto"/>
        <w:bottom w:val="none" w:sz="0" w:space="0" w:color="auto"/>
        <w:right w:val="none" w:sz="0" w:space="0" w:color="auto"/>
      </w:divBdr>
    </w:div>
    <w:div w:id="1165123828">
      <w:bodyDiv w:val="1"/>
      <w:marLeft w:val="0"/>
      <w:marRight w:val="0"/>
      <w:marTop w:val="0"/>
      <w:marBottom w:val="0"/>
      <w:divBdr>
        <w:top w:val="none" w:sz="0" w:space="0" w:color="auto"/>
        <w:left w:val="none" w:sz="0" w:space="0" w:color="auto"/>
        <w:bottom w:val="none" w:sz="0" w:space="0" w:color="auto"/>
        <w:right w:val="none" w:sz="0" w:space="0" w:color="auto"/>
      </w:divBdr>
    </w:div>
    <w:div w:id="1197889010">
      <w:bodyDiv w:val="1"/>
      <w:marLeft w:val="0"/>
      <w:marRight w:val="0"/>
      <w:marTop w:val="0"/>
      <w:marBottom w:val="0"/>
      <w:divBdr>
        <w:top w:val="none" w:sz="0" w:space="0" w:color="auto"/>
        <w:left w:val="none" w:sz="0" w:space="0" w:color="auto"/>
        <w:bottom w:val="none" w:sz="0" w:space="0" w:color="auto"/>
        <w:right w:val="none" w:sz="0" w:space="0" w:color="auto"/>
      </w:divBdr>
    </w:div>
    <w:div w:id="1311058596">
      <w:bodyDiv w:val="1"/>
      <w:marLeft w:val="0"/>
      <w:marRight w:val="0"/>
      <w:marTop w:val="0"/>
      <w:marBottom w:val="0"/>
      <w:divBdr>
        <w:top w:val="none" w:sz="0" w:space="0" w:color="auto"/>
        <w:left w:val="none" w:sz="0" w:space="0" w:color="auto"/>
        <w:bottom w:val="none" w:sz="0" w:space="0" w:color="auto"/>
        <w:right w:val="none" w:sz="0" w:space="0" w:color="auto"/>
      </w:divBdr>
    </w:div>
    <w:div w:id="1373310577">
      <w:bodyDiv w:val="1"/>
      <w:marLeft w:val="0"/>
      <w:marRight w:val="0"/>
      <w:marTop w:val="0"/>
      <w:marBottom w:val="0"/>
      <w:divBdr>
        <w:top w:val="none" w:sz="0" w:space="0" w:color="auto"/>
        <w:left w:val="none" w:sz="0" w:space="0" w:color="auto"/>
        <w:bottom w:val="none" w:sz="0" w:space="0" w:color="auto"/>
        <w:right w:val="none" w:sz="0" w:space="0" w:color="auto"/>
      </w:divBdr>
    </w:div>
    <w:div w:id="1391732465">
      <w:bodyDiv w:val="1"/>
      <w:marLeft w:val="0"/>
      <w:marRight w:val="0"/>
      <w:marTop w:val="0"/>
      <w:marBottom w:val="0"/>
      <w:divBdr>
        <w:top w:val="none" w:sz="0" w:space="0" w:color="auto"/>
        <w:left w:val="none" w:sz="0" w:space="0" w:color="auto"/>
        <w:bottom w:val="none" w:sz="0" w:space="0" w:color="auto"/>
        <w:right w:val="none" w:sz="0" w:space="0" w:color="auto"/>
      </w:divBdr>
    </w:div>
    <w:div w:id="1415663530">
      <w:bodyDiv w:val="1"/>
      <w:marLeft w:val="0"/>
      <w:marRight w:val="0"/>
      <w:marTop w:val="0"/>
      <w:marBottom w:val="0"/>
      <w:divBdr>
        <w:top w:val="none" w:sz="0" w:space="0" w:color="auto"/>
        <w:left w:val="none" w:sz="0" w:space="0" w:color="auto"/>
        <w:bottom w:val="none" w:sz="0" w:space="0" w:color="auto"/>
        <w:right w:val="none" w:sz="0" w:space="0" w:color="auto"/>
      </w:divBdr>
    </w:div>
    <w:div w:id="1541361230">
      <w:bodyDiv w:val="1"/>
      <w:marLeft w:val="0"/>
      <w:marRight w:val="0"/>
      <w:marTop w:val="0"/>
      <w:marBottom w:val="0"/>
      <w:divBdr>
        <w:top w:val="none" w:sz="0" w:space="0" w:color="auto"/>
        <w:left w:val="none" w:sz="0" w:space="0" w:color="auto"/>
        <w:bottom w:val="none" w:sz="0" w:space="0" w:color="auto"/>
        <w:right w:val="none" w:sz="0" w:space="0" w:color="auto"/>
      </w:divBdr>
    </w:div>
    <w:div w:id="1736662881">
      <w:bodyDiv w:val="1"/>
      <w:marLeft w:val="0"/>
      <w:marRight w:val="0"/>
      <w:marTop w:val="0"/>
      <w:marBottom w:val="0"/>
      <w:divBdr>
        <w:top w:val="none" w:sz="0" w:space="0" w:color="auto"/>
        <w:left w:val="none" w:sz="0" w:space="0" w:color="auto"/>
        <w:bottom w:val="none" w:sz="0" w:space="0" w:color="auto"/>
        <w:right w:val="none" w:sz="0" w:space="0" w:color="auto"/>
      </w:divBdr>
    </w:div>
    <w:div w:id="1887255298">
      <w:bodyDiv w:val="1"/>
      <w:marLeft w:val="0"/>
      <w:marRight w:val="0"/>
      <w:marTop w:val="0"/>
      <w:marBottom w:val="0"/>
      <w:divBdr>
        <w:top w:val="none" w:sz="0" w:space="0" w:color="auto"/>
        <w:left w:val="none" w:sz="0" w:space="0" w:color="auto"/>
        <w:bottom w:val="none" w:sz="0" w:space="0" w:color="auto"/>
        <w:right w:val="none" w:sz="0" w:space="0" w:color="auto"/>
      </w:divBdr>
    </w:div>
    <w:div w:id="1912079058">
      <w:bodyDiv w:val="1"/>
      <w:marLeft w:val="0"/>
      <w:marRight w:val="0"/>
      <w:marTop w:val="0"/>
      <w:marBottom w:val="0"/>
      <w:divBdr>
        <w:top w:val="none" w:sz="0" w:space="0" w:color="auto"/>
        <w:left w:val="none" w:sz="0" w:space="0" w:color="auto"/>
        <w:bottom w:val="none" w:sz="0" w:space="0" w:color="auto"/>
        <w:right w:val="none" w:sz="0" w:space="0" w:color="auto"/>
      </w:divBdr>
    </w:div>
    <w:div w:id="2025472779">
      <w:bodyDiv w:val="1"/>
      <w:marLeft w:val="0"/>
      <w:marRight w:val="0"/>
      <w:marTop w:val="0"/>
      <w:marBottom w:val="0"/>
      <w:divBdr>
        <w:top w:val="none" w:sz="0" w:space="0" w:color="auto"/>
        <w:left w:val="none" w:sz="0" w:space="0" w:color="auto"/>
        <w:bottom w:val="none" w:sz="0" w:space="0" w:color="auto"/>
        <w:right w:val="none" w:sz="0" w:space="0" w:color="auto"/>
      </w:divBdr>
    </w:div>
    <w:div w:id="2049840325">
      <w:bodyDiv w:val="1"/>
      <w:marLeft w:val="0"/>
      <w:marRight w:val="0"/>
      <w:marTop w:val="0"/>
      <w:marBottom w:val="0"/>
      <w:divBdr>
        <w:top w:val="none" w:sz="0" w:space="0" w:color="auto"/>
        <w:left w:val="none" w:sz="0" w:space="0" w:color="auto"/>
        <w:bottom w:val="none" w:sz="0" w:space="0" w:color="auto"/>
        <w:right w:val="none" w:sz="0" w:space="0" w:color="auto"/>
      </w:divBdr>
    </w:div>
    <w:div w:id="2106463434">
      <w:bodyDiv w:val="1"/>
      <w:marLeft w:val="0"/>
      <w:marRight w:val="0"/>
      <w:marTop w:val="0"/>
      <w:marBottom w:val="0"/>
      <w:divBdr>
        <w:top w:val="none" w:sz="0" w:space="0" w:color="auto"/>
        <w:left w:val="none" w:sz="0" w:space="0" w:color="auto"/>
        <w:bottom w:val="none" w:sz="0" w:space="0" w:color="auto"/>
        <w:right w:val="none" w:sz="0" w:space="0" w:color="auto"/>
      </w:divBdr>
    </w:div>
    <w:div w:id="2127237140">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6466208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media/image2.jpeg" Type="http://schemas.openxmlformats.org/officeDocument/2006/relationships/image"/>
<Relationship Id="rId13" Target="footer2.xml" Type="http://schemas.openxmlformats.org/officeDocument/2006/relationships/footer"/>
<Relationship Id="rId14" Target="footer3.xml" Type="http://schemas.openxmlformats.org/officeDocument/2006/relationships/footer"/>
<Relationship Id="rId15" Target="fontTable.xml" Type="http://schemas.openxmlformats.org/officeDocument/2006/relationships/fontTable"/>
<Relationship Id="rId16"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_rels/settings.xml.rels><?xml version="1.0" encoding="UTF-8" standalone="no"?>
<Relationships xmlns="http://schemas.openxmlformats.org/package/2006/relationships">
<Relationship Id="rId1" Target="file:///C:/Users/Administrator/Desktop/abc&#23395;&#25253;.dot" TargetMode="External" Type="http://schemas.openxmlformats.org/officeDocument/2006/relationships/attachedTemplat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7A78F-54B7-45A2-9BB7-D03F314BD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abc季报.dot</Template>
  <TotalTime>71</TotalTime>
  <Pages>30</Pages>
  <Words>4542</Words>
  <Characters>25891</Characters>
  <Application>Microsoft Office Word</Application>
  <DocSecurity>0</DocSecurity>
  <Lines>215</Lines>
  <Paragraphs>60</Paragraphs>
  <ScaleCrop>false</ScaleCrop>
  <Company>TRT. Ltd. Co.</Company>
  <LinksUpToDate>false</LinksUpToDate>
  <CharactersWithSpaces>30373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2014-12-16T08:49:00Z</dcterms:created>
  <dc:creator>bonnieliu</dc:creator>
  <cp:lastModifiedBy>sirong han</cp:lastModifiedBy>
  <cp:lastPrinted>2007-07-19T00:46:00Z</cp:lastPrinted>
  <dcterms:modified xsi:type="dcterms:W3CDTF">2020-07-09T03:00:00Z</dcterms:modified>
  <cp:revision>54</cp:revision>
</cp:coreProperties>
</file>