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易方达恒久添利1年定期开放债券型证券投资基金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中国工商银行股份有限公司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E85808" w:rsidRDefault="00E076A7">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E85808" w:rsidRDefault="00E076A7">
      <w:pPr>
        <w:spacing w:line="360" w:lineRule="auto"/>
        <w:ind w:firstLineChars="200" w:firstLine="480"/>
        <w:rPr>
          <w:color w:val="000000"/>
          <w:sz w:val="24"/>
        </w:rPr>
      </w:pPr>
      <w:r>
        <w:rPr>
          <w:color w:val="000000"/>
          <w:sz w:val="24"/>
        </w:rPr>
        <w:t>基金托管人中国工商银行股份有限公司根据本基金合同规定，于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E85808" w:rsidRDefault="00E076A7">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E85808" w:rsidRDefault="00E076A7">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E85808" w:rsidRDefault="00E076A7">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易方达恒久</w:t>
            </w:r>
            <w:r w:rsidRPr="00C30CFF">
              <w:rPr>
                <w:color w:val="000000"/>
                <w:kern w:val="0"/>
                <w:sz w:val="24"/>
              </w:rPr>
              <w:t>1</w:t>
            </w:r>
            <w:r w:rsidRPr="00C30CFF">
              <w:rPr>
                <w:color w:val="000000"/>
                <w:kern w:val="0"/>
                <w:sz w:val="24"/>
              </w:rPr>
              <w:t>年定期债券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000265</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2014</w:t>
            </w:r>
            <w:r w:rsidRPr="00C30CFF">
              <w:rPr>
                <w:color w:val="000000"/>
                <w:kern w:val="0"/>
                <w:sz w:val="24"/>
              </w:rPr>
              <w:t>年</w:t>
            </w:r>
            <w:r w:rsidRPr="00C30CFF">
              <w:rPr>
                <w:color w:val="000000"/>
                <w:kern w:val="0"/>
                <w:sz w:val="24"/>
              </w:rPr>
              <w:t>9</w:t>
            </w:r>
            <w:r w:rsidRPr="00C30CFF">
              <w:rPr>
                <w:color w:val="000000"/>
                <w:kern w:val="0"/>
                <w:sz w:val="24"/>
              </w:rPr>
              <w:t>月</w:t>
            </w:r>
            <w:r w:rsidRPr="00C30CFF">
              <w:rPr>
                <w:color w:val="000000"/>
                <w:kern w:val="0"/>
                <w:sz w:val="24"/>
              </w:rPr>
              <w:t>10</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1,096,851,701.36</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本基金在追求基金资产长期稳健增值的基础上，力争为基金份额持有人创造超越业绩比较基准的稳定收益。</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E85808" w:rsidRDefault="00E076A7">
            <w:pPr>
              <w:adjustRightInd w:val="0"/>
              <w:spacing w:before="29" w:line="360" w:lineRule="auto"/>
              <w:ind w:left="17"/>
              <w:jc w:val="left"/>
              <w:rPr>
                <w:color w:val="000000"/>
                <w:sz w:val="24"/>
              </w:rPr>
            </w:pPr>
            <w:r>
              <w:rPr>
                <w:color w:val="000000"/>
                <w:kern w:val="0"/>
                <w:sz w:val="24"/>
              </w:rPr>
              <w:t>在封闭期，本基金将密切关注宏观经济走势，深入分析货币和财政政策、市场资金供求情况、证券市场走势等，综合考量各类资产的市场容量、流动性和风险特征等因素，在银行存款、债券和现金等资产类别之间进行动态配置，确定最优配置比例。根</w:t>
            </w:r>
            <w:r>
              <w:rPr>
                <w:color w:val="000000"/>
                <w:kern w:val="0"/>
                <w:sz w:val="24"/>
              </w:rPr>
              <w:lastRenderedPageBreak/>
              <w:t>据对宏观经济变量和政策的分析，预测收益率曲线的变动趋势，综合考虑组合流动性决定投资品种；并据此调整投资组合的平均久期，提高组合的总投资收益。同时根据对资金面的综合分析，判断利差套利空间，通过杠杆操作放大组合收益。</w:t>
            </w:r>
          </w:p>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在开放期，本基金为保持较高的组合流动性，方便投资人投资，在遵守有关投资限制与投资比例的前提下，主要投资于高流动性投资品种，减小基金净值波动。</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中国人民银行公布的一年期银行定期整存整取存款利率（税后）</w:t>
            </w:r>
            <w:r w:rsidRPr="00C30CFF">
              <w:rPr>
                <w:color w:val="000000"/>
                <w:kern w:val="0"/>
                <w:sz w:val="24"/>
              </w:rPr>
              <w:t>+1.2%</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中国工商银行股份有限公司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易方达恒久</w:t>
            </w:r>
            <w:r w:rsidRPr="00C30CFF">
              <w:rPr>
                <w:sz w:val="24"/>
              </w:rPr>
              <w:t>1</w:t>
            </w:r>
            <w:r w:rsidRPr="00C30CFF">
              <w:rPr>
                <w:sz w:val="24"/>
              </w:rPr>
              <w:t>年定期债券</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易方达恒久</w:t>
            </w:r>
            <w:r w:rsidRPr="00C30CFF">
              <w:rPr>
                <w:sz w:val="24"/>
              </w:rPr>
              <w:t>1</w:t>
            </w:r>
            <w:r w:rsidRPr="00C30CFF">
              <w:rPr>
                <w:sz w:val="24"/>
              </w:rPr>
              <w:t>年定期债券</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000265</w:t>
            </w:r>
          </w:p>
        </w:tc>
        <w:tc>
          <w:tcPr>
            <w:tcW w:w="2790" w:type="dxa"/>
            <w:vAlign w:val="center"/>
          </w:tcPr>
          <w:p w:rsidR="00F016DD" w:rsidRPr="00C30CFF" w:rsidRDefault="00F016DD" w:rsidP="00950413">
            <w:pPr>
              <w:jc w:val="left"/>
              <w:rPr>
                <w:color w:val="000000"/>
                <w:sz w:val="24"/>
              </w:rPr>
            </w:pPr>
            <w:r w:rsidRPr="00C30CFF">
              <w:rPr>
                <w:color w:val="000000"/>
                <w:sz w:val="24"/>
              </w:rPr>
              <w:t>000266</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1,071,498,588.88</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25,353,112.48</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易方达恒久</w:t>
            </w:r>
            <w:r w:rsidRPr="00FA472B">
              <w:rPr>
                <w:sz w:val="24"/>
              </w:rPr>
              <w:t>1</w:t>
            </w:r>
            <w:r w:rsidRPr="00FA472B">
              <w:rPr>
                <w:sz w:val="24"/>
              </w:rPr>
              <w:t>年定期债券</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易方达恒久</w:t>
            </w:r>
            <w:r w:rsidRPr="00FA472B">
              <w:rPr>
                <w:sz w:val="24"/>
              </w:rPr>
              <w:t>1</w:t>
            </w:r>
            <w:r w:rsidRPr="00FA472B">
              <w:rPr>
                <w:sz w:val="24"/>
              </w:rPr>
              <w:t>年定期债券</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12,003,901.03</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257,944.22</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3,275,628.87</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51,439.72</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0.0031</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0.0020</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1,075,552,488.20</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25,414,644.39</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1.004</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1.002</w:t>
            </w:r>
          </w:p>
        </w:tc>
      </w:tr>
    </w:tbl>
    <w:p w:rsidR="00E85808" w:rsidRDefault="00E076A7">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易方达恒久1年定期债券A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E85808">
        <w:tc>
          <w:tcPr>
            <w:tcW w:w="1290" w:type="dxa"/>
            <w:vAlign w:val="center"/>
          </w:tcPr>
          <w:p w:rsidR="00E85808" w:rsidRDefault="00E076A7">
            <w:pPr>
              <w:jc w:val="left"/>
            </w:pPr>
            <w:r>
              <w:rPr>
                <w:color w:val="000000"/>
                <w:sz w:val="24"/>
              </w:rPr>
              <w:t>过去三个月</w:t>
            </w:r>
          </w:p>
        </w:tc>
        <w:tc>
          <w:tcPr>
            <w:tcW w:w="1291" w:type="dxa"/>
            <w:vAlign w:val="center"/>
          </w:tcPr>
          <w:p w:rsidR="00E85808" w:rsidRDefault="00E076A7">
            <w:pPr>
              <w:jc w:val="center"/>
            </w:pPr>
            <w:r>
              <w:rPr>
                <w:color w:val="000000"/>
                <w:sz w:val="24"/>
              </w:rPr>
              <w:t>0.27%</w:t>
            </w:r>
          </w:p>
        </w:tc>
        <w:tc>
          <w:tcPr>
            <w:tcW w:w="1291" w:type="dxa"/>
            <w:vAlign w:val="center"/>
          </w:tcPr>
          <w:p w:rsidR="00E85808" w:rsidRDefault="00E076A7">
            <w:pPr>
              <w:jc w:val="center"/>
            </w:pPr>
            <w:r>
              <w:rPr>
                <w:color w:val="000000"/>
                <w:sz w:val="24"/>
              </w:rPr>
              <w:t>0.09%</w:t>
            </w:r>
          </w:p>
        </w:tc>
        <w:tc>
          <w:tcPr>
            <w:tcW w:w="1291" w:type="dxa"/>
            <w:vAlign w:val="center"/>
          </w:tcPr>
          <w:p w:rsidR="00E85808" w:rsidRDefault="00E076A7">
            <w:pPr>
              <w:jc w:val="center"/>
            </w:pPr>
            <w:r>
              <w:rPr>
                <w:color w:val="000000"/>
                <w:sz w:val="24"/>
              </w:rPr>
              <w:t>0.68%</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-0.41%</w:t>
            </w:r>
          </w:p>
        </w:tc>
        <w:tc>
          <w:tcPr>
            <w:tcW w:w="1291" w:type="dxa"/>
            <w:vAlign w:val="center"/>
          </w:tcPr>
          <w:p w:rsidR="00E85808" w:rsidRDefault="00E076A7">
            <w:pPr>
              <w:jc w:val="center"/>
            </w:pPr>
            <w:r>
              <w:rPr>
                <w:color w:val="000000"/>
                <w:sz w:val="24"/>
              </w:rPr>
              <w:t>0.08%</w:t>
            </w:r>
          </w:p>
        </w:tc>
      </w:tr>
      <w:tr w:rsidR="00E85808">
        <w:tc>
          <w:tcPr>
            <w:tcW w:w="1290" w:type="dxa"/>
            <w:vAlign w:val="center"/>
          </w:tcPr>
          <w:p w:rsidR="00E85808" w:rsidRDefault="00E076A7">
            <w:pPr>
              <w:jc w:val="left"/>
            </w:pPr>
            <w:r>
              <w:rPr>
                <w:color w:val="000000"/>
                <w:sz w:val="24"/>
              </w:rPr>
              <w:t>过去六个月</w:t>
            </w:r>
          </w:p>
        </w:tc>
        <w:tc>
          <w:tcPr>
            <w:tcW w:w="1291" w:type="dxa"/>
            <w:vAlign w:val="center"/>
          </w:tcPr>
          <w:p w:rsidR="00E85808" w:rsidRDefault="00E076A7">
            <w:pPr>
              <w:jc w:val="center"/>
            </w:pPr>
            <w:r>
              <w:rPr>
                <w:color w:val="000000"/>
                <w:sz w:val="24"/>
              </w:rPr>
              <w:t>2.54%</w:t>
            </w:r>
          </w:p>
        </w:tc>
        <w:tc>
          <w:tcPr>
            <w:tcW w:w="1291" w:type="dxa"/>
            <w:vAlign w:val="center"/>
          </w:tcPr>
          <w:p w:rsidR="00E85808" w:rsidRDefault="00E076A7">
            <w:pPr>
              <w:jc w:val="center"/>
            </w:pPr>
            <w:r>
              <w:rPr>
                <w:color w:val="000000"/>
                <w:sz w:val="24"/>
              </w:rPr>
              <w:t>0.09%</w:t>
            </w:r>
          </w:p>
        </w:tc>
        <w:tc>
          <w:tcPr>
            <w:tcW w:w="1291" w:type="dxa"/>
            <w:vAlign w:val="center"/>
          </w:tcPr>
          <w:p w:rsidR="00E85808" w:rsidRDefault="00E076A7">
            <w:pPr>
              <w:jc w:val="center"/>
            </w:pPr>
            <w:r>
              <w:rPr>
                <w:color w:val="000000"/>
                <w:sz w:val="24"/>
              </w:rPr>
              <w:t>1.37%</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1.17%</w:t>
            </w:r>
          </w:p>
        </w:tc>
        <w:tc>
          <w:tcPr>
            <w:tcW w:w="1291" w:type="dxa"/>
            <w:vAlign w:val="center"/>
          </w:tcPr>
          <w:p w:rsidR="00E85808" w:rsidRDefault="00E076A7">
            <w:pPr>
              <w:jc w:val="center"/>
            </w:pPr>
            <w:r>
              <w:rPr>
                <w:color w:val="000000"/>
                <w:sz w:val="24"/>
              </w:rPr>
              <w:t>0.08%</w:t>
            </w:r>
          </w:p>
        </w:tc>
      </w:tr>
      <w:tr w:rsidR="00E85808">
        <w:tc>
          <w:tcPr>
            <w:tcW w:w="1290" w:type="dxa"/>
            <w:vAlign w:val="center"/>
          </w:tcPr>
          <w:p w:rsidR="00E85808" w:rsidRDefault="00E076A7">
            <w:pPr>
              <w:jc w:val="left"/>
            </w:pPr>
            <w:r>
              <w:rPr>
                <w:color w:val="000000"/>
                <w:sz w:val="24"/>
              </w:rPr>
              <w:t>过去一年</w:t>
            </w:r>
          </w:p>
        </w:tc>
        <w:tc>
          <w:tcPr>
            <w:tcW w:w="1291" w:type="dxa"/>
            <w:vAlign w:val="center"/>
          </w:tcPr>
          <w:p w:rsidR="00E85808" w:rsidRDefault="00E076A7">
            <w:pPr>
              <w:jc w:val="center"/>
            </w:pPr>
            <w:r>
              <w:rPr>
                <w:color w:val="000000"/>
                <w:sz w:val="24"/>
              </w:rPr>
              <w:t>5.23%</w:t>
            </w:r>
          </w:p>
        </w:tc>
        <w:tc>
          <w:tcPr>
            <w:tcW w:w="1291" w:type="dxa"/>
            <w:vAlign w:val="center"/>
          </w:tcPr>
          <w:p w:rsidR="00E85808" w:rsidRDefault="00E076A7">
            <w:pPr>
              <w:jc w:val="center"/>
            </w:pPr>
            <w:r>
              <w:rPr>
                <w:color w:val="000000"/>
                <w:sz w:val="24"/>
              </w:rPr>
              <w:t>0.07%</w:t>
            </w:r>
          </w:p>
        </w:tc>
        <w:tc>
          <w:tcPr>
            <w:tcW w:w="1291" w:type="dxa"/>
            <w:vAlign w:val="center"/>
          </w:tcPr>
          <w:p w:rsidR="00E85808" w:rsidRDefault="00E076A7">
            <w:pPr>
              <w:jc w:val="center"/>
            </w:pPr>
            <w:r>
              <w:rPr>
                <w:color w:val="000000"/>
                <w:sz w:val="24"/>
              </w:rPr>
              <w:t>2.75%</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2.48%</w:t>
            </w:r>
          </w:p>
        </w:tc>
        <w:tc>
          <w:tcPr>
            <w:tcW w:w="1291" w:type="dxa"/>
            <w:vAlign w:val="center"/>
          </w:tcPr>
          <w:p w:rsidR="00E85808" w:rsidRDefault="00E076A7">
            <w:pPr>
              <w:jc w:val="center"/>
            </w:pPr>
            <w:r>
              <w:rPr>
                <w:color w:val="000000"/>
                <w:sz w:val="24"/>
              </w:rPr>
              <w:t>0.06%</w:t>
            </w:r>
          </w:p>
        </w:tc>
      </w:tr>
      <w:tr w:rsidR="00E85808">
        <w:tc>
          <w:tcPr>
            <w:tcW w:w="1290" w:type="dxa"/>
            <w:vAlign w:val="center"/>
          </w:tcPr>
          <w:p w:rsidR="00E85808" w:rsidRDefault="00E076A7">
            <w:pPr>
              <w:jc w:val="left"/>
            </w:pPr>
            <w:r>
              <w:rPr>
                <w:color w:val="000000"/>
                <w:sz w:val="24"/>
              </w:rPr>
              <w:t>过去三年</w:t>
            </w:r>
          </w:p>
        </w:tc>
        <w:tc>
          <w:tcPr>
            <w:tcW w:w="1291" w:type="dxa"/>
            <w:vAlign w:val="center"/>
          </w:tcPr>
          <w:p w:rsidR="00E85808" w:rsidRDefault="00E076A7">
            <w:pPr>
              <w:jc w:val="center"/>
            </w:pPr>
            <w:r>
              <w:rPr>
                <w:color w:val="000000"/>
                <w:sz w:val="24"/>
              </w:rPr>
              <w:t>18.54%</w:t>
            </w:r>
          </w:p>
        </w:tc>
        <w:tc>
          <w:tcPr>
            <w:tcW w:w="1291" w:type="dxa"/>
            <w:vAlign w:val="center"/>
          </w:tcPr>
          <w:p w:rsidR="00E85808" w:rsidRDefault="00E076A7">
            <w:pPr>
              <w:jc w:val="center"/>
            </w:pPr>
            <w:r>
              <w:rPr>
                <w:color w:val="000000"/>
                <w:sz w:val="24"/>
              </w:rPr>
              <w:t>0.06%</w:t>
            </w:r>
          </w:p>
        </w:tc>
        <w:tc>
          <w:tcPr>
            <w:tcW w:w="1291" w:type="dxa"/>
            <w:vAlign w:val="center"/>
          </w:tcPr>
          <w:p w:rsidR="00E85808" w:rsidRDefault="00E076A7">
            <w:pPr>
              <w:jc w:val="center"/>
            </w:pPr>
            <w:r>
              <w:rPr>
                <w:color w:val="000000"/>
                <w:sz w:val="24"/>
              </w:rPr>
              <w:t>8.22%</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10.32%</w:t>
            </w:r>
          </w:p>
        </w:tc>
        <w:tc>
          <w:tcPr>
            <w:tcW w:w="1291" w:type="dxa"/>
            <w:vAlign w:val="center"/>
          </w:tcPr>
          <w:p w:rsidR="00E85808" w:rsidRDefault="00E076A7">
            <w:pPr>
              <w:jc w:val="center"/>
            </w:pPr>
            <w:r>
              <w:rPr>
                <w:color w:val="000000"/>
                <w:sz w:val="24"/>
              </w:rPr>
              <w:t>0.05%</w:t>
            </w:r>
          </w:p>
        </w:tc>
      </w:tr>
      <w:tr w:rsidR="00E85808">
        <w:tc>
          <w:tcPr>
            <w:tcW w:w="1290" w:type="dxa"/>
            <w:vAlign w:val="center"/>
          </w:tcPr>
          <w:p w:rsidR="00E85808" w:rsidRDefault="00E076A7">
            <w:pPr>
              <w:jc w:val="left"/>
            </w:pPr>
            <w:r>
              <w:rPr>
                <w:color w:val="000000"/>
                <w:sz w:val="24"/>
              </w:rPr>
              <w:t>过去五年</w:t>
            </w:r>
          </w:p>
        </w:tc>
        <w:tc>
          <w:tcPr>
            <w:tcW w:w="1291" w:type="dxa"/>
            <w:vAlign w:val="center"/>
          </w:tcPr>
          <w:p w:rsidR="00E85808" w:rsidRDefault="00E076A7">
            <w:pPr>
              <w:jc w:val="center"/>
            </w:pPr>
            <w:r>
              <w:rPr>
                <w:color w:val="000000"/>
                <w:sz w:val="24"/>
              </w:rPr>
              <w:t>25.51%</w:t>
            </w:r>
          </w:p>
        </w:tc>
        <w:tc>
          <w:tcPr>
            <w:tcW w:w="1291" w:type="dxa"/>
            <w:vAlign w:val="center"/>
          </w:tcPr>
          <w:p w:rsidR="00E85808" w:rsidRDefault="00E076A7">
            <w:pPr>
              <w:jc w:val="center"/>
            </w:pPr>
            <w:r>
              <w:rPr>
                <w:color w:val="000000"/>
                <w:sz w:val="24"/>
              </w:rPr>
              <w:t>0.08%</w:t>
            </w:r>
          </w:p>
        </w:tc>
        <w:tc>
          <w:tcPr>
            <w:tcW w:w="1291" w:type="dxa"/>
            <w:vAlign w:val="center"/>
          </w:tcPr>
          <w:p w:rsidR="00E85808" w:rsidRDefault="00E076A7">
            <w:pPr>
              <w:jc w:val="center"/>
            </w:pPr>
            <w:r>
              <w:rPr>
                <w:color w:val="000000"/>
                <w:sz w:val="24"/>
              </w:rPr>
              <w:t>14.28%</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11.23%</w:t>
            </w:r>
          </w:p>
        </w:tc>
        <w:tc>
          <w:tcPr>
            <w:tcW w:w="1291" w:type="dxa"/>
            <w:vAlign w:val="center"/>
          </w:tcPr>
          <w:p w:rsidR="00E85808" w:rsidRDefault="00E076A7">
            <w:pPr>
              <w:jc w:val="center"/>
            </w:pPr>
            <w:r>
              <w:rPr>
                <w:color w:val="000000"/>
                <w:sz w:val="24"/>
              </w:rPr>
              <w:t>0.07%</w:t>
            </w:r>
          </w:p>
        </w:tc>
      </w:tr>
      <w:tr w:rsidR="00E85808">
        <w:tc>
          <w:tcPr>
            <w:tcW w:w="1290" w:type="dxa"/>
            <w:vAlign w:val="center"/>
          </w:tcPr>
          <w:p w:rsidR="00E85808" w:rsidRDefault="00E076A7">
            <w:pPr>
              <w:jc w:val="left"/>
            </w:pPr>
            <w:r>
              <w:rPr>
                <w:color w:val="000000"/>
                <w:sz w:val="24"/>
              </w:rPr>
              <w:t>自基金合同生效起至今</w:t>
            </w:r>
          </w:p>
        </w:tc>
        <w:tc>
          <w:tcPr>
            <w:tcW w:w="1291" w:type="dxa"/>
            <w:vAlign w:val="center"/>
          </w:tcPr>
          <w:p w:rsidR="00E85808" w:rsidRDefault="00E076A7">
            <w:pPr>
              <w:jc w:val="center"/>
            </w:pPr>
            <w:r>
              <w:rPr>
                <w:color w:val="000000"/>
                <w:sz w:val="24"/>
              </w:rPr>
              <w:t>32.29%</w:t>
            </w:r>
          </w:p>
        </w:tc>
        <w:tc>
          <w:tcPr>
            <w:tcW w:w="1291" w:type="dxa"/>
            <w:vAlign w:val="center"/>
          </w:tcPr>
          <w:p w:rsidR="00E85808" w:rsidRDefault="00E076A7">
            <w:pPr>
              <w:jc w:val="center"/>
            </w:pPr>
            <w:r>
              <w:rPr>
                <w:color w:val="000000"/>
                <w:sz w:val="24"/>
              </w:rPr>
              <w:t>0.08%</w:t>
            </w:r>
          </w:p>
        </w:tc>
        <w:tc>
          <w:tcPr>
            <w:tcW w:w="1291" w:type="dxa"/>
            <w:vAlign w:val="center"/>
          </w:tcPr>
          <w:p w:rsidR="00E85808" w:rsidRDefault="00E076A7">
            <w:pPr>
              <w:jc w:val="center"/>
            </w:pPr>
            <w:r>
              <w:rPr>
                <w:color w:val="000000"/>
                <w:sz w:val="24"/>
              </w:rPr>
              <w:t>17.71%</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14.58%</w:t>
            </w:r>
          </w:p>
        </w:tc>
        <w:tc>
          <w:tcPr>
            <w:tcW w:w="1291" w:type="dxa"/>
            <w:vAlign w:val="center"/>
          </w:tcPr>
          <w:p w:rsidR="00E85808" w:rsidRDefault="00E076A7">
            <w:pPr>
              <w:jc w:val="center"/>
            </w:pPr>
            <w:r>
              <w:rPr>
                <w:color w:val="000000"/>
                <w:sz w:val="24"/>
              </w:rPr>
              <w:t>0.07%</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易方达恒久1年定期债券C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E85808">
        <w:tc>
          <w:tcPr>
            <w:tcW w:w="1290" w:type="dxa"/>
            <w:vAlign w:val="center"/>
          </w:tcPr>
          <w:p w:rsidR="00E85808" w:rsidRDefault="00E076A7">
            <w:pPr>
              <w:jc w:val="left"/>
            </w:pPr>
            <w:r>
              <w:rPr>
                <w:color w:val="000000"/>
                <w:sz w:val="24"/>
              </w:rPr>
              <w:lastRenderedPageBreak/>
              <w:t>过去三个月</w:t>
            </w:r>
          </w:p>
        </w:tc>
        <w:tc>
          <w:tcPr>
            <w:tcW w:w="1291" w:type="dxa"/>
            <w:vAlign w:val="center"/>
          </w:tcPr>
          <w:p w:rsidR="00E85808" w:rsidRDefault="00E076A7">
            <w:pPr>
              <w:jc w:val="center"/>
            </w:pPr>
            <w:r>
              <w:rPr>
                <w:color w:val="000000"/>
                <w:sz w:val="24"/>
              </w:rPr>
              <w:t>0.17%</w:t>
            </w:r>
          </w:p>
        </w:tc>
        <w:tc>
          <w:tcPr>
            <w:tcW w:w="1291" w:type="dxa"/>
            <w:vAlign w:val="center"/>
          </w:tcPr>
          <w:p w:rsidR="00E85808" w:rsidRDefault="00E076A7">
            <w:pPr>
              <w:jc w:val="center"/>
            </w:pPr>
            <w:r>
              <w:rPr>
                <w:color w:val="000000"/>
                <w:sz w:val="24"/>
              </w:rPr>
              <w:t>0.09%</w:t>
            </w:r>
          </w:p>
        </w:tc>
        <w:tc>
          <w:tcPr>
            <w:tcW w:w="1291" w:type="dxa"/>
            <w:vAlign w:val="center"/>
          </w:tcPr>
          <w:p w:rsidR="00E85808" w:rsidRDefault="00E076A7">
            <w:pPr>
              <w:jc w:val="center"/>
            </w:pPr>
            <w:r>
              <w:rPr>
                <w:color w:val="000000"/>
                <w:sz w:val="24"/>
              </w:rPr>
              <w:t>0.68%</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-0.51%</w:t>
            </w:r>
          </w:p>
        </w:tc>
        <w:tc>
          <w:tcPr>
            <w:tcW w:w="1291" w:type="dxa"/>
            <w:vAlign w:val="center"/>
          </w:tcPr>
          <w:p w:rsidR="00E85808" w:rsidRDefault="00E076A7">
            <w:pPr>
              <w:jc w:val="center"/>
            </w:pPr>
            <w:r>
              <w:rPr>
                <w:color w:val="000000"/>
                <w:sz w:val="24"/>
              </w:rPr>
              <w:t>0.08%</w:t>
            </w:r>
          </w:p>
        </w:tc>
      </w:tr>
      <w:tr w:rsidR="00E85808">
        <w:tc>
          <w:tcPr>
            <w:tcW w:w="1290" w:type="dxa"/>
            <w:vAlign w:val="center"/>
          </w:tcPr>
          <w:p w:rsidR="00E85808" w:rsidRDefault="00E076A7">
            <w:pPr>
              <w:jc w:val="left"/>
            </w:pPr>
            <w:r>
              <w:rPr>
                <w:color w:val="000000"/>
                <w:sz w:val="24"/>
              </w:rPr>
              <w:t>过去六个月</w:t>
            </w:r>
          </w:p>
        </w:tc>
        <w:tc>
          <w:tcPr>
            <w:tcW w:w="1291" w:type="dxa"/>
            <w:vAlign w:val="center"/>
          </w:tcPr>
          <w:p w:rsidR="00E85808" w:rsidRDefault="00E076A7">
            <w:pPr>
              <w:jc w:val="center"/>
            </w:pPr>
            <w:r>
              <w:rPr>
                <w:color w:val="000000"/>
                <w:sz w:val="24"/>
              </w:rPr>
              <w:t>2.24%</w:t>
            </w:r>
          </w:p>
        </w:tc>
        <w:tc>
          <w:tcPr>
            <w:tcW w:w="1291" w:type="dxa"/>
            <w:vAlign w:val="center"/>
          </w:tcPr>
          <w:p w:rsidR="00E85808" w:rsidRDefault="00E076A7">
            <w:pPr>
              <w:jc w:val="center"/>
            </w:pPr>
            <w:r>
              <w:rPr>
                <w:color w:val="000000"/>
                <w:sz w:val="24"/>
              </w:rPr>
              <w:t>0.09%</w:t>
            </w:r>
          </w:p>
        </w:tc>
        <w:tc>
          <w:tcPr>
            <w:tcW w:w="1291" w:type="dxa"/>
            <w:vAlign w:val="center"/>
          </w:tcPr>
          <w:p w:rsidR="00E85808" w:rsidRDefault="00E076A7">
            <w:pPr>
              <w:jc w:val="center"/>
            </w:pPr>
            <w:r>
              <w:rPr>
                <w:color w:val="000000"/>
                <w:sz w:val="24"/>
              </w:rPr>
              <w:t>1.37%</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0.87%</w:t>
            </w:r>
          </w:p>
        </w:tc>
        <w:tc>
          <w:tcPr>
            <w:tcW w:w="1291" w:type="dxa"/>
            <w:vAlign w:val="center"/>
          </w:tcPr>
          <w:p w:rsidR="00E85808" w:rsidRDefault="00E076A7">
            <w:pPr>
              <w:jc w:val="center"/>
            </w:pPr>
            <w:r>
              <w:rPr>
                <w:color w:val="000000"/>
                <w:sz w:val="24"/>
              </w:rPr>
              <w:t>0.08%</w:t>
            </w:r>
          </w:p>
        </w:tc>
      </w:tr>
      <w:tr w:rsidR="00E85808">
        <w:tc>
          <w:tcPr>
            <w:tcW w:w="1290" w:type="dxa"/>
            <w:vAlign w:val="center"/>
          </w:tcPr>
          <w:p w:rsidR="00E85808" w:rsidRDefault="00E076A7">
            <w:pPr>
              <w:jc w:val="left"/>
            </w:pPr>
            <w:r>
              <w:rPr>
                <w:color w:val="000000"/>
                <w:sz w:val="24"/>
              </w:rPr>
              <w:t>过去一年</w:t>
            </w:r>
          </w:p>
        </w:tc>
        <w:tc>
          <w:tcPr>
            <w:tcW w:w="1291" w:type="dxa"/>
            <w:vAlign w:val="center"/>
          </w:tcPr>
          <w:p w:rsidR="00E85808" w:rsidRDefault="00E076A7">
            <w:pPr>
              <w:jc w:val="center"/>
            </w:pPr>
            <w:r>
              <w:rPr>
                <w:color w:val="000000"/>
                <w:sz w:val="24"/>
              </w:rPr>
              <w:t>4.74%</w:t>
            </w:r>
          </w:p>
        </w:tc>
        <w:tc>
          <w:tcPr>
            <w:tcW w:w="1291" w:type="dxa"/>
            <w:vAlign w:val="center"/>
          </w:tcPr>
          <w:p w:rsidR="00E85808" w:rsidRDefault="00E076A7">
            <w:pPr>
              <w:jc w:val="center"/>
            </w:pPr>
            <w:r>
              <w:rPr>
                <w:color w:val="000000"/>
                <w:sz w:val="24"/>
              </w:rPr>
              <w:t>0.07%</w:t>
            </w:r>
          </w:p>
        </w:tc>
        <w:tc>
          <w:tcPr>
            <w:tcW w:w="1291" w:type="dxa"/>
            <w:vAlign w:val="center"/>
          </w:tcPr>
          <w:p w:rsidR="00E85808" w:rsidRDefault="00E076A7">
            <w:pPr>
              <w:jc w:val="center"/>
            </w:pPr>
            <w:r>
              <w:rPr>
                <w:color w:val="000000"/>
                <w:sz w:val="24"/>
              </w:rPr>
              <w:t>2.75%</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1.99%</w:t>
            </w:r>
          </w:p>
        </w:tc>
        <w:tc>
          <w:tcPr>
            <w:tcW w:w="1291" w:type="dxa"/>
            <w:vAlign w:val="center"/>
          </w:tcPr>
          <w:p w:rsidR="00E85808" w:rsidRDefault="00E076A7">
            <w:pPr>
              <w:jc w:val="center"/>
            </w:pPr>
            <w:r>
              <w:rPr>
                <w:color w:val="000000"/>
                <w:sz w:val="24"/>
              </w:rPr>
              <w:t>0.06%</w:t>
            </w:r>
          </w:p>
        </w:tc>
      </w:tr>
      <w:tr w:rsidR="00E85808">
        <w:tc>
          <w:tcPr>
            <w:tcW w:w="1290" w:type="dxa"/>
            <w:vAlign w:val="center"/>
          </w:tcPr>
          <w:p w:rsidR="00E85808" w:rsidRDefault="00E076A7">
            <w:pPr>
              <w:jc w:val="left"/>
            </w:pPr>
            <w:r>
              <w:rPr>
                <w:color w:val="000000"/>
                <w:sz w:val="24"/>
              </w:rPr>
              <w:t>过去三年</w:t>
            </w:r>
          </w:p>
        </w:tc>
        <w:tc>
          <w:tcPr>
            <w:tcW w:w="1291" w:type="dxa"/>
            <w:vAlign w:val="center"/>
          </w:tcPr>
          <w:p w:rsidR="00E85808" w:rsidRDefault="00E076A7">
            <w:pPr>
              <w:jc w:val="center"/>
            </w:pPr>
            <w:r>
              <w:rPr>
                <w:color w:val="000000"/>
                <w:sz w:val="24"/>
              </w:rPr>
              <w:t>16.99%</w:t>
            </w:r>
          </w:p>
        </w:tc>
        <w:tc>
          <w:tcPr>
            <w:tcW w:w="1291" w:type="dxa"/>
            <w:vAlign w:val="center"/>
          </w:tcPr>
          <w:p w:rsidR="00E85808" w:rsidRDefault="00E076A7">
            <w:pPr>
              <w:jc w:val="center"/>
            </w:pPr>
            <w:r>
              <w:rPr>
                <w:color w:val="000000"/>
                <w:sz w:val="24"/>
              </w:rPr>
              <w:t>0.06%</w:t>
            </w:r>
          </w:p>
        </w:tc>
        <w:tc>
          <w:tcPr>
            <w:tcW w:w="1291" w:type="dxa"/>
            <w:vAlign w:val="center"/>
          </w:tcPr>
          <w:p w:rsidR="00E85808" w:rsidRDefault="00E076A7">
            <w:pPr>
              <w:jc w:val="center"/>
            </w:pPr>
            <w:r>
              <w:rPr>
                <w:color w:val="000000"/>
                <w:sz w:val="24"/>
              </w:rPr>
              <w:t>8.22%</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8.77%</w:t>
            </w:r>
          </w:p>
        </w:tc>
        <w:tc>
          <w:tcPr>
            <w:tcW w:w="1291" w:type="dxa"/>
            <w:vAlign w:val="center"/>
          </w:tcPr>
          <w:p w:rsidR="00E85808" w:rsidRDefault="00E076A7">
            <w:pPr>
              <w:jc w:val="center"/>
            </w:pPr>
            <w:r>
              <w:rPr>
                <w:color w:val="000000"/>
                <w:sz w:val="24"/>
              </w:rPr>
              <w:t>0.05%</w:t>
            </w:r>
          </w:p>
        </w:tc>
      </w:tr>
      <w:tr w:rsidR="00E85808">
        <w:tc>
          <w:tcPr>
            <w:tcW w:w="1290" w:type="dxa"/>
            <w:vAlign w:val="center"/>
          </w:tcPr>
          <w:p w:rsidR="00E85808" w:rsidRDefault="00E076A7">
            <w:pPr>
              <w:jc w:val="left"/>
            </w:pPr>
            <w:r>
              <w:rPr>
                <w:color w:val="000000"/>
                <w:sz w:val="24"/>
              </w:rPr>
              <w:t>过去五年</w:t>
            </w:r>
          </w:p>
        </w:tc>
        <w:tc>
          <w:tcPr>
            <w:tcW w:w="1291" w:type="dxa"/>
            <w:vAlign w:val="center"/>
          </w:tcPr>
          <w:p w:rsidR="00E85808" w:rsidRDefault="00E076A7">
            <w:pPr>
              <w:jc w:val="center"/>
            </w:pPr>
            <w:r>
              <w:rPr>
                <w:color w:val="000000"/>
                <w:sz w:val="24"/>
              </w:rPr>
              <w:t>23.01%</w:t>
            </w:r>
          </w:p>
        </w:tc>
        <w:tc>
          <w:tcPr>
            <w:tcW w:w="1291" w:type="dxa"/>
            <w:vAlign w:val="center"/>
          </w:tcPr>
          <w:p w:rsidR="00E85808" w:rsidRDefault="00E076A7">
            <w:pPr>
              <w:jc w:val="center"/>
            </w:pPr>
            <w:r>
              <w:rPr>
                <w:color w:val="000000"/>
                <w:sz w:val="24"/>
              </w:rPr>
              <w:t>0.08%</w:t>
            </w:r>
          </w:p>
        </w:tc>
        <w:tc>
          <w:tcPr>
            <w:tcW w:w="1291" w:type="dxa"/>
            <w:vAlign w:val="center"/>
          </w:tcPr>
          <w:p w:rsidR="00E85808" w:rsidRDefault="00E076A7">
            <w:pPr>
              <w:jc w:val="center"/>
            </w:pPr>
            <w:r>
              <w:rPr>
                <w:color w:val="000000"/>
                <w:sz w:val="24"/>
              </w:rPr>
              <w:t>14.28%</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8.73%</w:t>
            </w:r>
          </w:p>
        </w:tc>
        <w:tc>
          <w:tcPr>
            <w:tcW w:w="1291" w:type="dxa"/>
            <w:vAlign w:val="center"/>
          </w:tcPr>
          <w:p w:rsidR="00E85808" w:rsidRDefault="00E076A7">
            <w:pPr>
              <w:jc w:val="center"/>
            </w:pPr>
            <w:r>
              <w:rPr>
                <w:color w:val="000000"/>
                <w:sz w:val="24"/>
              </w:rPr>
              <w:t>0.07%</w:t>
            </w:r>
          </w:p>
        </w:tc>
      </w:tr>
      <w:tr w:rsidR="00E85808">
        <w:tc>
          <w:tcPr>
            <w:tcW w:w="1290" w:type="dxa"/>
            <w:vAlign w:val="center"/>
          </w:tcPr>
          <w:p w:rsidR="00E85808" w:rsidRDefault="00E076A7">
            <w:pPr>
              <w:jc w:val="left"/>
            </w:pPr>
            <w:r>
              <w:rPr>
                <w:color w:val="000000"/>
                <w:sz w:val="24"/>
              </w:rPr>
              <w:t>自基金合同生效起至今</w:t>
            </w:r>
          </w:p>
        </w:tc>
        <w:tc>
          <w:tcPr>
            <w:tcW w:w="1291" w:type="dxa"/>
            <w:vAlign w:val="center"/>
          </w:tcPr>
          <w:p w:rsidR="00E85808" w:rsidRDefault="00E076A7">
            <w:pPr>
              <w:jc w:val="center"/>
            </w:pPr>
            <w:r>
              <w:rPr>
                <w:color w:val="000000"/>
                <w:sz w:val="24"/>
              </w:rPr>
              <w:t>29.16%</w:t>
            </w:r>
          </w:p>
        </w:tc>
        <w:tc>
          <w:tcPr>
            <w:tcW w:w="1291" w:type="dxa"/>
            <w:vAlign w:val="center"/>
          </w:tcPr>
          <w:p w:rsidR="00E85808" w:rsidRDefault="00E076A7">
            <w:pPr>
              <w:jc w:val="center"/>
            </w:pPr>
            <w:r>
              <w:rPr>
                <w:color w:val="000000"/>
                <w:sz w:val="24"/>
              </w:rPr>
              <w:t>0.08%</w:t>
            </w:r>
          </w:p>
        </w:tc>
        <w:tc>
          <w:tcPr>
            <w:tcW w:w="1291" w:type="dxa"/>
            <w:vAlign w:val="center"/>
          </w:tcPr>
          <w:p w:rsidR="00E85808" w:rsidRDefault="00E076A7">
            <w:pPr>
              <w:jc w:val="center"/>
            </w:pPr>
            <w:r>
              <w:rPr>
                <w:color w:val="000000"/>
                <w:sz w:val="24"/>
              </w:rPr>
              <w:t>17.71%</w:t>
            </w:r>
          </w:p>
        </w:tc>
        <w:tc>
          <w:tcPr>
            <w:tcW w:w="1291" w:type="dxa"/>
            <w:vAlign w:val="center"/>
          </w:tcPr>
          <w:p w:rsidR="00E85808" w:rsidRDefault="00E076A7">
            <w:pPr>
              <w:jc w:val="center"/>
            </w:pPr>
            <w:r>
              <w:rPr>
                <w:color w:val="000000"/>
                <w:sz w:val="24"/>
              </w:rPr>
              <w:t>0.01%</w:t>
            </w:r>
          </w:p>
        </w:tc>
        <w:tc>
          <w:tcPr>
            <w:tcW w:w="1291" w:type="dxa"/>
            <w:vAlign w:val="center"/>
          </w:tcPr>
          <w:p w:rsidR="00E85808" w:rsidRDefault="00E076A7">
            <w:pPr>
              <w:jc w:val="center"/>
            </w:pPr>
            <w:r>
              <w:rPr>
                <w:color w:val="000000"/>
                <w:sz w:val="24"/>
              </w:rPr>
              <w:t>11.45%</w:t>
            </w:r>
          </w:p>
        </w:tc>
        <w:tc>
          <w:tcPr>
            <w:tcW w:w="1291" w:type="dxa"/>
            <w:vAlign w:val="center"/>
          </w:tcPr>
          <w:p w:rsidR="00E85808" w:rsidRDefault="00E076A7">
            <w:pPr>
              <w:jc w:val="center"/>
            </w:pPr>
            <w:r>
              <w:rPr>
                <w:color w:val="000000"/>
                <w:sz w:val="24"/>
              </w:rPr>
              <w:t>0.07%</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易方达恒久添利</w:t>
      </w:r>
      <w:r w:rsidRPr="00FA472B">
        <w:rPr>
          <w:color w:val="000000"/>
          <w:sz w:val="24"/>
        </w:rPr>
        <w:t>1</w:t>
      </w:r>
      <w:r w:rsidRPr="00FA472B">
        <w:rPr>
          <w:color w:val="000000"/>
          <w:sz w:val="24"/>
        </w:rPr>
        <w:t>年定期开放债券型证券投资基金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2014</w:t>
      </w:r>
      <w:r w:rsidRPr="00526282">
        <w:rPr>
          <w:rFonts w:ascii="Times New Roman" w:hAnsi="Times New Roman"/>
          <w:sz w:val="24"/>
          <w:szCs w:val="24"/>
        </w:rPr>
        <w:t>年</w:t>
      </w:r>
      <w:r w:rsidRPr="00526282">
        <w:rPr>
          <w:rFonts w:ascii="Times New Roman" w:hAnsi="Times New Roman"/>
          <w:sz w:val="24"/>
          <w:szCs w:val="24"/>
        </w:rPr>
        <w:t>9</w:t>
      </w:r>
      <w:r w:rsidRPr="00526282">
        <w:rPr>
          <w:rFonts w:ascii="Times New Roman" w:hAnsi="Times New Roman"/>
          <w:sz w:val="24"/>
          <w:szCs w:val="24"/>
        </w:rPr>
        <w:t>月</w:t>
      </w:r>
      <w:r w:rsidRPr="00526282">
        <w:rPr>
          <w:rFonts w:ascii="Times New Roman" w:hAnsi="Times New Roman"/>
          <w:sz w:val="24"/>
          <w:szCs w:val="24"/>
        </w:rPr>
        <w:t>10</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易方达恒久</w:t>
      </w:r>
      <w:r w:rsidRPr="00611CB2">
        <w:rPr>
          <w:color w:val="000000"/>
          <w:sz w:val="24"/>
        </w:rPr>
        <w:t>1</w:t>
      </w:r>
      <w:r w:rsidRPr="00611CB2">
        <w:rPr>
          <w:color w:val="000000"/>
          <w:sz w:val="24"/>
        </w:rPr>
        <w:t>年定期债券</w:t>
      </w:r>
      <w:r w:rsidRPr="00611CB2">
        <w:rPr>
          <w:color w:val="000000"/>
          <w:sz w:val="24"/>
        </w:rPr>
        <w:t>A</w:t>
      </w:r>
    </w:p>
    <w:p w:rsidR="00F016DD" w:rsidRPr="0078105B" w:rsidRDefault="00F41556"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易方达恒久</w:t>
      </w:r>
      <w:r w:rsidRPr="00611CB2">
        <w:rPr>
          <w:color w:val="000000"/>
          <w:sz w:val="24"/>
        </w:rPr>
        <w:t>1</w:t>
      </w:r>
      <w:r w:rsidRPr="00611CB2">
        <w:rPr>
          <w:color w:val="000000"/>
          <w:sz w:val="24"/>
        </w:rPr>
        <w:t>年定期债券</w:t>
      </w:r>
      <w:r w:rsidRPr="00611CB2">
        <w:rPr>
          <w:color w:val="000000"/>
          <w:sz w:val="24"/>
        </w:rPr>
        <w:t>C</w:t>
      </w:r>
    </w:p>
    <w:p w:rsidR="00F016DD" w:rsidRPr="0078105B" w:rsidRDefault="00F41556"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32.29%</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29.16%</w:t>
      </w:r>
      <w:r w:rsidRPr="00DF18FE">
        <w:rPr>
          <w:color w:val="000000"/>
          <w:sz w:val="24"/>
        </w:rPr>
        <w:t>，同期业绩比较基准收益率为</w:t>
      </w:r>
      <w:r w:rsidRPr="00DF18FE">
        <w:rPr>
          <w:color w:val="000000"/>
          <w:sz w:val="24"/>
        </w:rPr>
        <w:t>17.71%</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E85808">
        <w:tc>
          <w:tcPr>
            <w:tcW w:w="567" w:type="dxa"/>
            <w:vAlign w:val="center"/>
          </w:tcPr>
          <w:p w:rsidR="00E85808" w:rsidRDefault="00E076A7">
            <w:pPr>
              <w:jc w:val="center"/>
            </w:pPr>
            <w:r>
              <w:rPr>
                <w:color w:val="000000"/>
                <w:sz w:val="24"/>
              </w:rPr>
              <w:t>藏海涛</w:t>
            </w:r>
          </w:p>
        </w:tc>
        <w:tc>
          <w:tcPr>
            <w:tcW w:w="2835" w:type="dxa"/>
            <w:vAlign w:val="center"/>
          </w:tcPr>
          <w:p w:rsidR="00E85808" w:rsidRDefault="00E076A7">
            <w:pPr>
              <w:jc w:val="left"/>
            </w:pPr>
            <w:r>
              <w:rPr>
                <w:color w:val="000000"/>
                <w:sz w:val="24"/>
              </w:rPr>
              <w:t>本基金的基金经理、固定收益投资部总经理助理、投资经理</w:t>
            </w:r>
          </w:p>
        </w:tc>
        <w:tc>
          <w:tcPr>
            <w:tcW w:w="851" w:type="dxa"/>
            <w:vAlign w:val="center"/>
          </w:tcPr>
          <w:p w:rsidR="00E85808" w:rsidRDefault="00E076A7">
            <w:pPr>
              <w:jc w:val="center"/>
            </w:pPr>
            <w:r>
              <w:rPr>
                <w:color w:val="000000"/>
                <w:sz w:val="24"/>
              </w:rPr>
              <w:t>2020-02-29</w:t>
            </w:r>
          </w:p>
        </w:tc>
        <w:tc>
          <w:tcPr>
            <w:tcW w:w="850" w:type="dxa"/>
            <w:vAlign w:val="center"/>
          </w:tcPr>
          <w:p w:rsidR="00E85808" w:rsidRDefault="00E076A7">
            <w:pPr>
              <w:jc w:val="center"/>
            </w:pPr>
            <w:r>
              <w:rPr>
                <w:color w:val="000000"/>
                <w:sz w:val="24"/>
              </w:rPr>
              <w:t>-</w:t>
            </w:r>
          </w:p>
        </w:tc>
        <w:tc>
          <w:tcPr>
            <w:tcW w:w="851" w:type="dxa"/>
            <w:vAlign w:val="center"/>
          </w:tcPr>
          <w:p w:rsidR="00E85808" w:rsidRDefault="00E076A7">
            <w:pPr>
              <w:jc w:val="center"/>
            </w:pPr>
            <w:r>
              <w:rPr>
                <w:color w:val="000000"/>
                <w:sz w:val="24"/>
              </w:rPr>
              <w:t>15</w:t>
            </w:r>
            <w:r>
              <w:rPr>
                <w:color w:val="000000"/>
                <w:sz w:val="24"/>
              </w:rPr>
              <w:t>年</w:t>
            </w:r>
          </w:p>
        </w:tc>
        <w:tc>
          <w:tcPr>
            <w:tcW w:w="2977" w:type="dxa"/>
            <w:vAlign w:val="center"/>
          </w:tcPr>
          <w:p w:rsidR="00E85808" w:rsidRDefault="00E076A7">
            <w:r>
              <w:rPr>
                <w:color w:val="000000"/>
                <w:sz w:val="24"/>
              </w:rPr>
              <w:t>硕士研究生，具有基金从业资格。曾任中央外汇业务中心投资部投资经理，泰康资产管理有限责任公司固定收益部投资经理，天安财产保险股份有限公司投资部固定收益负责人。</w:t>
            </w:r>
          </w:p>
        </w:tc>
      </w:tr>
    </w:tbl>
    <w:p w:rsidR="00797750" w:rsidRPr="00797750" w:rsidRDefault="00F41556" w:rsidP="00797750">
      <w:pPr>
        <w:spacing w:line="360" w:lineRule="auto"/>
        <w:rPr>
          <w:color w:val="000000"/>
          <w:sz w:val="24"/>
        </w:rPr>
      </w:pPr>
      <w:bookmarkStart w:id="0" w:name="_GoBack"/>
      <w:r w:rsidRPr="00F41556">
        <w:rPr>
          <w:noProof/>
          <w:color w:val="000000"/>
          <w:sz w:val="24"/>
        </w:rPr>
        <w:lastRenderedPageBreak/>
        <w:drawing>
          <wp:inline distT="0" distB="0" distL="0" distR="0">
            <wp:extent cx="5600700" cy="3476813"/>
            <wp:effectExtent l="0" t="0" r="0" b="0"/>
            <wp:docPr id="2" name="图片 2" descr="d:\Users\wenxueqian\Desktop\20200716-截图更新\藏海涛.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藏海涛.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476813"/>
                    </a:xfrm>
                    <a:prstGeom prst="rect">
                      <a:avLst/>
                    </a:prstGeom>
                    <a:noFill/>
                    <a:ln>
                      <a:noFill/>
                    </a:ln>
                  </pic:spPr>
                </pic:pic>
              </a:graphicData>
            </a:graphic>
          </wp:inline>
        </w:drawing>
      </w:r>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E85808" w:rsidRDefault="00E076A7">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w:t>
      </w:r>
      <w:r>
        <w:rPr>
          <w:color w:val="000000"/>
          <w:sz w:val="24"/>
        </w:rPr>
        <w:lastRenderedPageBreak/>
        <w:t>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E85808" w:rsidRDefault="00E076A7">
      <w:pPr>
        <w:spacing w:line="360" w:lineRule="auto"/>
        <w:ind w:firstLineChars="200" w:firstLine="480"/>
        <w:rPr>
          <w:color w:val="000000"/>
          <w:sz w:val="24"/>
        </w:rPr>
      </w:pPr>
      <w:r>
        <w:rPr>
          <w:color w:val="000000"/>
          <w:sz w:val="24"/>
        </w:rPr>
        <w:t>2020</w:t>
      </w:r>
      <w:r>
        <w:rPr>
          <w:color w:val="000000"/>
          <w:sz w:val="24"/>
        </w:rPr>
        <w:t>年二季度，受货币政策、经济基本面以及债券供给等因素影响，债券收益率呈先下后上的大幅波动走势。具体来看，季初受央行超市场预期调降超额存款准备金利率以及定向降准推动，叠加海外疫情加速蔓延，中短期限的债券收益率整体快速下行，下降幅度约为</w:t>
      </w:r>
      <w:r>
        <w:rPr>
          <w:color w:val="000000"/>
          <w:sz w:val="24"/>
        </w:rPr>
        <w:t>50BP</w:t>
      </w:r>
      <w:r>
        <w:rPr>
          <w:color w:val="000000"/>
          <w:sz w:val="24"/>
        </w:rPr>
        <w:t>。长期限债券收益率跟随小幅下降，收益率曲线整体陡峭化。</w:t>
      </w:r>
      <w:r>
        <w:rPr>
          <w:color w:val="000000"/>
          <w:sz w:val="24"/>
        </w:rPr>
        <w:t>5</w:t>
      </w:r>
      <w:r>
        <w:rPr>
          <w:color w:val="000000"/>
          <w:sz w:val="24"/>
        </w:rPr>
        <w:t>月份，基本面数据回升、利率债供给上升以及货币政策不及预期等因素令债券市场承压，收益率在经历了前期快速下行后，转而上行，</w:t>
      </w:r>
      <w:r>
        <w:rPr>
          <w:color w:val="000000"/>
          <w:sz w:val="24"/>
        </w:rPr>
        <w:t>3-5</w:t>
      </w:r>
      <w:r>
        <w:rPr>
          <w:color w:val="000000"/>
          <w:sz w:val="24"/>
        </w:rPr>
        <w:t>年期出现了较大幅度的调整。季末，在货币政策基调调整以及较为紧张的资金面冲击下，债券市场收益率水平继续上行，收益率的高点基本上回到了</w:t>
      </w:r>
      <w:r>
        <w:rPr>
          <w:color w:val="000000"/>
          <w:sz w:val="24"/>
        </w:rPr>
        <w:t>2</w:t>
      </w:r>
      <w:r>
        <w:rPr>
          <w:color w:val="000000"/>
          <w:sz w:val="24"/>
        </w:rPr>
        <w:t>月初水平。全季来看，</w:t>
      </w:r>
      <w:r>
        <w:rPr>
          <w:color w:val="000000"/>
          <w:sz w:val="24"/>
        </w:rPr>
        <w:t>10</w:t>
      </w:r>
      <w:r>
        <w:rPr>
          <w:color w:val="000000"/>
          <w:sz w:val="24"/>
        </w:rPr>
        <w:t>年期国债收益率和国开收益率分别上行</w:t>
      </w:r>
      <w:r>
        <w:rPr>
          <w:color w:val="000000"/>
          <w:sz w:val="24"/>
        </w:rPr>
        <w:t>31BP</w:t>
      </w:r>
      <w:r>
        <w:rPr>
          <w:color w:val="000000"/>
          <w:sz w:val="24"/>
        </w:rPr>
        <w:t>和</w:t>
      </w:r>
      <w:r>
        <w:rPr>
          <w:color w:val="000000"/>
          <w:sz w:val="24"/>
        </w:rPr>
        <w:t>22BP</w:t>
      </w:r>
      <w:r>
        <w:rPr>
          <w:color w:val="000000"/>
          <w:sz w:val="24"/>
        </w:rPr>
        <w:t>，信用债收益率整体跟随上行。</w:t>
      </w:r>
    </w:p>
    <w:p w:rsidR="00F016DD" w:rsidRPr="00DF18FE" w:rsidRDefault="00F016DD" w:rsidP="00DF18FE">
      <w:pPr>
        <w:spacing w:line="360" w:lineRule="auto"/>
        <w:ind w:firstLineChars="200" w:firstLine="480"/>
        <w:rPr>
          <w:color w:val="000000"/>
          <w:sz w:val="24"/>
        </w:rPr>
      </w:pPr>
      <w:r w:rsidRPr="00DF18FE">
        <w:rPr>
          <w:color w:val="000000"/>
          <w:sz w:val="24"/>
        </w:rPr>
        <w:t>报告期内，组合仓位较上期有所下降，在债券市场收益率波动性抬升的行情下，组合以获取息差收益为主。</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1.004</w:t>
      </w:r>
      <w:r w:rsidRPr="00DF18FE">
        <w:rPr>
          <w:color w:val="000000"/>
          <w:sz w:val="24"/>
        </w:rPr>
        <w:t>元，本报告期份额净值增长率为</w:t>
      </w:r>
      <w:r w:rsidRPr="00DF18FE">
        <w:rPr>
          <w:color w:val="000000"/>
          <w:sz w:val="24"/>
        </w:rPr>
        <w:t>0.27%</w:t>
      </w:r>
      <w:r w:rsidRPr="00DF18FE">
        <w:rPr>
          <w:color w:val="000000"/>
          <w:sz w:val="24"/>
        </w:rPr>
        <w:t>，同期业绩比较基准收益率为</w:t>
      </w:r>
      <w:r w:rsidRPr="00DF18FE">
        <w:rPr>
          <w:color w:val="000000"/>
          <w:sz w:val="24"/>
        </w:rPr>
        <w:t>0.68%</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1.002</w:t>
      </w:r>
      <w:r w:rsidRPr="00DF18FE">
        <w:rPr>
          <w:color w:val="000000"/>
          <w:sz w:val="24"/>
        </w:rPr>
        <w:t>元，本报告期份额净值增长率为</w:t>
      </w:r>
      <w:r w:rsidRPr="00DF18FE">
        <w:rPr>
          <w:color w:val="000000"/>
          <w:sz w:val="24"/>
        </w:rPr>
        <w:t>0.17%</w:t>
      </w:r>
      <w:r w:rsidRPr="00DF18FE">
        <w:rPr>
          <w:color w:val="000000"/>
          <w:sz w:val="24"/>
        </w:rPr>
        <w:t>，同期业绩比较基准收益率为</w:t>
      </w:r>
      <w:r w:rsidRPr="00DF18FE">
        <w:rPr>
          <w:color w:val="000000"/>
          <w:sz w:val="24"/>
        </w:rPr>
        <w:t>0.68%</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1,464,957,715.20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94.63</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1,434,876,715.20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92.69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30,081,000.00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1.94</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50,825,082.51</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3.28</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32,329,932.20</w:t>
            </w:r>
          </w:p>
        </w:tc>
        <w:tc>
          <w:tcPr>
            <w:tcW w:w="1843" w:type="dxa"/>
            <w:vAlign w:val="center"/>
          </w:tcPr>
          <w:p w:rsidR="00F016DD" w:rsidRPr="00FA472B" w:rsidRDefault="00F016DD" w:rsidP="00F4518C">
            <w:pPr>
              <w:jc w:val="right"/>
              <w:rPr>
                <w:color w:val="000000"/>
                <w:sz w:val="24"/>
              </w:rPr>
            </w:pPr>
            <w:r w:rsidRPr="00FA472B">
              <w:rPr>
                <w:color w:val="000000"/>
                <w:sz w:val="24"/>
              </w:rPr>
              <w:t>2.09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1,548,112,729.91</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p w:rsidR="00874AA3" w:rsidRPr="00EA6415" w:rsidRDefault="00874AA3" w:rsidP="00EA6415">
      <w:pPr>
        <w:spacing w:line="360" w:lineRule="auto"/>
        <w:ind w:firstLineChars="200" w:firstLine="480"/>
        <w:rPr>
          <w:color w:val="000000"/>
          <w:sz w:val="24"/>
        </w:rPr>
      </w:pPr>
      <w:r w:rsidRPr="00EA6415">
        <w:rPr>
          <w:color w:val="000000"/>
          <w:sz w:val="24"/>
        </w:rPr>
        <w:t>本基金本报告期末未持有境内股票。</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19,886,000.00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1.81</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19,886,000.00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1.81</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946,731,715.20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85.99</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50,276,000.00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4.57</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417,983,000.00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37.97</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lastRenderedPageBreak/>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1,434,876,715.20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130.33</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E85808">
        <w:tc>
          <w:tcPr>
            <w:tcW w:w="802" w:type="dxa"/>
            <w:vAlign w:val="center"/>
          </w:tcPr>
          <w:p w:rsidR="00E85808" w:rsidRDefault="00E076A7">
            <w:pPr>
              <w:jc w:val="center"/>
            </w:pPr>
            <w:r>
              <w:rPr>
                <w:color w:val="000000"/>
                <w:sz w:val="24"/>
              </w:rPr>
              <w:t>1</w:t>
            </w:r>
          </w:p>
        </w:tc>
        <w:tc>
          <w:tcPr>
            <w:tcW w:w="1559" w:type="dxa"/>
            <w:vAlign w:val="center"/>
          </w:tcPr>
          <w:p w:rsidR="00E85808" w:rsidRDefault="00E076A7">
            <w:pPr>
              <w:jc w:val="center"/>
            </w:pPr>
            <w:r>
              <w:rPr>
                <w:color w:val="000000"/>
                <w:sz w:val="24"/>
              </w:rPr>
              <w:t>101773021</w:t>
            </w:r>
          </w:p>
        </w:tc>
        <w:tc>
          <w:tcPr>
            <w:tcW w:w="1985" w:type="dxa"/>
            <w:vAlign w:val="center"/>
          </w:tcPr>
          <w:p w:rsidR="00E85808" w:rsidRDefault="00E076A7">
            <w:pPr>
              <w:jc w:val="center"/>
            </w:pPr>
            <w:r>
              <w:rPr>
                <w:color w:val="000000"/>
                <w:sz w:val="24"/>
              </w:rPr>
              <w:t>17</w:t>
            </w:r>
            <w:r>
              <w:rPr>
                <w:color w:val="000000"/>
                <w:sz w:val="24"/>
              </w:rPr>
              <w:t>华远地产</w:t>
            </w:r>
            <w:r>
              <w:rPr>
                <w:color w:val="000000"/>
                <w:sz w:val="24"/>
              </w:rPr>
              <w:t>MTN001</w:t>
            </w:r>
          </w:p>
        </w:tc>
        <w:tc>
          <w:tcPr>
            <w:tcW w:w="1559" w:type="dxa"/>
            <w:vAlign w:val="center"/>
          </w:tcPr>
          <w:p w:rsidR="00E85808" w:rsidRDefault="00E076A7">
            <w:pPr>
              <w:jc w:val="right"/>
            </w:pPr>
            <w:r>
              <w:rPr>
                <w:color w:val="000000"/>
                <w:sz w:val="24"/>
              </w:rPr>
              <w:t>600,000</w:t>
            </w:r>
          </w:p>
        </w:tc>
        <w:tc>
          <w:tcPr>
            <w:tcW w:w="2126" w:type="dxa"/>
            <w:vAlign w:val="center"/>
          </w:tcPr>
          <w:p w:rsidR="00E85808" w:rsidRDefault="00E076A7">
            <w:pPr>
              <w:jc w:val="right"/>
            </w:pPr>
            <w:r>
              <w:rPr>
                <w:color w:val="000000"/>
                <w:sz w:val="24"/>
              </w:rPr>
              <w:t>60,600,000.00</w:t>
            </w:r>
          </w:p>
        </w:tc>
        <w:tc>
          <w:tcPr>
            <w:tcW w:w="990" w:type="dxa"/>
            <w:vAlign w:val="center"/>
          </w:tcPr>
          <w:p w:rsidR="00E85808" w:rsidRDefault="00E076A7">
            <w:pPr>
              <w:jc w:val="right"/>
            </w:pPr>
            <w:r>
              <w:rPr>
                <w:color w:val="000000"/>
                <w:sz w:val="24"/>
              </w:rPr>
              <w:t>5.50</w:t>
            </w:r>
          </w:p>
        </w:tc>
      </w:tr>
      <w:tr w:rsidR="00E85808">
        <w:tc>
          <w:tcPr>
            <w:tcW w:w="802" w:type="dxa"/>
            <w:vAlign w:val="center"/>
          </w:tcPr>
          <w:p w:rsidR="00E85808" w:rsidRDefault="00E076A7">
            <w:pPr>
              <w:jc w:val="center"/>
            </w:pPr>
            <w:r>
              <w:rPr>
                <w:color w:val="000000"/>
                <w:sz w:val="24"/>
              </w:rPr>
              <w:t>2</w:t>
            </w:r>
          </w:p>
        </w:tc>
        <w:tc>
          <w:tcPr>
            <w:tcW w:w="1559" w:type="dxa"/>
            <w:vAlign w:val="center"/>
          </w:tcPr>
          <w:p w:rsidR="00E85808" w:rsidRDefault="00E076A7">
            <w:pPr>
              <w:jc w:val="center"/>
            </w:pPr>
            <w:r>
              <w:rPr>
                <w:color w:val="000000"/>
                <w:sz w:val="24"/>
              </w:rPr>
              <w:t>136806</w:t>
            </w:r>
          </w:p>
        </w:tc>
        <w:tc>
          <w:tcPr>
            <w:tcW w:w="1985" w:type="dxa"/>
            <w:vAlign w:val="center"/>
          </w:tcPr>
          <w:p w:rsidR="00E85808" w:rsidRDefault="00E076A7">
            <w:pPr>
              <w:jc w:val="center"/>
            </w:pPr>
            <w:r>
              <w:rPr>
                <w:color w:val="000000"/>
                <w:sz w:val="24"/>
              </w:rPr>
              <w:t>16</w:t>
            </w:r>
            <w:r>
              <w:rPr>
                <w:color w:val="000000"/>
                <w:sz w:val="24"/>
              </w:rPr>
              <w:t>越交</w:t>
            </w:r>
            <w:r>
              <w:rPr>
                <w:color w:val="000000"/>
                <w:sz w:val="24"/>
              </w:rPr>
              <w:t>04</w:t>
            </w:r>
          </w:p>
        </w:tc>
        <w:tc>
          <w:tcPr>
            <w:tcW w:w="1559" w:type="dxa"/>
            <w:vAlign w:val="center"/>
          </w:tcPr>
          <w:p w:rsidR="00E85808" w:rsidRDefault="00E076A7">
            <w:pPr>
              <w:jc w:val="right"/>
            </w:pPr>
            <w:r>
              <w:rPr>
                <w:color w:val="000000"/>
                <w:sz w:val="24"/>
              </w:rPr>
              <w:t>600,000</w:t>
            </w:r>
          </w:p>
        </w:tc>
        <w:tc>
          <w:tcPr>
            <w:tcW w:w="2126" w:type="dxa"/>
            <w:vAlign w:val="center"/>
          </w:tcPr>
          <w:p w:rsidR="00E85808" w:rsidRDefault="00E076A7">
            <w:pPr>
              <w:jc w:val="right"/>
            </w:pPr>
            <w:r>
              <w:rPr>
                <w:color w:val="000000"/>
                <w:sz w:val="24"/>
              </w:rPr>
              <w:t>60,096,000.00</w:t>
            </w:r>
          </w:p>
        </w:tc>
        <w:tc>
          <w:tcPr>
            <w:tcW w:w="990" w:type="dxa"/>
            <w:vAlign w:val="center"/>
          </w:tcPr>
          <w:p w:rsidR="00E85808" w:rsidRDefault="00E076A7">
            <w:pPr>
              <w:jc w:val="right"/>
            </w:pPr>
            <w:r>
              <w:rPr>
                <w:color w:val="000000"/>
                <w:sz w:val="24"/>
              </w:rPr>
              <w:t>5.46</w:t>
            </w:r>
          </w:p>
        </w:tc>
      </w:tr>
      <w:tr w:rsidR="00E85808">
        <w:tc>
          <w:tcPr>
            <w:tcW w:w="802" w:type="dxa"/>
            <w:vAlign w:val="center"/>
          </w:tcPr>
          <w:p w:rsidR="00E85808" w:rsidRDefault="00E076A7">
            <w:pPr>
              <w:jc w:val="center"/>
            </w:pPr>
            <w:r>
              <w:rPr>
                <w:color w:val="000000"/>
                <w:sz w:val="24"/>
              </w:rPr>
              <w:t>3</w:t>
            </w:r>
          </w:p>
        </w:tc>
        <w:tc>
          <w:tcPr>
            <w:tcW w:w="1559" w:type="dxa"/>
            <w:vAlign w:val="center"/>
          </w:tcPr>
          <w:p w:rsidR="00E85808" w:rsidRDefault="00E076A7">
            <w:pPr>
              <w:jc w:val="center"/>
            </w:pPr>
            <w:r>
              <w:rPr>
                <w:color w:val="000000"/>
                <w:sz w:val="24"/>
              </w:rPr>
              <w:t>112962</w:t>
            </w:r>
          </w:p>
        </w:tc>
        <w:tc>
          <w:tcPr>
            <w:tcW w:w="1985" w:type="dxa"/>
            <w:vAlign w:val="center"/>
          </w:tcPr>
          <w:p w:rsidR="00E85808" w:rsidRDefault="00E076A7">
            <w:pPr>
              <w:jc w:val="center"/>
            </w:pPr>
            <w:r>
              <w:rPr>
                <w:color w:val="000000"/>
                <w:sz w:val="24"/>
              </w:rPr>
              <w:t>19</w:t>
            </w:r>
            <w:r>
              <w:rPr>
                <w:color w:val="000000"/>
                <w:sz w:val="24"/>
              </w:rPr>
              <w:t>深建</w:t>
            </w:r>
            <w:r>
              <w:rPr>
                <w:color w:val="000000"/>
                <w:sz w:val="24"/>
              </w:rPr>
              <w:t>01</w:t>
            </w:r>
          </w:p>
        </w:tc>
        <w:tc>
          <w:tcPr>
            <w:tcW w:w="1559" w:type="dxa"/>
            <w:vAlign w:val="center"/>
          </w:tcPr>
          <w:p w:rsidR="00E85808" w:rsidRDefault="00E076A7">
            <w:pPr>
              <w:jc w:val="right"/>
            </w:pPr>
            <w:r>
              <w:rPr>
                <w:color w:val="000000"/>
                <w:sz w:val="24"/>
              </w:rPr>
              <w:t>500,000</w:t>
            </w:r>
          </w:p>
        </w:tc>
        <w:tc>
          <w:tcPr>
            <w:tcW w:w="2126" w:type="dxa"/>
            <w:vAlign w:val="center"/>
          </w:tcPr>
          <w:p w:rsidR="00E85808" w:rsidRDefault="00E076A7">
            <w:pPr>
              <w:jc w:val="right"/>
            </w:pPr>
            <w:r>
              <w:rPr>
                <w:color w:val="000000"/>
                <w:sz w:val="24"/>
              </w:rPr>
              <w:t>50,410,000.00</w:t>
            </w:r>
          </w:p>
        </w:tc>
        <w:tc>
          <w:tcPr>
            <w:tcW w:w="990" w:type="dxa"/>
            <w:vAlign w:val="center"/>
          </w:tcPr>
          <w:p w:rsidR="00E85808" w:rsidRDefault="00E076A7">
            <w:pPr>
              <w:jc w:val="right"/>
            </w:pPr>
            <w:r>
              <w:rPr>
                <w:color w:val="000000"/>
                <w:sz w:val="24"/>
              </w:rPr>
              <w:t>4.58</w:t>
            </w:r>
          </w:p>
        </w:tc>
      </w:tr>
      <w:tr w:rsidR="00E85808">
        <w:tc>
          <w:tcPr>
            <w:tcW w:w="802" w:type="dxa"/>
            <w:vAlign w:val="center"/>
          </w:tcPr>
          <w:p w:rsidR="00E85808" w:rsidRDefault="00E076A7">
            <w:pPr>
              <w:jc w:val="center"/>
            </w:pPr>
            <w:r>
              <w:rPr>
                <w:color w:val="000000"/>
                <w:sz w:val="24"/>
              </w:rPr>
              <w:t>4</w:t>
            </w:r>
          </w:p>
        </w:tc>
        <w:tc>
          <w:tcPr>
            <w:tcW w:w="1559" w:type="dxa"/>
            <w:vAlign w:val="center"/>
          </w:tcPr>
          <w:p w:rsidR="00E85808" w:rsidRDefault="00E076A7">
            <w:pPr>
              <w:jc w:val="center"/>
            </w:pPr>
            <w:r>
              <w:rPr>
                <w:color w:val="000000"/>
                <w:sz w:val="24"/>
              </w:rPr>
              <w:t>1680337</w:t>
            </w:r>
          </w:p>
        </w:tc>
        <w:tc>
          <w:tcPr>
            <w:tcW w:w="1985" w:type="dxa"/>
            <w:vAlign w:val="center"/>
          </w:tcPr>
          <w:p w:rsidR="00E85808" w:rsidRDefault="00E076A7">
            <w:pPr>
              <w:jc w:val="center"/>
            </w:pPr>
            <w:r>
              <w:rPr>
                <w:color w:val="000000"/>
                <w:sz w:val="24"/>
              </w:rPr>
              <w:t>16</w:t>
            </w:r>
            <w:r>
              <w:rPr>
                <w:color w:val="000000"/>
                <w:sz w:val="24"/>
              </w:rPr>
              <w:t>诸暨城东债</w:t>
            </w:r>
          </w:p>
        </w:tc>
        <w:tc>
          <w:tcPr>
            <w:tcW w:w="1559" w:type="dxa"/>
            <w:vAlign w:val="center"/>
          </w:tcPr>
          <w:p w:rsidR="00E85808" w:rsidRDefault="00E076A7">
            <w:pPr>
              <w:jc w:val="right"/>
            </w:pPr>
            <w:r>
              <w:rPr>
                <w:color w:val="000000"/>
                <w:sz w:val="24"/>
              </w:rPr>
              <w:t>600,000</w:t>
            </w:r>
          </w:p>
        </w:tc>
        <w:tc>
          <w:tcPr>
            <w:tcW w:w="2126" w:type="dxa"/>
            <w:vAlign w:val="center"/>
          </w:tcPr>
          <w:p w:rsidR="00E85808" w:rsidRDefault="00E076A7">
            <w:pPr>
              <w:jc w:val="right"/>
            </w:pPr>
            <w:r>
              <w:rPr>
                <w:color w:val="000000"/>
                <w:sz w:val="24"/>
              </w:rPr>
              <w:t>48,498,000.00</w:t>
            </w:r>
          </w:p>
        </w:tc>
        <w:tc>
          <w:tcPr>
            <w:tcW w:w="990" w:type="dxa"/>
            <w:vAlign w:val="center"/>
          </w:tcPr>
          <w:p w:rsidR="00E85808" w:rsidRDefault="00E076A7">
            <w:pPr>
              <w:jc w:val="right"/>
            </w:pPr>
            <w:r>
              <w:rPr>
                <w:color w:val="000000"/>
                <w:sz w:val="24"/>
              </w:rPr>
              <w:t>4.41</w:t>
            </w:r>
          </w:p>
        </w:tc>
      </w:tr>
      <w:tr w:rsidR="00E85808">
        <w:tc>
          <w:tcPr>
            <w:tcW w:w="802" w:type="dxa"/>
            <w:vAlign w:val="center"/>
          </w:tcPr>
          <w:p w:rsidR="00E85808" w:rsidRDefault="00E076A7">
            <w:pPr>
              <w:jc w:val="center"/>
            </w:pPr>
            <w:r>
              <w:rPr>
                <w:color w:val="000000"/>
                <w:sz w:val="24"/>
              </w:rPr>
              <w:t>5</w:t>
            </w:r>
          </w:p>
        </w:tc>
        <w:tc>
          <w:tcPr>
            <w:tcW w:w="1559" w:type="dxa"/>
            <w:vAlign w:val="center"/>
          </w:tcPr>
          <w:p w:rsidR="00E85808" w:rsidRDefault="00E076A7">
            <w:pPr>
              <w:jc w:val="center"/>
            </w:pPr>
            <w:r>
              <w:rPr>
                <w:color w:val="000000"/>
                <w:sz w:val="24"/>
              </w:rPr>
              <w:t>1280405</w:t>
            </w:r>
          </w:p>
        </w:tc>
        <w:tc>
          <w:tcPr>
            <w:tcW w:w="1985" w:type="dxa"/>
            <w:vAlign w:val="center"/>
          </w:tcPr>
          <w:p w:rsidR="00E85808" w:rsidRDefault="00E076A7">
            <w:pPr>
              <w:jc w:val="center"/>
            </w:pPr>
            <w:r>
              <w:rPr>
                <w:color w:val="000000"/>
                <w:sz w:val="24"/>
              </w:rPr>
              <w:t>12</w:t>
            </w:r>
            <w:r>
              <w:rPr>
                <w:color w:val="000000"/>
                <w:sz w:val="24"/>
              </w:rPr>
              <w:t>豫铁投债</w:t>
            </w:r>
          </w:p>
        </w:tc>
        <w:tc>
          <w:tcPr>
            <w:tcW w:w="1559" w:type="dxa"/>
            <w:vAlign w:val="center"/>
          </w:tcPr>
          <w:p w:rsidR="00E85808" w:rsidRDefault="00E076A7">
            <w:pPr>
              <w:jc w:val="right"/>
            </w:pPr>
            <w:r>
              <w:rPr>
                <w:color w:val="000000"/>
                <w:sz w:val="24"/>
              </w:rPr>
              <w:t>400,000</w:t>
            </w:r>
          </w:p>
        </w:tc>
        <w:tc>
          <w:tcPr>
            <w:tcW w:w="2126" w:type="dxa"/>
            <w:vAlign w:val="center"/>
          </w:tcPr>
          <w:p w:rsidR="00E85808" w:rsidRDefault="00E076A7">
            <w:pPr>
              <w:jc w:val="right"/>
            </w:pPr>
            <w:r>
              <w:rPr>
                <w:color w:val="000000"/>
                <w:sz w:val="24"/>
              </w:rPr>
              <w:t>42,892,000.00</w:t>
            </w:r>
          </w:p>
        </w:tc>
        <w:tc>
          <w:tcPr>
            <w:tcW w:w="990" w:type="dxa"/>
            <w:vAlign w:val="center"/>
          </w:tcPr>
          <w:p w:rsidR="00E85808" w:rsidRDefault="00E076A7">
            <w:pPr>
              <w:jc w:val="right"/>
            </w:pPr>
            <w:r>
              <w:rPr>
                <w:color w:val="000000"/>
                <w:sz w:val="24"/>
              </w:rPr>
              <w:t>3.90</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1"/>
        <w:gridCol w:w="1325"/>
        <w:gridCol w:w="1290"/>
        <w:gridCol w:w="1807"/>
        <w:gridCol w:w="1697"/>
        <w:gridCol w:w="1721"/>
      </w:tblGrid>
      <w:tr w:rsidR="00F016DD" w:rsidRPr="0078105B" w:rsidTr="00174038">
        <w:tc>
          <w:tcPr>
            <w:tcW w:w="1187"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3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w="1263"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w="181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w="1698"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17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rsidR="00E85808">
        <w:tc>
          <w:tcPr>
            <w:tcW w:w="0" w:type="auto"/>
            <w:vAlign w:val="center"/>
          </w:tcPr>
          <w:p w:rsidR="00E85808" w:rsidRDefault="00E076A7">
            <w:pPr>
              <w:jc w:val="center"/>
            </w:pPr>
            <w:r>
              <w:rPr>
                <w:color w:val="000000"/>
                <w:sz w:val="24"/>
              </w:rPr>
              <w:t>1</w:t>
            </w:r>
          </w:p>
        </w:tc>
        <w:tc>
          <w:tcPr>
            <w:tcW w:w="0" w:type="auto"/>
            <w:vAlign w:val="center"/>
          </w:tcPr>
          <w:p w:rsidR="00E85808" w:rsidRDefault="00E076A7">
            <w:pPr>
              <w:jc w:val="center"/>
            </w:pPr>
            <w:r>
              <w:rPr>
                <w:color w:val="000000"/>
                <w:sz w:val="24"/>
              </w:rPr>
              <w:t>138381</w:t>
            </w:r>
          </w:p>
        </w:tc>
        <w:tc>
          <w:tcPr>
            <w:tcW w:w="0" w:type="auto"/>
            <w:vAlign w:val="center"/>
          </w:tcPr>
          <w:p w:rsidR="00E85808" w:rsidRDefault="00E076A7">
            <w:pPr>
              <w:jc w:val="center"/>
            </w:pPr>
            <w:r>
              <w:rPr>
                <w:color w:val="000000"/>
                <w:sz w:val="24"/>
              </w:rPr>
              <w:t>云庐</w:t>
            </w:r>
            <w:r>
              <w:rPr>
                <w:color w:val="000000"/>
                <w:sz w:val="24"/>
              </w:rPr>
              <w:t>1A1</w:t>
            </w:r>
          </w:p>
        </w:tc>
        <w:tc>
          <w:tcPr>
            <w:tcW w:w="0" w:type="auto"/>
            <w:vAlign w:val="center"/>
          </w:tcPr>
          <w:p w:rsidR="00E85808" w:rsidRDefault="00E076A7">
            <w:pPr>
              <w:jc w:val="right"/>
            </w:pPr>
            <w:r>
              <w:rPr>
                <w:color w:val="000000"/>
                <w:sz w:val="24"/>
              </w:rPr>
              <w:t>100,000</w:t>
            </w:r>
          </w:p>
        </w:tc>
        <w:tc>
          <w:tcPr>
            <w:tcW w:w="0" w:type="auto"/>
            <w:vAlign w:val="center"/>
          </w:tcPr>
          <w:p w:rsidR="00E85808" w:rsidRDefault="00E076A7">
            <w:pPr>
              <w:jc w:val="right"/>
            </w:pPr>
            <w:r>
              <w:rPr>
                <w:color w:val="000000"/>
                <w:sz w:val="24"/>
              </w:rPr>
              <w:t>10,048,000.00</w:t>
            </w:r>
          </w:p>
        </w:tc>
        <w:tc>
          <w:tcPr>
            <w:tcW w:w="0" w:type="auto"/>
            <w:vAlign w:val="center"/>
          </w:tcPr>
          <w:p w:rsidR="00E85808" w:rsidRDefault="00E076A7">
            <w:pPr>
              <w:jc w:val="right"/>
            </w:pPr>
            <w:r>
              <w:rPr>
                <w:color w:val="000000"/>
                <w:sz w:val="24"/>
              </w:rPr>
              <w:t>0.91</w:t>
            </w:r>
          </w:p>
        </w:tc>
      </w:tr>
      <w:tr w:rsidR="00E85808">
        <w:tc>
          <w:tcPr>
            <w:tcW w:w="0" w:type="auto"/>
            <w:vAlign w:val="center"/>
          </w:tcPr>
          <w:p w:rsidR="00E85808" w:rsidRDefault="00E076A7">
            <w:pPr>
              <w:jc w:val="center"/>
            </w:pPr>
            <w:r>
              <w:rPr>
                <w:color w:val="000000"/>
                <w:sz w:val="24"/>
              </w:rPr>
              <w:t>2</w:t>
            </w:r>
          </w:p>
        </w:tc>
        <w:tc>
          <w:tcPr>
            <w:tcW w:w="0" w:type="auto"/>
            <w:vAlign w:val="center"/>
          </w:tcPr>
          <w:p w:rsidR="00E85808" w:rsidRDefault="00E076A7">
            <w:pPr>
              <w:jc w:val="center"/>
            </w:pPr>
            <w:r>
              <w:rPr>
                <w:color w:val="000000"/>
                <w:sz w:val="24"/>
              </w:rPr>
              <w:t>165226</w:t>
            </w:r>
          </w:p>
        </w:tc>
        <w:tc>
          <w:tcPr>
            <w:tcW w:w="0" w:type="auto"/>
            <w:vAlign w:val="center"/>
          </w:tcPr>
          <w:p w:rsidR="00E85808" w:rsidRDefault="00E076A7">
            <w:pPr>
              <w:jc w:val="center"/>
            </w:pPr>
            <w:r>
              <w:rPr>
                <w:color w:val="000000"/>
                <w:sz w:val="24"/>
              </w:rPr>
              <w:t>19</w:t>
            </w:r>
            <w:r>
              <w:rPr>
                <w:color w:val="000000"/>
                <w:sz w:val="24"/>
              </w:rPr>
              <w:t>信易</w:t>
            </w:r>
            <w:r>
              <w:rPr>
                <w:color w:val="000000"/>
                <w:sz w:val="24"/>
              </w:rPr>
              <w:t>07</w:t>
            </w:r>
          </w:p>
        </w:tc>
        <w:tc>
          <w:tcPr>
            <w:tcW w:w="0" w:type="auto"/>
            <w:vAlign w:val="center"/>
          </w:tcPr>
          <w:p w:rsidR="00E85808" w:rsidRDefault="00E076A7">
            <w:pPr>
              <w:jc w:val="right"/>
            </w:pPr>
            <w:r>
              <w:rPr>
                <w:color w:val="000000"/>
                <w:sz w:val="24"/>
              </w:rPr>
              <w:t>100,000</w:t>
            </w:r>
          </w:p>
        </w:tc>
        <w:tc>
          <w:tcPr>
            <w:tcW w:w="0" w:type="auto"/>
            <w:vAlign w:val="center"/>
          </w:tcPr>
          <w:p w:rsidR="00E85808" w:rsidRDefault="00E076A7">
            <w:pPr>
              <w:jc w:val="right"/>
            </w:pPr>
            <w:r>
              <w:rPr>
                <w:color w:val="000000"/>
                <w:sz w:val="24"/>
              </w:rPr>
              <w:t>10,024,000.00</w:t>
            </w:r>
          </w:p>
        </w:tc>
        <w:tc>
          <w:tcPr>
            <w:tcW w:w="0" w:type="auto"/>
            <w:vAlign w:val="center"/>
          </w:tcPr>
          <w:p w:rsidR="00E85808" w:rsidRDefault="00E076A7">
            <w:pPr>
              <w:jc w:val="right"/>
            </w:pPr>
            <w:r>
              <w:rPr>
                <w:color w:val="000000"/>
                <w:sz w:val="24"/>
              </w:rPr>
              <w:t>0.91</w:t>
            </w:r>
          </w:p>
        </w:tc>
      </w:tr>
      <w:tr w:rsidR="00E85808">
        <w:tc>
          <w:tcPr>
            <w:tcW w:w="0" w:type="auto"/>
            <w:vAlign w:val="center"/>
          </w:tcPr>
          <w:p w:rsidR="00E85808" w:rsidRDefault="00E076A7">
            <w:pPr>
              <w:jc w:val="center"/>
            </w:pPr>
            <w:r>
              <w:rPr>
                <w:color w:val="000000"/>
                <w:sz w:val="24"/>
              </w:rPr>
              <w:t>3</w:t>
            </w:r>
          </w:p>
        </w:tc>
        <w:tc>
          <w:tcPr>
            <w:tcW w:w="0" w:type="auto"/>
            <w:vAlign w:val="center"/>
          </w:tcPr>
          <w:p w:rsidR="00E85808" w:rsidRDefault="00E076A7">
            <w:pPr>
              <w:jc w:val="center"/>
            </w:pPr>
            <w:r>
              <w:rPr>
                <w:color w:val="000000"/>
                <w:sz w:val="24"/>
              </w:rPr>
              <w:t>165695</w:t>
            </w:r>
          </w:p>
        </w:tc>
        <w:tc>
          <w:tcPr>
            <w:tcW w:w="0" w:type="auto"/>
            <w:vAlign w:val="center"/>
          </w:tcPr>
          <w:p w:rsidR="00E85808" w:rsidRDefault="00E076A7">
            <w:pPr>
              <w:jc w:val="center"/>
            </w:pPr>
            <w:r>
              <w:rPr>
                <w:color w:val="000000"/>
                <w:sz w:val="24"/>
              </w:rPr>
              <w:t>金地</w:t>
            </w:r>
            <w:r>
              <w:rPr>
                <w:color w:val="000000"/>
                <w:sz w:val="24"/>
              </w:rPr>
              <w:t>14A</w:t>
            </w:r>
          </w:p>
        </w:tc>
        <w:tc>
          <w:tcPr>
            <w:tcW w:w="0" w:type="auto"/>
            <w:vAlign w:val="center"/>
          </w:tcPr>
          <w:p w:rsidR="00E85808" w:rsidRDefault="00E076A7">
            <w:pPr>
              <w:jc w:val="right"/>
            </w:pPr>
            <w:r>
              <w:rPr>
                <w:color w:val="000000"/>
                <w:sz w:val="24"/>
              </w:rPr>
              <w:t>100,000</w:t>
            </w:r>
          </w:p>
        </w:tc>
        <w:tc>
          <w:tcPr>
            <w:tcW w:w="0" w:type="auto"/>
            <w:vAlign w:val="center"/>
          </w:tcPr>
          <w:p w:rsidR="00E85808" w:rsidRDefault="00E076A7">
            <w:pPr>
              <w:jc w:val="right"/>
            </w:pPr>
            <w:r>
              <w:rPr>
                <w:color w:val="000000"/>
                <w:sz w:val="24"/>
              </w:rPr>
              <w:t>10,009,000.00</w:t>
            </w:r>
          </w:p>
        </w:tc>
        <w:tc>
          <w:tcPr>
            <w:tcW w:w="0" w:type="auto"/>
            <w:vAlign w:val="center"/>
          </w:tcPr>
          <w:p w:rsidR="00E85808" w:rsidRDefault="00E076A7">
            <w:pPr>
              <w:jc w:val="right"/>
            </w:pPr>
            <w:r>
              <w:rPr>
                <w:color w:val="000000"/>
                <w:sz w:val="24"/>
              </w:rPr>
              <w:t>0.91</w:t>
            </w:r>
          </w:p>
        </w:tc>
      </w:tr>
    </w:tbl>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本基金本报告期没有投资股票，因此不存在投资的前十名股票超出基金合同规定的备选股票库情况。</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lastRenderedPageBreak/>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4,446.80</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32,325,485.40</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32,329,932.20</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本基金本报告期末未持有处于转股期的可转换债券。</w:t>
      </w:r>
    </w:p>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易方达恒久</w:t>
            </w:r>
            <w:r w:rsidRPr="00FA472B">
              <w:rPr>
                <w:sz w:val="24"/>
              </w:rPr>
              <w:t>1</w:t>
            </w:r>
            <w:r w:rsidRPr="00FA472B">
              <w:rPr>
                <w:sz w:val="24"/>
              </w:rPr>
              <w:t>年定期债券</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易方达恒久</w:t>
            </w:r>
            <w:r w:rsidRPr="00FA472B">
              <w:rPr>
                <w:sz w:val="24"/>
              </w:rPr>
              <w:t>1</w:t>
            </w:r>
            <w:r w:rsidRPr="00FA472B">
              <w:rPr>
                <w:sz w:val="24"/>
              </w:rPr>
              <w:t>年定期债券</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1,071,498,588.88</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25,353,112.48</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1,071,498,588.88</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25,353,112.48</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lastRenderedPageBreak/>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E85808">
        <w:trPr>
          <w:jc w:val="center"/>
        </w:trPr>
        <w:tc>
          <w:tcPr>
            <w:tcW w:w="709" w:type="dxa"/>
            <w:vMerge w:val="restart"/>
            <w:vAlign w:val="center"/>
          </w:tcPr>
          <w:p w:rsidR="00E85808" w:rsidRDefault="00E076A7">
            <w:r>
              <w:rPr>
                <w:rFonts w:eastAsiaTheme="minorEastAsia"/>
                <w:bCs/>
                <w:color w:val="000000" w:themeColor="text1"/>
                <w:sz w:val="24"/>
              </w:rPr>
              <w:t>机构</w:t>
            </w:r>
          </w:p>
        </w:tc>
        <w:tc>
          <w:tcPr>
            <w:tcW w:w="709" w:type="dxa"/>
            <w:vAlign w:val="center"/>
          </w:tcPr>
          <w:p w:rsidR="00E85808" w:rsidRDefault="00E076A7">
            <w:pPr>
              <w:jc w:val="center"/>
            </w:pPr>
            <w:r>
              <w:rPr>
                <w:sz w:val="24"/>
              </w:rPr>
              <w:t>1</w:t>
            </w:r>
          </w:p>
        </w:tc>
        <w:tc>
          <w:tcPr>
            <w:tcW w:w="2126" w:type="dxa"/>
            <w:vAlign w:val="center"/>
          </w:tcPr>
          <w:p w:rsidR="00E85808" w:rsidRDefault="00E076A7">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E85808" w:rsidRDefault="00E076A7">
            <w:pPr>
              <w:jc w:val="center"/>
            </w:pPr>
            <w:r>
              <w:rPr>
                <w:sz w:val="24"/>
              </w:rPr>
              <w:t>550,000,000.00</w:t>
            </w:r>
          </w:p>
        </w:tc>
        <w:tc>
          <w:tcPr>
            <w:tcW w:w="1276" w:type="dxa"/>
            <w:vAlign w:val="center"/>
          </w:tcPr>
          <w:p w:rsidR="00E85808" w:rsidRDefault="00E076A7">
            <w:pPr>
              <w:jc w:val="center"/>
            </w:pPr>
            <w:r>
              <w:rPr>
                <w:sz w:val="24"/>
              </w:rPr>
              <w:t>-</w:t>
            </w:r>
          </w:p>
        </w:tc>
        <w:tc>
          <w:tcPr>
            <w:tcW w:w="1276" w:type="dxa"/>
            <w:vAlign w:val="center"/>
          </w:tcPr>
          <w:p w:rsidR="00E85808" w:rsidRDefault="00E076A7">
            <w:pPr>
              <w:jc w:val="center"/>
            </w:pPr>
            <w:r>
              <w:rPr>
                <w:sz w:val="24"/>
              </w:rPr>
              <w:t>-</w:t>
            </w:r>
          </w:p>
        </w:tc>
        <w:tc>
          <w:tcPr>
            <w:tcW w:w="1417" w:type="dxa"/>
            <w:vAlign w:val="center"/>
          </w:tcPr>
          <w:p w:rsidR="00E85808" w:rsidRDefault="00E076A7">
            <w:pPr>
              <w:jc w:val="center"/>
            </w:pPr>
            <w:r>
              <w:rPr>
                <w:sz w:val="24"/>
              </w:rPr>
              <w:t>550,000,000.00</w:t>
            </w:r>
          </w:p>
        </w:tc>
        <w:tc>
          <w:tcPr>
            <w:tcW w:w="851" w:type="dxa"/>
            <w:vAlign w:val="center"/>
          </w:tcPr>
          <w:p w:rsidR="00E85808" w:rsidRDefault="00E076A7">
            <w:pPr>
              <w:jc w:val="center"/>
            </w:pPr>
            <w:r>
              <w:rPr>
                <w:sz w:val="24"/>
              </w:rPr>
              <w:t>50.14%</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rPr>
              <w:t>5000</w:t>
            </w:r>
            <w:r w:rsidRPr="00FC0759">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9.1</w:t>
      </w:r>
      <w:r w:rsidRPr="00E8153C">
        <w:rPr>
          <w:color w:val="000000"/>
          <w:kern w:val="0"/>
          <w:sz w:val="24"/>
        </w:rPr>
        <w:t>备查文件目录</w:t>
      </w:r>
    </w:p>
    <w:p w:rsidR="00E85808" w:rsidRDefault="00E076A7">
      <w:pPr>
        <w:spacing w:line="360" w:lineRule="auto"/>
        <w:ind w:firstLineChars="200" w:firstLine="480"/>
        <w:rPr>
          <w:color w:val="000000"/>
          <w:sz w:val="24"/>
        </w:rPr>
      </w:pPr>
      <w:r>
        <w:rPr>
          <w:color w:val="000000"/>
          <w:sz w:val="24"/>
        </w:rPr>
        <w:t>1.</w:t>
      </w:r>
      <w:r>
        <w:rPr>
          <w:color w:val="000000"/>
          <w:sz w:val="24"/>
        </w:rPr>
        <w:t>中国证监会注册易方达恒久添利</w:t>
      </w:r>
      <w:r>
        <w:rPr>
          <w:color w:val="000000"/>
          <w:sz w:val="24"/>
        </w:rPr>
        <w:t>1</w:t>
      </w:r>
      <w:r>
        <w:rPr>
          <w:color w:val="000000"/>
          <w:sz w:val="24"/>
        </w:rPr>
        <w:t>年定期开放债券型证券投资基金募集的文件；</w:t>
      </w:r>
    </w:p>
    <w:p w:rsidR="00E85808" w:rsidRDefault="00E076A7">
      <w:pPr>
        <w:spacing w:line="360" w:lineRule="auto"/>
        <w:ind w:firstLineChars="200" w:firstLine="480"/>
        <w:rPr>
          <w:color w:val="000000"/>
          <w:sz w:val="24"/>
        </w:rPr>
      </w:pPr>
      <w:r>
        <w:rPr>
          <w:color w:val="000000"/>
          <w:sz w:val="24"/>
        </w:rPr>
        <w:t>2.</w:t>
      </w:r>
      <w:r>
        <w:rPr>
          <w:color w:val="000000"/>
          <w:sz w:val="24"/>
        </w:rPr>
        <w:t>《易方达恒久添利</w:t>
      </w:r>
      <w:r>
        <w:rPr>
          <w:color w:val="000000"/>
          <w:sz w:val="24"/>
        </w:rPr>
        <w:t>1</w:t>
      </w:r>
      <w:r>
        <w:rPr>
          <w:color w:val="000000"/>
          <w:sz w:val="24"/>
        </w:rPr>
        <w:t>年定期开放债券型证券投资基金基金合同》；</w:t>
      </w:r>
    </w:p>
    <w:p w:rsidR="00E85808" w:rsidRDefault="00E076A7">
      <w:pPr>
        <w:spacing w:line="360" w:lineRule="auto"/>
        <w:ind w:firstLineChars="200" w:firstLine="480"/>
        <w:rPr>
          <w:color w:val="000000"/>
          <w:sz w:val="24"/>
        </w:rPr>
      </w:pPr>
      <w:r>
        <w:rPr>
          <w:color w:val="000000"/>
          <w:sz w:val="24"/>
        </w:rPr>
        <w:t>3.</w:t>
      </w:r>
      <w:r>
        <w:rPr>
          <w:color w:val="000000"/>
          <w:sz w:val="24"/>
        </w:rPr>
        <w:t>《易方达恒久添利</w:t>
      </w:r>
      <w:r>
        <w:rPr>
          <w:color w:val="000000"/>
          <w:sz w:val="24"/>
        </w:rPr>
        <w:t>1</w:t>
      </w:r>
      <w:r>
        <w:rPr>
          <w:color w:val="000000"/>
          <w:sz w:val="24"/>
        </w:rPr>
        <w:t>年定期开放债券型证券投资基金托管协议》；</w:t>
      </w:r>
    </w:p>
    <w:p w:rsidR="00E85808" w:rsidRDefault="00E076A7">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lastRenderedPageBreak/>
        <w:t>9.3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3A5" w:rsidRDefault="005C53A5">
      <w:r>
        <w:separator/>
      </w:r>
    </w:p>
  </w:endnote>
  <w:endnote w:type="continuationSeparator" w:id="0">
    <w:p w:rsidR="005C53A5" w:rsidRDefault="005C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F41556">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F41556">
      <w:rPr>
        <w:noProof/>
        <w:szCs w:val="21"/>
      </w:rPr>
      <w:t>13</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F41556">
      <w:rPr>
        <w:rStyle w:val="a7"/>
        <w:noProof/>
      </w:rPr>
      <w:t>6</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3A5" w:rsidRDefault="005C53A5">
      <w:r>
        <w:separator/>
      </w:r>
    </w:p>
  </w:footnote>
  <w:footnote w:type="continuationSeparator" w:id="0">
    <w:p w:rsidR="005C53A5" w:rsidRDefault="005C5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易方达恒久添利</w:t>
    </w:r>
    <w:r w:rsidRPr="00DA451D">
      <w:t>1</w:t>
    </w:r>
    <w:r w:rsidRPr="00DA451D">
      <w:t>年定期开放债券型证券投资基金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3A5"/>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97750"/>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076A7"/>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808"/>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1556"/>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E297E18-DEC2-431B-B8E5-E66DEA0B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408</TotalTime>
  <Pages>13</Pages>
  <Words>1008</Words>
  <Characters>5748</Characters>
  <Application>Microsoft Office Word</Application>
  <DocSecurity>0</DocSecurity>
  <Lines>47</Lines>
  <Paragraphs>13</Paragraphs>
  <ScaleCrop>false</ScaleCrop>
  <Company>TRT. Ltd. Co.</Company>
  <LinksUpToDate>false</LinksUpToDate>
  <CharactersWithSpaces>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175</cp:revision>
  <cp:lastPrinted>2007-07-19T00:46:00Z</cp:lastPrinted>
  <dcterms:created xsi:type="dcterms:W3CDTF">2013-06-21T06:56:00Z</dcterms:created>
  <dcterms:modified xsi:type="dcterms:W3CDTF">2020-07-16T10:25:00Z</dcterms:modified>
</cp:coreProperties>
</file>