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易方达投资级信用债债券型证券投资基金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中国农业银行股份有限公司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基金托管人中国农业银行股份有限公司根据本基金合同规定，于2020年7月17日复核了本报告中的财务指标、净值表现和投资组合报告等内容，保证复核内容不存在虚假记载、误导性陈述或者重大遗漏。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易方达投资级信用债债券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000205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2013年9月10日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4,082,912,584.98</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本基金主要投资于投资级信用债券，力争获得高于业绩比较基准的投资收益。</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采取积极管理的投资策略，在分析和判断宏观经济运行状况和金融市场运行趋势的基础上，确定和动态调整投资级信用债券、非投资级信用债券、利率债券和银行存款等资产类别的配置比例；自上而下地决定债券组合久期及类属配置；同时在严谨深入的信用分析的基础上，自下而上地精选个券，力争获得超越业绩比较基准的投资回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中债高信用等级债券财富指数</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中国农业银行股份有限公司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易方达投资级信用债债券A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易方达投资级信用债债券C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000205</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000206</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3,479,999,609.43</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602,912,975.55</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易方达投资级信用债债券A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易方达投资级信用债债券C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39,512,184.60</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7,677,428.01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-10,697,686.58</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-4,050,602.87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-0.0028</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-0.0053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3,975,848,227.09</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688,044,893.60</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1.142</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1.141</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易方达投资级信用债债券A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-0.18%</w:t>
            </w:r>
          </w:p>
        </w:tc>
        <w:tc>
          <w:tcPr>
            <w:vAlign w:val="center"/>
          </w:tcPr>
          <w:p>
            <w:pPr>
              <w:jc w:val="center"/>
            </w:pPr>
            <w:r>
              <w:rPr>
                <w:color w:val="000000"/>
                <w:sz w:val="24"/>
              </w:rPr>
              <w:t>0.12%</w:t>
            </w:r>
          </w:p>
        </w:tc>
        <w:tc>
          <w:tcPr>
            <w:vAlign w:val="center"/>
          </w:tcPr>
          <w:p>
            <w:pPr>
              <w:jc w:val="center"/>
            </w:pPr>
            <w:r>
              <w:rPr>
                <w:color w:val="000000"/>
                <w:sz w:val="24"/>
              </w:rPr>
              <w:t>0.28%</w:t>
            </w:r>
          </w:p>
        </w:tc>
        <w:tc>
          <w:tcPr>
            <w:vAlign w:val="center"/>
          </w:tcPr>
          <w:p>
            <w:pPr>
              <w:jc w:val="center"/>
            </w:pPr>
            <w:r>
              <w:rPr>
                <w:color w:val="000000"/>
                <w:sz w:val="24"/>
              </w:rPr>
              <w:t>0.07%</w:t>
            </w:r>
          </w:p>
        </w:tc>
        <w:tc>
          <w:tcPr>
            <w:vAlign w:val="center"/>
          </w:tcPr>
          <w:p>
            <w:pPr>
              <w:jc w:val="center"/>
            </w:pPr>
            <w:r>
              <w:rPr>
                <w:color w:val="000000"/>
                <w:sz w:val="24"/>
              </w:rPr>
              <w:t>-0.46%</w:t>
            </w:r>
          </w:p>
        </w:tc>
        <w:tc>
          <w:tcPr>
            <w:vAlign w:val="center"/>
          </w:tcPr>
          <w:p>
            <w:pPr>
              <w:jc w:val="center"/>
            </w:pPr>
            <w:r>
              <w:rPr>
                <w:color w:val="000000"/>
                <w:sz w:val="24"/>
              </w:rPr>
              <w:t>0.05%</w:t>
            </w:r>
          </w:p>
        </w:tc>
      </w:tr>
      <w:tr>
        <w:tc>
          <w:tcPr>
            <w:vAlign w:val="center"/>
          </w:tcPr>
          <w:p>
            <w:pPr>
              <w:jc w:val="left"/>
            </w:pPr>
            <w:r>
              <w:rPr>
                <w:color w:val="000000"/>
                <w:sz w:val="24"/>
              </w:rPr>
              <w:t>过去六个月</w:t>
            </w:r>
          </w:p>
        </w:tc>
        <w:tc>
          <w:tcPr>
            <w:vAlign w:val="center"/>
          </w:tcPr>
          <w:p>
            <w:pPr>
              <w:jc w:val="center"/>
            </w:pPr>
            <w:r>
              <w:rPr>
                <w:color w:val="000000"/>
                <w:sz w:val="24"/>
              </w:rPr>
              <w:t>1.84%</w:t>
            </w:r>
          </w:p>
        </w:tc>
        <w:tc>
          <w:tcPr>
            <w:vAlign w:val="center"/>
          </w:tcPr>
          <w:p>
            <w:pPr>
              <w:jc w:val="center"/>
            </w:pPr>
            <w:r>
              <w:rPr>
                <w:color w:val="000000"/>
                <w:sz w:val="24"/>
              </w:rPr>
              <w:t>0.11%</w:t>
            </w:r>
          </w:p>
        </w:tc>
        <w:tc>
          <w:tcPr>
            <w:vAlign w:val="center"/>
          </w:tcPr>
          <w:p>
            <w:pPr>
              <w:jc w:val="center"/>
            </w:pPr>
            <w:r>
              <w:rPr>
                <w:color w:val="000000"/>
                <w:sz w:val="24"/>
              </w:rPr>
              <w:t>2.23%</w:t>
            </w:r>
          </w:p>
        </w:tc>
        <w:tc>
          <w:tcPr>
            <w:vAlign w:val="center"/>
          </w:tcPr>
          <w:p>
            <w:pPr>
              <w:jc w:val="center"/>
            </w:pPr>
            <w:r>
              <w:rPr>
                <w:color w:val="000000"/>
                <w:sz w:val="24"/>
              </w:rPr>
              <w:t>0.07%</w:t>
            </w:r>
          </w:p>
        </w:tc>
        <w:tc>
          <w:tcPr>
            <w:vAlign w:val="center"/>
          </w:tcPr>
          <w:p>
            <w:pPr>
              <w:jc w:val="center"/>
            </w:pPr>
            <w:r>
              <w:rPr>
                <w:color w:val="000000"/>
                <w:sz w:val="24"/>
              </w:rPr>
              <w:t>-0.39%</w:t>
            </w:r>
          </w:p>
        </w:tc>
        <w:tc>
          <w:tcPr>
            <w:vAlign w:val="center"/>
          </w:tcPr>
          <w:p>
            <w:pPr>
              <w:jc w:val="center"/>
            </w:pPr>
            <w:r>
              <w:rPr>
                <w:color w:val="000000"/>
                <w:sz w:val="24"/>
              </w:rPr>
              <w:t>0.04%</w:t>
            </w:r>
          </w:p>
        </w:tc>
      </w:tr>
      <w:tr>
        <w:tc>
          <w:tcPr>
            <w:vAlign w:val="center"/>
          </w:tcPr>
          <w:p>
            <w:pPr>
              <w:jc w:val="left"/>
            </w:pPr>
            <w:r>
              <w:rPr>
                <w:color w:val="000000"/>
                <w:sz w:val="24"/>
              </w:rPr>
              <w:t>过去一年</w:t>
            </w:r>
          </w:p>
        </w:tc>
        <w:tc>
          <w:tcPr>
            <w:vAlign w:val="center"/>
          </w:tcPr>
          <w:p>
            <w:pPr>
              <w:jc w:val="center"/>
            </w:pPr>
            <w:r>
              <w:rPr>
                <w:color w:val="000000"/>
                <w:sz w:val="24"/>
              </w:rPr>
              <w:t>4.48%</w:t>
            </w:r>
          </w:p>
        </w:tc>
        <w:tc>
          <w:tcPr>
            <w:vAlign w:val="center"/>
          </w:tcPr>
          <w:p>
            <w:pPr>
              <w:jc w:val="center"/>
            </w:pPr>
            <w:r>
              <w:rPr>
                <w:color w:val="000000"/>
                <w:sz w:val="24"/>
              </w:rPr>
              <w:t>0.08%</w:t>
            </w:r>
          </w:p>
        </w:tc>
        <w:tc>
          <w:tcPr>
            <w:vAlign w:val="center"/>
          </w:tcPr>
          <w:p>
            <w:pPr>
              <w:jc w:val="center"/>
            </w:pPr>
            <w:r>
              <w:rPr>
                <w:color w:val="000000"/>
                <w:sz w:val="24"/>
              </w:rPr>
              <w:t>4.91%</w:t>
            </w:r>
          </w:p>
        </w:tc>
        <w:tc>
          <w:tcPr>
            <w:vAlign w:val="center"/>
          </w:tcPr>
          <w:p>
            <w:pPr>
              <w:jc w:val="center"/>
            </w:pPr>
            <w:r>
              <w:rPr>
                <w:color w:val="000000"/>
                <w:sz w:val="24"/>
              </w:rPr>
              <w:t>0.05%</w:t>
            </w:r>
          </w:p>
        </w:tc>
        <w:tc>
          <w:tcPr>
            <w:vAlign w:val="center"/>
          </w:tcPr>
          <w:p>
            <w:pPr>
              <w:jc w:val="center"/>
            </w:pPr>
            <w:r>
              <w:rPr>
                <w:color w:val="000000"/>
                <w:sz w:val="24"/>
              </w:rPr>
              <w:t>-0.43%</w:t>
            </w:r>
          </w:p>
        </w:tc>
        <w:tc>
          <w:tcPr>
            <w:vAlign w:val="center"/>
          </w:tcPr>
          <w:p>
            <w:pPr>
              <w:jc w:val="center"/>
            </w:pPr>
            <w:r>
              <w:rPr>
                <w:color w:val="000000"/>
                <w:sz w:val="24"/>
              </w:rPr>
              <w:t>0.03%</w:t>
            </w:r>
          </w:p>
        </w:tc>
      </w:tr>
      <w:tr>
        <w:tc>
          <w:tcPr>
            <w:vAlign w:val="center"/>
          </w:tcPr>
          <w:p>
            <w:pPr>
              <w:jc w:val="left"/>
            </w:pPr>
            <w:r>
              <w:rPr>
                <w:color w:val="000000"/>
                <w:sz w:val="24"/>
              </w:rPr>
              <w:t>过去三年</w:t>
            </w:r>
          </w:p>
        </w:tc>
        <w:tc>
          <w:tcPr>
            <w:vAlign w:val="center"/>
          </w:tcPr>
          <w:p>
            <w:pPr>
              <w:jc w:val="center"/>
            </w:pPr>
            <w:r>
              <w:rPr>
                <w:color w:val="000000"/>
                <w:sz w:val="24"/>
              </w:rPr>
              <w:t>14.94%</w:t>
            </w:r>
          </w:p>
        </w:tc>
        <w:tc>
          <w:tcPr>
            <w:vAlign w:val="center"/>
          </w:tcPr>
          <w:p>
            <w:pPr>
              <w:jc w:val="center"/>
            </w:pPr>
            <w:r>
              <w:rPr>
                <w:color w:val="000000"/>
                <w:sz w:val="24"/>
              </w:rPr>
              <w:t>0.07%</w:t>
            </w:r>
          </w:p>
        </w:tc>
        <w:tc>
          <w:tcPr>
            <w:vAlign w:val="center"/>
          </w:tcPr>
          <w:p>
            <w:pPr>
              <w:jc w:val="center"/>
            </w:pPr>
            <w:r>
              <w:rPr>
                <w:color w:val="000000"/>
                <w:sz w:val="24"/>
              </w:rPr>
              <w:t>17.09%</w:t>
            </w:r>
          </w:p>
        </w:tc>
        <w:tc>
          <w:tcPr>
            <w:vAlign w:val="center"/>
          </w:tcPr>
          <w:p>
            <w:pPr>
              <w:jc w:val="center"/>
            </w:pPr>
            <w:r>
              <w:rPr>
                <w:color w:val="000000"/>
                <w:sz w:val="24"/>
              </w:rPr>
              <w:t>0.05%</w:t>
            </w:r>
          </w:p>
        </w:tc>
        <w:tc>
          <w:tcPr>
            <w:vAlign w:val="center"/>
          </w:tcPr>
          <w:p>
            <w:pPr>
              <w:jc w:val="center"/>
            </w:pPr>
            <w:r>
              <w:rPr>
                <w:color w:val="000000"/>
                <w:sz w:val="24"/>
              </w:rPr>
              <w:t>-2.15%</w:t>
            </w:r>
          </w:p>
        </w:tc>
        <w:tc>
          <w:tcPr>
            <w:vAlign w:val="center"/>
          </w:tcPr>
          <w:p>
            <w:pPr>
              <w:jc w:val="center"/>
            </w:pPr>
            <w:r>
              <w:rPr>
                <w:color w:val="000000"/>
                <w:sz w:val="24"/>
              </w:rPr>
              <w:t>0.02%</w:t>
            </w:r>
          </w:p>
        </w:tc>
      </w:tr>
      <w:tr>
        <w:tc>
          <w:tcPr>
            <w:vAlign w:val="center"/>
          </w:tcPr>
          <w:p>
            <w:pPr>
              <w:jc w:val="left"/>
            </w:pPr>
            <w:r>
              <w:rPr>
                <w:color w:val="000000"/>
                <w:sz w:val="24"/>
              </w:rPr>
              <w:t>过去五年</w:t>
            </w:r>
          </w:p>
        </w:tc>
        <w:tc>
          <w:tcPr>
            <w:vAlign w:val="center"/>
          </w:tcPr>
          <w:p>
            <w:pPr>
              <w:jc w:val="center"/>
            </w:pPr>
            <w:r>
              <w:rPr>
                <w:color w:val="000000"/>
                <w:sz w:val="24"/>
              </w:rPr>
              <w:t>26.38%</w:t>
            </w:r>
          </w:p>
        </w:tc>
        <w:tc>
          <w:tcPr>
            <w:vAlign w:val="center"/>
          </w:tcPr>
          <w:p>
            <w:pPr>
              <w:jc w:val="center"/>
            </w:pPr>
            <w:r>
              <w:rPr>
                <w:color w:val="000000"/>
                <w:sz w:val="24"/>
              </w:rPr>
              <w:t>0.08%</w:t>
            </w:r>
          </w:p>
        </w:tc>
        <w:tc>
          <w:tcPr>
            <w:vAlign w:val="center"/>
          </w:tcPr>
          <w:p>
            <w:pPr>
              <w:jc w:val="center"/>
            </w:pPr>
            <w:r>
              <w:rPr>
                <w:color w:val="000000"/>
                <w:sz w:val="24"/>
              </w:rPr>
              <w:t>27.66%</w:t>
            </w:r>
          </w:p>
        </w:tc>
        <w:tc>
          <w:tcPr>
            <w:vAlign w:val="center"/>
          </w:tcPr>
          <w:p>
            <w:pPr>
              <w:jc w:val="center"/>
            </w:pPr>
            <w:r>
              <w:rPr>
                <w:color w:val="000000"/>
                <w:sz w:val="24"/>
              </w:rPr>
              <w:t>0.06%</w:t>
            </w:r>
          </w:p>
        </w:tc>
        <w:tc>
          <w:tcPr>
            <w:vAlign w:val="center"/>
          </w:tcPr>
          <w:p>
            <w:pPr>
              <w:jc w:val="center"/>
            </w:pPr>
            <w:r>
              <w:rPr>
                <w:color w:val="000000"/>
                <w:sz w:val="24"/>
              </w:rPr>
              <w:t>-1.28%</w:t>
            </w:r>
          </w:p>
        </w:tc>
        <w:tc>
          <w:tcPr>
            <w:vAlign w:val="center"/>
          </w:tcPr>
          <w:p>
            <w:pPr>
              <w:jc w:val="center"/>
            </w:pPr>
            <w:r>
              <w:rPr>
                <w:color w:val="000000"/>
                <w:sz w:val="24"/>
              </w:rPr>
              <w:t>0.02%</w:t>
            </w:r>
          </w:p>
        </w:tc>
      </w:tr>
      <w:tr>
        <w:tc>
          <w:tcPr>
            <w:vAlign w:val="center"/>
          </w:tcPr>
          <w:p>
            <w:pPr>
              <w:jc w:val="left"/>
            </w:pPr>
            <w:r>
              <w:rPr>
                <w:color w:val="000000"/>
                <w:sz w:val="24"/>
              </w:rPr>
              <w:t>自基金合同生效起至今</w:t>
            </w:r>
          </w:p>
        </w:tc>
        <w:tc>
          <w:tcPr>
            <w:vAlign w:val="center"/>
          </w:tcPr>
          <w:p>
            <w:pPr>
              <w:jc w:val="center"/>
            </w:pPr>
            <w:r>
              <w:rPr>
                <w:color w:val="000000"/>
                <w:sz w:val="24"/>
              </w:rPr>
              <w:t>48.38%</w:t>
            </w:r>
          </w:p>
        </w:tc>
        <w:tc>
          <w:tcPr>
            <w:vAlign w:val="center"/>
          </w:tcPr>
          <w:p>
            <w:pPr>
              <w:jc w:val="center"/>
            </w:pPr>
            <w:r>
              <w:rPr>
                <w:color w:val="000000"/>
                <w:sz w:val="24"/>
              </w:rPr>
              <w:t>0.10%</w:t>
            </w:r>
          </w:p>
        </w:tc>
        <w:tc>
          <w:tcPr>
            <w:vAlign w:val="center"/>
          </w:tcPr>
          <w:p>
            <w:pPr>
              <w:jc w:val="center"/>
            </w:pPr>
            <w:r>
              <w:rPr>
                <w:color w:val="000000"/>
                <w:sz w:val="24"/>
              </w:rPr>
              <w:t>44.23%</w:t>
            </w:r>
          </w:p>
        </w:tc>
        <w:tc>
          <w:tcPr>
            <w:vAlign w:val="center"/>
          </w:tcPr>
          <w:p>
            <w:pPr>
              <w:jc w:val="center"/>
            </w:pPr>
            <w:r>
              <w:rPr>
                <w:color w:val="000000"/>
                <w:sz w:val="24"/>
              </w:rPr>
              <w:t>0.07%</w:t>
            </w:r>
          </w:p>
        </w:tc>
        <w:tc>
          <w:tcPr>
            <w:vAlign w:val="center"/>
          </w:tcPr>
          <w:p>
            <w:pPr>
              <w:jc w:val="center"/>
            </w:pPr>
            <w:r>
              <w:rPr>
                <w:color w:val="000000"/>
                <w:sz w:val="24"/>
              </w:rPr>
              <w:t>4.15%</w:t>
            </w:r>
          </w:p>
        </w:tc>
        <w:tc>
          <w:tcPr>
            <w:vAlign w:val="center"/>
          </w:tcPr>
          <w:p>
            <w:pPr>
              <w:jc w:val="center"/>
            </w:pPr>
            <w:r>
              <w:rPr>
                <w:color w:val="000000"/>
                <w:sz w:val="24"/>
              </w:rPr>
              <w:t>0.03%</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易方达投资级信用债债券C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-0.18%</w:t>
            </w:r>
          </w:p>
        </w:tc>
        <w:tc>
          <w:tcPr>
            <w:vAlign w:val="center"/>
          </w:tcPr>
          <w:p>
            <w:pPr>
              <w:jc w:val="center"/>
            </w:pPr>
            <w:r>
              <w:rPr>
                <w:color w:val="000000"/>
                <w:sz w:val="24"/>
              </w:rPr>
              <w:t>0.13%</w:t>
            </w:r>
          </w:p>
        </w:tc>
        <w:tc>
          <w:tcPr>
            <w:vAlign w:val="center"/>
          </w:tcPr>
          <w:p>
            <w:pPr>
              <w:jc w:val="center"/>
            </w:pPr>
            <w:r>
              <w:rPr>
                <w:color w:val="000000"/>
                <w:sz w:val="24"/>
              </w:rPr>
              <w:t>0.28%</w:t>
            </w:r>
          </w:p>
        </w:tc>
        <w:tc>
          <w:tcPr>
            <w:vAlign w:val="center"/>
          </w:tcPr>
          <w:p>
            <w:pPr>
              <w:jc w:val="center"/>
            </w:pPr>
            <w:r>
              <w:rPr>
                <w:color w:val="000000"/>
                <w:sz w:val="24"/>
              </w:rPr>
              <w:t>0.07%</w:t>
            </w:r>
          </w:p>
        </w:tc>
        <w:tc>
          <w:tcPr>
            <w:vAlign w:val="center"/>
          </w:tcPr>
          <w:p>
            <w:pPr>
              <w:jc w:val="center"/>
            </w:pPr>
            <w:r>
              <w:rPr>
                <w:color w:val="000000"/>
                <w:sz w:val="24"/>
              </w:rPr>
              <w:t>-0.46%</w:t>
            </w:r>
          </w:p>
        </w:tc>
        <w:tc>
          <w:tcPr>
            <w:vAlign w:val="center"/>
          </w:tcPr>
          <w:p>
            <w:pPr>
              <w:jc w:val="center"/>
            </w:pPr>
            <w:r>
              <w:rPr>
                <w:color w:val="000000"/>
                <w:sz w:val="24"/>
              </w:rPr>
              <w:t>0.06%</w:t>
            </w:r>
          </w:p>
        </w:tc>
      </w:tr>
      <w:tr>
        <w:tc>
          <w:tcPr>
            <w:vAlign w:val="center"/>
          </w:tcPr>
          <w:p>
            <w:pPr>
              <w:jc w:val="left"/>
            </w:pPr>
            <w:r>
              <w:rPr>
                <w:color w:val="000000"/>
                <w:sz w:val="24"/>
              </w:rPr>
              <w:t>过去六个月</w:t>
            </w:r>
          </w:p>
        </w:tc>
        <w:tc>
          <w:tcPr>
            <w:vAlign w:val="center"/>
          </w:tcPr>
          <w:p>
            <w:pPr>
              <w:jc w:val="center"/>
            </w:pPr>
            <w:r>
              <w:rPr>
                <w:color w:val="000000"/>
                <w:sz w:val="24"/>
              </w:rPr>
              <w:t>1.76%</w:t>
            </w:r>
          </w:p>
        </w:tc>
        <w:tc>
          <w:tcPr>
            <w:vAlign w:val="center"/>
          </w:tcPr>
          <w:p>
            <w:pPr>
              <w:jc w:val="center"/>
            </w:pPr>
            <w:r>
              <w:rPr>
                <w:color w:val="000000"/>
                <w:sz w:val="24"/>
              </w:rPr>
              <w:t>0.11%</w:t>
            </w:r>
          </w:p>
        </w:tc>
        <w:tc>
          <w:tcPr>
            <w:vAlign w:val="center"/>
          </w:tcPr>
          <w:p>
            <w:pPr>
              <w:jc w:val="center"/>
            </w:pPr>
            <w:r>
              <w:rPr>
                <w:color w:val="000000"/>
                <w:sz w:val="24"/>
              </w:rPr>
              <w:t>2.23%</w:t>
            </w:r>
          </w:p>
        </w:tc>
        <w:tc>
          <w:tcPr>
            <w:vAlign w:val="center"/>
          </w:tcPr>
          <w:p>
            <w:pPr>
              <w:jc w:val="center"/>
            </w:pPr>
            <w:r>
              <w:rPr>
                <w:color w:val="000000"/>
                <w:sz w:val="24"/>
              </w:rPr>
              <w:t>0.07%</w:t>
            </w:r>
          </w:p>
        </w:tc>
        <w:tc>
          <w:tcPr>
            <w:vAlign w:val="center"/>
          </w:tcPr>
          <w:p>
            <w:pPr>
              <w:jc w:val="center"/>
            </w:pPr>
            <w:r>
              <w:rPr>
                <w:color w:val="000000"/>
                <w:sz w:val="24"/>
              </w:rPr>
              <w:t>-0.47%</w:t>
            </w:r>
          </w:p>
        </w:tc>
        <w:tc>
          <w:tcPr>
            <w:vAlign w:val="center"/>
          </w:tcPr>
          <w:p>
            <w:pPr>
              <w:jc w:val="center"/>
            </w:pPr>
            <w:r>
              <w:rPr>
                <w:color w:val="000000"/>
                <w:sz w:val="24"/>
              </w:rPr>
              <w:t>0.04%</w:t>
            </w:r>
          </w:p>
        </w:tc>
      </w:tr>
      <w:tr>
        <w:tc>
          <w:tcPr>
            <w:vAlign w:val="center"/>
          </w:tcPr>
          <w:p>
            <w:pPr>
              <w:jc w:val="left"/>
            </w:pPr>
            <w:r>
              <w:rPr>
                <w:color w:val="000000"/>
                <w:sz w:val="24"/>
              </w:rPr>
              <w:t>过去一年</w:t>
            </w:r>
          </w:p>
        </w:tc>
        <w:tc>
          <w:tcPr>
            <w:vAlign w:val="center"/>
          </w:tcPr>
          <w:p>
            <w:pPr>
              <w:jc w:val="center"/>
            </w:pPr>
            <w:r>
              <w:rPr>
                <w:color w:val="000000"/>
                <w:sz w:val="24"/>
              </w:rPr>
              <w:t>4.21%</w:t>
            </w:r>
          </w:p>
        </w:tc>
        <w:tc>
          <w:tcPr>
            <w:vAlign w:val="center"/>
          </w:tcPr>
          <w:p>
            <w:pPr>
              <w:jc w:val="center"/>
            </w:pPr>
            <w:r>
              <w:rPr>
                <w:color w:val="000000"/>
                <w:sz w:val="24"/>
              </w:rPr>
              <w:t>0.08%</w:t>
            </w:r>
          </w:p>
        </w:tc>
        <w:tc>
          <w:tcPr>
            <w:vAlign w:val="center"/>
          </w:tcPr>
          <w:p>
            <w:pPr>
              <w:jc w:val="center"/>
            </w:pPr>
            <w:r>
              <w:rPr>
                <w:color w:val="000000"/>
                <w:sz w:val="24"/>
              </w:rPr>
              <w:t>4.91%</w:t>
            </w:r>
          </w:p>
        </w:tc>
        <w:tc>
          <w:tcPr>
            <w:vAlign w:val="center"/>
          </w:tcPr>
          <w:p>
            <w:pPr>
              <w:jc w:val="center"/>
            </w:pPr>
            <w:r>
              <w:rPr>
                <w:color w:val="000000"/>
                <w:sz w:val="24"/>
              </w:rPr>
              <w:t>0.05%</w:t>
            </w:r>
          </w:p>
        </w:tc>
        <w:tc>
          <w:tcPr>
            <w:vAlign w:val="center"/>
          </w:tcPr>
          <w:p>
            <w:pPr>
              <w:jc w:val="center"/>
            </w:pPr>
            <w:r>
              <w:rPr>
                <w:color w:val="000000"/>
                <w:sz w:val="24"/>
              </w:rPr>
              <w:t>-0.70%</w:t>
            </w:r>
          </w:p>
        </w:tc>
        <w:tc>
          <w:tcPr>
            <w:vAlign w:val="center"/>
          </w:tcPr>
          <w:p>
            <w:pPr>
              <w:jc w:val="center"/>
            </w:pPr>
            <w:r>
              <w:rPr>
                <w:color w:val="000000"/>
                <w:sz w:val="24"/>
              </w:rPr>
              <w:t>0.03%</w:t>
            </w:r>
          </w:p>
        </w:tc>
      </w:tr>
      <w:tr>
        <w:tc>
          <w:tcPr>
            <w:vAlign w:val="center"/>
          </w:tcPr>
          <w:p>
            <w:pPr>
              <w:jc w:val="left"/>
            </w:pPr>
            <w:r>
              <w:rPr>
                <w:color w:val="000000"/>
                <w:sz w:val="24"/>
              </w:rPr>
              <w:t>过去三年</w:t>
            </w:r>
          </w:p>
        </w:tc>
        <w:tc>
          <w:tcPr>
            <w:vAlign w:val="center"/>
          </w:tcPr>
          <w:p>
            <w:pPr>
              <w:jc w:val="center"/>
            </w:pPr>
            <w:r>
              <w:rPr>
                <w:color w:val="000000"/>
                <w:sz w:val="24"/>
              </w:rPr>
              <w:t>14.54%</w:t>
            </w:r>
          </w:p>
        </w:tc>
        <w:tc>
          <w:tcPr>
            <w:vAlign w:val="center"/>
          </w:tcPr>
          <w:p>
            <w:pPr>
              <w:jc w:val="center"/>
            </w:pPr>
            <w:r>
              <w:rPr>
                <w:color w:val="000000"/>
                <w:sz w:val="24"/>
              </w:rPr>
              <w:t>0.07%</w:t>
            </w:r>
          </w:p>
        </w:tc>
        <w:tc>
          <w:tcPr>
            <w:vAlign w:val="center"/>
          </w:tcPr>
          <w:p>
            <w:pPr>
              <w:jc w:val="center"/>
            </w:pPr>
            <w:r>
              <w:rPr>
                <w:color w:val="000000"/>
                <w:sz w:val="24"/>
              </w:rPr>
              <w:t>17.09%</w:t>
            </w:r>
          </w:p>
        </w:tc>
        <w:tc>
          <w:tcPr>
            <w:vAlign w:val="center"/>
          </w:tcPr>
          <w:p>
            <w:pPr>
              <w:jc w:val="center"/>
            </w:pPr>
            <w:r>
              <w:rPr>
                <w:color w:val="000000"/>
                <w:sz w:val="24"/>
              </w:rPr>
              <w:t>0.05%</w:t>
            </w:r>
          </w:p>
        </w:tc>
        <w:tc>
          <w:tcPr>
            <w:vAlign w:val="center"/>
          </w:tcPr>
          <w:p>
            <w:pPr>
              <w:jc w:val="center"/>
            </w:pPr>
            <w:r>
              <w:rPr>
                <w:color w:val="000000"/>
                <w:sz w:val="24"/>
              </w:rPr>
              <w:t>-2.55%</w:t>
            </w:r>
          </w:p>
        </w:tc>
        <w:tc>
          <w:tcPr>
            <w:vAlign w:val="center"/>
          </w:tcPr>
          <w:p>
            <w:pPr>
              <w:jc w:val="center"/>
            </w:pPr>
            <w:r>
              <w:rPr>
                <w:color w:val="000000"/>
                <w:sz w:val="24"/>
              </w:rPr>
              <w:t>0.02%</w:t>
            </w:r>
          </w:p>
        </w:tc>
      </w:tr>
      <w:tr>
        <w:tc>
          <w:tcPr>
            <w:vAlign w:val="center"/>
          </w:tcPr>
          <w:p>
            <w:pPr>
              <w:jc w:val="left"/>
            </w:pPr>
            <w:r>
              <w:rPr>
                <w:color w:val="000000"/>
                <w:sz w:val="24"/>
              </w:rPr>
              <w:t>过去五年</w:t>
            </w:r>
          </w:p>
        </w:tc>
        <w:tc>
          <w:tcPr>
            <w:vAlign w:val="center"/>
          </w:tcPr>
          <w:p>
            <w:pPr>
              <w:jc w:val="center"/>
            </w:pPr>
            <w:r>
              <w:rPr>
                <w:color w:val="000000"/>
                <w:sz w:val="24"/>
              </w:rPr>
              <w:t>25.28%</w:t>
            </w:r>
          </w:p>
        </w:tc>
        <w:tc>
          <w:tcPr>
            <w:vAlign w:val="center"/>
          </w:tcPr>
          <w:p>
            <w:pPr>
              <w:jc w:val="center"/>
            </w:pPr>
            <w:r>
              <w:rPr>
                <w:color w:val="000000"/>
                <w:sz w:val="24"/>
              </w:rPr>
              <w:t>0.08%</w:t>
            </w:r>
          </w:p>
        </w:tc>
        <w:tc>
          <w:tcPr>
            <w:vAlign w:val="center"/>
          </w:tcPr>
          <w:p>
            <w:pPr>
              <w:jc w:val="center"/>
            </w:pPr>
            <w:r>
              <w:rPr>
                <w:color w:val="000000"/>
                <w:sz w:val="24"/>
              </w:rPr>
              <w:t>27.66%</w:t>
            </w:r>
          </w:p>
        </w:tc>
        <w:tc>
          <w:tcPr>
            <w:vAlign w:val="center"/>
          </w:tcPr>
          <w:p>
            <w:pPr>
              <w:jc w:val="center"/>
            </w:pPr>
            <w:r>
              <w:rPr>
                <w:color w:val="000000"/>
                <w:sz w:val="24"/>
              </w:rPr>
              <w:t>0.06%</w:t>
            </w:r>
          </w:p>
        </w:tc>
        <w:tc>
          <w:tcPr>
            <w:vAlign w:val="center"/>
          </w:tcPr>
          <w:p>
            <w:pPr>
              <w:jc w:val="center"/>
            </w:pPr>
            <w:r>
              <w:rPr>
                <w:color w:val="000000"/>
                <w:sz w:val="24"/>
              </w:rPr>
              <w:t>-2.38%</w:t>
            </w:r>
          </w:p>
        </w:tc>
        <w:tc>
          <w:tcPr>
            <w:vAlign w:val="center"/>
          </w:tcPr>
          <w:p>
            <w:pPr>
              <w:jc w:val="center"/>
            </w:pPr>
            <w:r>
              <w:rPr>
                <w:color w:val="000000"/>
                <w:sz w:val="24"/>
              </w:rPr>
              <w:t>0.02%</w:t>
            </w:r>
          </w:p>
        </w:tc>
      </w:tr>
      <w:tr>
        <w:tc>
          <w:tcPr>
            <w:vAlign w:val="center"/>
          </w:tcPr>
          <w:p>
            <w:pPr>
              <w:jc w:val="left"/>
            </w:pPr>
            <w:r>
              <w:rPr>
                <w:color w:val="000000"/>
                <w:sz w:val="24"/>
              </w:rPr>
              <w:t>自基金合同生效起至今</w:t>
            </w:r>
          </w:p>
        </w:tc>
        <w:tc>
          <w:tcPr>
            <w:vAlign w:val="center"/>
          </w:tcPr>
          <w:p>
            <w:pPr>
              <w:jc w:val="center"/>
            </w:pPr>
            <w:r>
              <w:rPr>
                <w:color w:val="000000"/>
                <w:sz w:val="24"/>
              </w:rPr>
              <w:t>46.41%</w:t>
            </w:r>
          </w:p>
        </w:tc>
        <w:tc>
          <w:tcPr>
            <w:vAlign w:val="center"/>
          </w:tcPr>
          <w:p>
            <w:pPr>
              <w:jc w:val="center"/>
            </w:pPr>
            <w:r>
              <w:rPr>
                <w:color w:val="000000"/>
                <w:sz w:val="24"/>
              </w:rPr>
              <w:t>0.10%</w:t>
            </w:r>
          </w:p>
        </w:tc>
        <w:tc>
          <w:tcPr>
            <w:vAlign w:val="center"/>
          </w:tcPr>
          <w:p>
            <w:pPr>
              <w:jc w:val="center"/>
            </w:pPr>
            <w:r>
              <w:rPr>
                <w:color w:val="000000"/>
                <w:sz w:val="24"/>
              </w:rPr>
              <w:t>44.23%</w:t>
            </w:r>
          </w:p>
        </w:tc>
        <w:tc>
          <w:tcPr>
            <w:vAlign w:val="center"/>
          </w:tcPr>
          <w:p>
            <w:pPr>
              <w:jc w:val="center"/>
            </w:pPr>
            <w:r>
              <w:rPr>
                <w:color w:val="000000"/>
                <w:sz w:val="24"/>
              </w:rPr>
              <w:t>0.07%</w:t>
            </w:r>
          </w:p>
        </w:tc>
        <w:tc>
          <w:tcPr>
            <w:vAlign w:val="center"/>
          </w:tcPr>
          <w:p>
            <w:pPr>
              <w:jc w:val="center"/>
            </w:pPr>
            <w:r>
              <w:rPr>
                <w:color w:val="000000"/>
                <w:sz w:val="24"/>
              </w:rPr>
              <w:t>2.18%</w:t>
            </w:r>
          </w:p>
        </w:tc>
        <w:tc>
          <w:tcPr>
            <w:vAlign w:val="center"/>
          </w:tcPr>
          <w:p>
            <w:pPr>
              <w:jc w:val="center"/>
            </w:pPr>
            <w:r>
              <w:rPr>
                <w:color w:val="000000"/>
                <w:sz w:val="24"/>
              </w:rPr>
              <w:t>0.03%</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易方达投资级信用债债券型证券投资基金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（2013年9月10日至2020年6月30日）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易方达投资级信用债债券A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易方达投资级信用债债券C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注：自基金合同生效至报告期末，A类基金份额净值增长率为48.38%，C类基金份额净值增长率为46.41%，同期业绩比较基准收益率为44.23%。</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中债新综合债券指数发起式证券投资基金（LOF）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1-3年国开行债券指数证券投资基金的基金经理、易方达中债3-5年国开行债券指数证券投资基金的基金经理、易方达恒兴3个月定期开放债券型发起式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2013-09-10</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rPr>
      </w:pPr>
      <w:r>
        <w:rPr>
          <w:color w:val="000000"/>
          <w:sz w:val="24"/>
        </w:rPr>
        <w:t>2.证券从业的含义遵从《证券业从业人员资格管理办法》的相关规定。</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3.本基金基金经理王晓晨曾因休产假超过30日，在其休假期间，本基金暂由我公司基金经理纪玲云代为履行基金经理职责。在本报告期内，基金经理王晓晨已结束休假恢复履职。</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上半年末，央行适时开启逆回购呵护半年末流动性，市场情绪有所恢复，长端收益率趋于稳定。信用债走势与利率债类似，全季来看收益率整体大幅上行。</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本基金维持了中性偏高的杠杆水平，但降低了组合的久期，积极根据市场情况进行利率债波段操作，重点关注信用风险以及组合的流动性风险，本组合主要配置中等久期的高等级信用债，信用债给本组合提供了最大业绩贡献。</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1.142元，本报告期份额净值增长率为-0.18%，同期业绩比较基准收益率为0.28%；C类基金份额净值为1.141元，本报告期份额净值增长率为-0.18%，同期业绩比较基准收益率为0.28%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6,233,897,074.40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96.44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6,223,847,074.40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96.29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10,050,000.00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0.16</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44,408,859.56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0.69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185,536,806.25</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2.87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6,463,842,740.21</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602,891,000.00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12.93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552,036,000.00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11.84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2,684,781,074.40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57.57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2,936,175,000.00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62.96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6,223,847,074.40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133.45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155334</w:t>
            </w:r>
          </w:p>
        </w:tc>
        <w:tc>
          <w:tcPr>
            <w:vAlign w:val="center"/>
          </w:tcPr>
          <w:p>
            <w:pPr>
              <w:jc w:val="center"/>
            </w:pPr>
            <w:r>
              <w:rPr>
                <w:color w:val="000000"/>
                <w:sz w:val="24"/>
              </w:rPr>
              <w:t>19中旅01</w:t>
            </w:r>
          </w:p>
        </w:tc>
        <w:tc>
          <w:tcPr>
            <w:vAlign w:val="center"/>
          </w:tcPr>
          <w:p>
            <w:pPr>
              <w:jc w:val="right"/>
            </w:pPr>
            <w:r>
              <w:rPr>
                <w:color w:val="000000"/>
                <w:sz w:val="24"/>
              </w:rPr>
              <w:t>1,500,000</w:t>
            </w:r>
          </w:p>
        </w:tc>
        <w:tc>
          <w:tcPr>
            <w:vAlign w:val="center"/>
          </w:tcPr>
          <w:p>
            <w:pPr>
              <w:jc w:val="right"/>
            </w:pPr>
            <w:r>
              <w:rPr>
                <w:color w:val="000000"/>
                <w:sz w:val="24"/>
              </w:rPr>
              <w:t>151,665,000.00</w:t>
            </w:r>
          </w:p>
        </w:tc>
        <w:tc>
          <w:tcPr>
            <w:vAlign w:val="center"/>
          </w:tcPr>
          <w:p>
            <w:pPr>
              <w:jc w:val="right"/>
            </w:pPr>
            <w:r>
              <w:rPr>
                <w:color w:val="000000"/>
                <w:sz w:val="24"/>
              </w:rPr>
              <w:t>3.25</w:t>
            </w:r>
          </w:p>
        </w:tc>
      </w:tr>
      <w:tr>
        <w:tc>
          <w:tcPr>
            <w:vAlign w:val="center"/>
          </w:tcPr>
          <w:p>
            <w:pPr>
              <w:jc w:val="center"/>
            </w:pPr>
            <w:r>
              <w:rPr>
                <w:color w:val="000000"/>
                <w:sz w:val="24"/>
              </w:rPr>
              <w:t>2</w:t>
            </w:r>
          </w:p>
        </w:tc>
        <w:tc>
          <w:tcPr>
            <w:vAlign w:val="center"/>
          </w:tcPr>
          <w:p>
            <w:pPr>
              <w:jc w:val="center"/>
            </w:pPr>
            <w:r>
              <w:rPr>
                <w:color w:val="000000"/>
                <w:sz w:val="24"/>
              </w:rPr>
              <w:t>102000331</w:t>
            </w:r>
          </w:p>
        </w:tc>
        <w:tc>
          <w:tcPr>
            <w:vAlign w:val="center"/>
          </w:tcPr>
          <w:p>
            <w:pPr>
              <w:jc w:val="center"/>
            </w:pPr>
            <w:r>
              <w:rPr>
                <w:color w:val="000000"/>
                <w:sz w:val="24"/>
              </w:rPr>
              <w:t>20海淀国资MTN002</w:t>
            </w:r>
          </w:p>
        </w:tc>
        <w:tc>
          <w:tcPr>
            <w:vAlign w:val="center"/>
          </w:tcPr>
          <w:p>
            <w:pPr>
              <w:jc w:val="right"/>
            </w:pPr>
            <w:r>
              <w:rPr>
                <w:color w:val="000000"/>
                <w:sz w:val="24"/>
              </w:rPr>
              <w:t>1,500,000</w:t>
            </w:r>
          </w:p>
        </w:tc>
        <w:tc>
          <w:tcPr>
            <w:vAlign w:val="center"/>
          </w:tcPr>
          <w:p>
            <w:pPr>
              <w:jc w:val="right"/>
            </w:pPr>
            <w:r>
              <w:rPr>
                <w:color w:val="000000"/>
                <w:sz w:val="24"/>
              </w:rPr>
              <w:t>148,860,000.00</w:t>
            </w:r>
          </w:p>
        </w:tc>
        <w:tc>
          <w:tcPr>
            <w:vAlign w:val="center"/>
          </w:tcPr>
          <w:p>
            <w:pPr>
              <w:jc w:val="right"/>
            </w:pPr>
            <w:r>
              <w:rPr>
                <w:color w:val="000000"/>
                <w:sz w:val="24"/>
              </w:rPr>
              <w:t>3.19</w:t>
            </w:r>
          </w:p>
        </w:tc>
      </w:tr>
      <w:tr>
        <w:tc>
          <w:tcPr>
            <w:vAlign w:val="center"/>
          </w:tcPr>
          <w:p>
            <w:pPr>
              <w:jc w:val="center"/>
            </w:pPr>
            <w:r>
              <w:rPr>
                <w:color w:val="000000"/>
                <w:sz w:val="24"/>
              </w:rPr>
              <w:t>3</w:t>
            </w:r>
          </w:p>
        </w:tc>
        <w:tc>
          <w:tcPr>
            <w:vAlign w:val="center"/>
          </w:tcPr>
          <w:p>
            <w:pPr>
              <w:jc w:val="center"/>
            </w:pPr>
            <w:r>
              <w:rPr>
                <w:color w:val="000000"/>
                <w:sz w:val="24"/>
              </w:rPr>
              <w:t>101900343</w:t>
            </w:r>
          </w:p>
        </w:tc>
        <w:tc>
          <w:tcPr>
            <w:vAlign w:val="center"/>
          </w:tcPr>
          <w:p>
            <w:pPr>
              <w:jc w:val="center"/>
            </w:pPr>
            <w:r>
              <w:rPr>
                <w:color w:val="000000"/>
                <w:sz w:val="24"/>
              </w:rPr>
              <w:t>19供销MTN001</w:t>
            </w:r>
          </w:p>
        </w:tc>
        <w:tc>
          <w:tcPr>
            <w:vAlign w:val="center"/>
          </w:tcPr>
          <w:p>
            <w:pPr>
              <w:jc w:val="right"/>
            </w:pPr>
            <w:r>
              <w:rPr>
                <w:color w:val="000000"/>
                <w:sz w:val="24"/>
              </w:rPr>
              <w:t>1,000,000</w:t>
            </w:r>
          </w:p>
        </w:tc>
        <w:tc>
          <w:tcPr>
            <w:vAlign w:val="center"/>
          </w:tcPr>
          <w:p>
            <w:pPr>
              <w:jc w:val="right"/>
            </w:pPr>
            <w:r>
              <w:rPr>
                <w:color w:val="000000"/>
                <w:sz w:val="24"/>
              </w:rPr>
              <w:t>103,240,000.00</w:t>
            </w:r>
          </w:p>
        </w:tc>
        <w:tc>
          <w:tcPr>
            <w:vAlign w:val="center"/>
          </w:tcPr>
          <w:p>
            <w:pPr>
              <w:jc w:val="right"/>
            </w:pPr>
            <w:r>
              <w:rPr>
                <w:color w:val="000000"/>
                <w:sz w:val="24"/>
              </w:rPr>
              <w:t>2.21</w:t>
            </w:r>
          </w:p>
        </w:tc>
      </w:tr>
      <w:tr>
        <w:tc>
          <w:tcPr>
            <w:vAlign w:val="center"/>
          </w:tcPr>
          <w:p>
            <w:pPr>
              <w:jc w:val="center"/>
            </w:pPr>
            <w:r>
              <w:rPr>
                <w:color w:val="000000"/>
                <w:sz w:val="24"/>
              </w:rPr>
              <w:t>4</w:t>
            </w:r>
          </w:p>
        </w:tc>
        <w:tc>
          <w:tcPr>
            <w:vAlign w:val="center"/>
          </w:tcPr>
          <w:p>
            <w:pPr>
              <w:jc w:val="center"/>
            </w:pPr>
            <w:r>
              <w:rPr>
                <w:color w:val="000000"/>
                <w:sz w:val="24"/>
              </w:rPr>
              <w:t>101901242</w:t>
            </w:r>
          </w:p>
        </w:tc>
        <w:tc>
          <w:tcPr>
            <w:vAlign w:val="center"/>
          </w:tcPr>
          <w:p>
            <w:pPr>
              <w:jc w:val="center"/>
            </w:pPr>
            <w:r>
              <w:rPr>
                <w:color w:val="000000"/>
                <w:sz w:val="24"/>
              </w:rPr>
              <w:t>19冀建投MTN002</w:t>
            </w:r>
          </w:p>
        </w:tc>
        <w:tc>
          <w:tcPr>
            <w:vAlign w:val="center"/>
          </w:tcPr>
          <w:p>
            <w:pPr>
              <w:jc w:val="right"/>
            </w:pPr>
            <w:r>
              <w:rPr>
                <w:color w:val="000000"/>
                <w:sz w:val="24"/>
              </w:rPr>
              <w:t>1,000,000</w:t>
            </w:r>
          </w:p>
        </w:tc>
        <w:tc>
          <w:tcPr>
            <w:vAlign w:val="center"/>
          </w:tcPr>
          <w:p>
            <w:pPr>
              <w:jc w:val="right"/>
            </w:pPr>
            <w:r>
              <w:rPr>
                <w:color w:val="000000"/>
                <w:sz w:val="24"/>
              </w:rPr>
              <w:t>101,230,000.00</w:t>
            </w:r>
          </w:p>
        </w:tc>
        <w:tc>
          <w:tcPr>
            <w:vAlign w:val="center"/>
          </w:tcPr>
          <w:p>
            <w:pPr>
              <w:jc w:val="right"/>
            </w:pPr>
            <w:r>
              <w:rPr>
                <w:color w:val="000000"/>
                <w:sz w:val="24"/>
              </w:rPr>
              <w:t>2.17</w:t>
            </w:r>
          </w:p>
        </w:tc>
      </w:tr>
      <w:tr>
        <w:tc>
          <w:tcPr>
            <w:vAlign w:val="center"/>
          </w:tcPr>
          <w:p>
            <w:pPr>
              <w:jc w:val="center"/>
            </w:pPr>
            <w:r>
              <w:rPr>
                <w:color w:val="000000"/>
                <w:sz w:val="24"/>
              </w:rPr>
              <w:t>5</w:t>
            </w:r>
          </w:p>
        </w:tc>
        <w:tc>
          <w:tcPr>
            <w:vAlign w:val="center"/>
          </w:tcPr>
          <w:p>
            <w:pPr>
              <w:jc w:val="center"/>
            </w:pPr>
            <w:r>
              <w:rPr>
                <w:color w:val="000000"/>
                <w:sz w:val="24"/>
              </w:rPr>
              <w:t>180210</w:t>
            </w:r>
          </w:p>
        </w:tc>
        <w:tc>
          <w:tcPr>
            <w:vAlign w:val="center"/>
          </w:tcPr>
          <w:p>
            <w:pPr>
              <w:jc w:val="center"/>
            </w:pPr>
            <w:r>
              <w:rPr>
                <w:color w:val="000000"/>
                <w:sz w:val="24"/>
              </w:rPr>
              <w:t>18国开10</w:t>
            </w:r>
          </w:p>
        </w:tc>
        <w:tc>
          <w:tcPr>
            <w:vAlign w:val="center"/>
          </w:tcPr>
          <w:p>
            <w:pPr>
              <w:jc w:val="right"/>
            </w:pPr>
            <w:r>
              <w:rPr>
                <w:color w:val="000000"/>
                <w:sz w:val="24"/>
              </w:rPr>
              <w:t>900,000</w:t>
            </w:r>
          </w:p>
        </w:tc>
        <w:tc>
          <w:tcPr>
            <w:vAlign w:val="center"/>
          </w:tcPr>
          <w:p>
            <w:pPr>
              <w:jc w:val="right"/>
            </w:pPr>
            <w:r>
              <w:rPr>
                <w:color w:val="000000"/>
                <w:sz w:val="24"/>
              </w:rPr>
              <w:t>94,239,000.00</w:t>
            </w:r>
          </w:p>
        </w:tc>
        <w:tc>
          <w:tcPr>
            <w:vAlign w:val="center"/>
          </w:tcPr>
          <w:p>
            <w:pPr>
              <w:jc w:val="right"/>
            </w:pPr>
            <w:r>
              <w:rPr>
                <w:color w:val="000000"/>
                <w:sz w:val="24"/>
              </w:rPr>
              <w:t>2.02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165717</w:t>
            </w:r>
          </w:p>
        </w:tc>
        <w:tc>
          <w:tcPr>
            <w:vAlign w:val="center"/>
          </w:tcPr>
          <w:p>
            <w:pPr>
              <w:jc w:val="center"/>
            </w:pPr>
            <w:r>
              <w:rPr>
                <w:color w:val="000000"/>
                <w:sz w:val="24"/>
              </w:rPr>
              <w:t>20六局2A</w:t>
            </w:r>
          </w:p>
        </w:tc>
        <w:tc>
          <w:tcPr>
            <w:vAlign w:val="center"/>
          </w:tcPr>
          <w:p>
            <w:pPr>
              <w:jc w:val="right"/>
            </w:pPr>
            <w:r>
              <w:rPr>
                <w:color w:val="000000"/>
                <w:sz w:val="24"/>
              </w:rPr>
              <w:t>100,000</w:t>
            </w:r>
          </w:p>
        </w:tc>
        <w:tc>
          <w:tcPr>
            <w:vAlign w:val="center"/>
          </w:tcPr>
          <w:p>
            <w:pPr>
              <w:jc w:val="right"/>
            </w:pPr>
            <w:r>
              <w:rPr>
                <w:color w:val="000000"/>
                <w:sz w:val="24"/>
              </w:rPr>
              <w:t>10,050,000.00</w:t>
            </w:r>
          </w:p>
        </w:tc>
        <w:tc>
          <w:tcPr>
            <w:vAlign w:val="center"/>
          </w:tcPr>
          <w:p>
            <w:pPr>
              <w:jc w:val="right"/>
            </w:pPr>
            <w:r>
              <w:rPr>
                <w:color w:val="000000"/>
                <w:sz w:val="24"/>
              </w:rPr>
              <w:t>0.22</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75,222.52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49,991,313.27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112,778,865.47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22,691,404.99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185,536,806.25</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易方达投资级信用债债券A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易方达投资级信用债债券C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3,497,593,288.66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703,808,184.89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1,039,430,378.07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344,391,074.83</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1,057,024,057.30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445,286,284.17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3,479,999,609.43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602,912,975.55</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1.中国证监会核准易方达投资级信用债债券型证券投资基金募集的文件；</w:t>
      </w:r>
    </w:p>
    <w:p>
      <w:pPr>
        <w:spacing w:line="360" w:lineRule="auto"/>
        <w:ind w:firstLine="480" w:firstLineChars="200"/>
        <w:rPr>
          <w:color w:val="000000"/>
          <w:sz w:val="24"/>
        </w:rPr>
      </w:pPr>
      <w:r>
        <w:rPr>
          <w:color w:val="000000"/>
          <w:sz w:val="24"/>
        </w:rPr>
        <w:t>2.《易方达投资级信用债债券型证券投资基金基金合同》；</w:t>
      </w:r>
    </w:p>
    <w:p>
      <w:pPr>
        <w:spacing w:line="360" w:lineRule="auto"/>
        <w:ind w:firstLine="480" w:firstLineChars="200"/>
        <w:rPr>
          <w:color w:val="000000"/>
          <w:sz w:val="24"/>
        </w:rPr>
      </w:pPr>
      <w:r>
        <w:rPr>
          <w:color w:val="000000"/>
          <w:sz w:val="24"/>
        </w:rPr>
        <w:t>3.《易方达投资级信用债债券型证券投资基金托管协议》；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易方达投资级信用债债券型证券投资基金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