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易方达丰华债券型证券投资基金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招商银行股份有限公司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基金托管人招商银行股份有限公司根据本基金合同规定，于2020年7月17日复核了本报告中的财务指标、净值表现和投资组合报告等内容，保证复核内容不存在虚假记载、误导性陈述或者重大遗漏。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易方达丰华债券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000189</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2019年2月19日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632,553,686.25</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本基金在控制风险的前提下，力争实现基金资产的长期稳健增值。</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综合考量各类资产的市场容量、市场流动性和风险收益特征等因素，在固定收益类资产和权益类资产等资产类别之间进行动态配置，确定资产的最优配置比例。本基金在债券投资上主要通过久期配置、类属配置、期限结构配置和个券选择四个层次进行投资管理。本基金将适度参与股票资产投资，投资部分主要采取“自下而上”的投资策略，精选优质企业进行投资。本基金将结合对宏观经济状况、行业成长空间、行业集中度、公司竞争优势等因素的判断，对公司的盈利能力、偿债能力、营运能力、成长性、估值水平、公司战略、治理结构和商业模式等方面进行定量和定性的分析，追求股票投资组合的长期稳健增值。</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沪深300指数收益率×10%+中债总指数收益率×90%</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本基金为债券型基金，其长期平均风险和预期收益率理论上低于股票型基金、混合型基金，高于货币市场基金。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招商银行股份有限公司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易方达丰华债券A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易方达丰华债券C</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000189</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006867</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442,425,523.68</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190,128,162.57</w:t>
            </w:r>
            <w:r w:rsidRPr="00C30CFF">
              <w:rPr>
                <w:color w:val="000000"/>
                <w:kern w:val="0"/>
                <w:sz w:val="24"/>
              </w:rPr>
              <w:t>份</w:t>
            </w:r>
          </w:p>
        </w:tc>
      </w:tr>
    </w:tbl>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r w:rsidRPr="00C30CFF">
        <w:rPr>
          <w:color w:val="000000"/>
          <w:sz w:val="24"/>
        </w:rPr>
        <w:t/>
      </w:r>
      <w:proofErr w:type="spellEnd"/>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注：本基金A类份额由原易方达保本一号混合型证券投资基金转型而来，并增设C类份额类别，基金合同于2019年2月19日起生效，C类份额首次确认日为2019年2月20日。</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易方达丰华债券A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易方达丰华债券C</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2,690,113.88</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1,040,884.52</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21,868,573.26</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10,026,236.03</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0.0517</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0.0465</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515,115,996.83</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220,169,486.26</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1.1643</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1.1580</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易方达丰华债券A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4.81%</w:t>
            </w:r>
          </w:p>
        </w:tc>
        <w:tc>
          <w:tcPr>
            <w:vAlign w:val="center"/>
          </w:tcPr>
          <w:p>
            <w:pPr>
              <w:jc w:val="center"/>
            </w:pPr>
            <w:r>
              <w:rPr>
                <w:color w:val="000000"/>
                <w:sz w:val="24"/>
              </w:rPr>
              <w:t>0.30%</w:t>
            </w:r>
          </w:p>
        </w:tc>
        <w:tc>
          <w:tcPr>
            <w:vAlign w:val="center"/>
          </w:tcPr>
          <w:p>
            <w:pPr>
              <w:jc w:val="center"/>
            </w:pPr>
            <w:r>
              <w:rPr>
                <w:color w:val="000000"/>
                <w:sz w:val="24"/>
              </w:rPr>
              <w:t>-0.24%</w:t>
            </w:r>
          </w:p>
        </w:tc>
        <w:tc>
          <w:tcPr>
            <w:vAlign w:val="center"/>
          </w:tcPr>
          <w:p>
            <w:pPr>
              <w:jc w:val="center"/>
            </w:pPr>
            <w:r>
              <w:rPr>
                <w:color w:val="000000"/>
                <w:sz w:val="24"/>
              </w:rPr>
              <w:t>0.19%</w:t>
            </w:r>
          </w:p>
        </w:tc>
        <w:tc>
          <w:tcPr>
            <w:vAlign w:val="center"/>
          </w:tcPr>
          <w:p>
            <w:pPr>
              <w:jc w:val="center"/>
            </w:pPr>
            <w:r>
              <w:rPr>
                <w:color w:val="000000"/>
                <w:sz w:val="24"/>
              </w:rPr>
              <w:t>5.05%</w:t>
            </w:r>
          </w:p>
        </w:tc>
        <w:tc>
          <w:tcPr>
            <w:vAlign w:val="center"/>
          </w:tcPr>
          <w:p>
            <w:pPr>
              <w:jc w:val="center"/>
            </w:pPr>
            <w:r>
              <w:rPr>
                <w:color w:val="000000"/>
                <w:sz w:val="24"/>
              </w:rPr>
              <w:t>0.11%</w:t>
            </w:r>
          </w:p>
        </w:tc>
      </w:tr>
      <w:tr>
        <w:tc>
          <w:tcPr>
            <w:vAlign w:val="center"/>
          </w:tcPr>
          <w:p>
            <w:pPr>
              <w:jc w:val="left"/>
            </w:pPr>
            <w:r>
              <w:rPr>
                <w:color w:val="000000"/>
                <w:sz w:val="24"/>
              </w:rPr>
              <w:t>过去六个月</w:t>
            </w:r>
          </w:p>
        </w:tc>
        <w:tc>
          <w:tcPr>
            <w:vAlign w:val="center"/>
          </w:tcPr>
          <w:p>
            <w:pPr>
              <w:jc w:val="center"/>
            </w:pPr>
            <w:r>
              <w:rPr>
                <w:color w:val="000000"/>
                <w:sz w:val="24"/>
              </w:rPr>
              <w:t>5.65%</w:t>
            </w:r>
          </w:p>
        </w:tc>
        <w:tc>
          <w:tcPr>
            <w:vAlign w:val="center"/>
          </w:tcPr>
          <w:p>
            <w:pPr>
              <w:jc w:val="center"/>
            </w:pPr>
            <w:r>
              <w:rPr>
                <w:color w:val="000000"/>
                <w:sz w:val="24"/>
              </w:rPr>
              <w:t>0.59%</w:t>
            </w:r>
          </w:p>
        </w:tc>
        <w:tc>
          <w:tcPr>
            <w:vAlign w:val="center"/>
          </w:tcPr>
          <w:p>
            <w:pPr>
              <w:jc w:val="center"/>
            </w:pPr>
            <w:r>
              <w:rPr>
                <w:color w:val="000000"/>
                <w:sz w:val="24"/>
              </w:rPr>
              <w:t>0.92%</w:t>
            </w:r>
          </w:p>
        </w:tc>
        <w:tc>
          <w:tcPr>
            <w:vAlign w:val="center"/>
          </w:tcPr>
          <w:p>
            <w:pPr>
              <w:jc w:val="center"/>
            </w:pPr>
            <w:r>
              <w:rPr>
                <w:color w:val="000000"/>
                <w:sz w:val="24"/>
              </w:rPr>
              <w:t>0.18%</w:t>
            </w:r>
          </w:p>
        </w:tc>
        <w:tc>
          <w:tcPr>
            <w:vAlign w:val="center"/>
          </w:tcPr>
          <w:p>
            <w:pPr>
              <w:jc w:val="center"/>
            </w:pPr>
            <w:r>
              <w:rPr>
                <w:color w:val="000000"/>
                <w:sz w:val="24"/>
              </w:rPr>
              <w:t>4.73%</w:t>
            </w:r>
          </w:p>
        </w:tc>
        <w:tc>
          <w:tcPr>
            <w:vAlign w:val="center"/>
          </w:tcPr>
          <w:p>
            <w:pPr>
              <w:jc w:val="center"/>
            </w:pPr>
            <w:r>
              <w:rPr>
                <w:color w:val="000000"/>
                <w:sz w:val="24"/>
              </w:rPr>
              <w:t>0.41%</w:t>
            </w:r>
          </w:p>
        </w:tc>
      </w:tr>
      <w:tr>
        <w:tc>
          <w:tcPr>
            <w:vAlign w:val="center"/>
          </w:tcPr>
          <w:p>
            <w:pPr>
              <w:jc w:val="left"/>
            </w:pPr>
            <w:r>
              <w:rPr>
                <w:color w:val="000000"/>
                <w:sz w:val="24"/>
              </w:rPr>
              <w:t>过去一年</w:t>
            </w:r>
          </w:p>
        </w:tc>
        <w:tc>
          <w:tcPr>
            <w:vAlign w:val="center"/>
          </w:tcPr>
          <w:p>
            <w:pPr>
              <w:jc w:val="center"/>
            </w:pPr>
            <w:r>
              <w:rPr>
                <w:color w:val="000000"/>
                <w:sz w:val="24"/>
              </w:rPr>
              <w:t>15.56%</w:t>
            </w:r>
          </w:p>
        </w:tc>
        <w:tc>
          <w:tcPr>
            <w:vAlign w:val="center"/>
          </w:tcPr>
          <w:p>
            <w:pPr>
              <w:jc w:val="center"/>
            </w:pPr>
            <w:r>
              <w:rPr>
                <w:color w:val="000000"/>
                <w:sz w:val="24"/>
              </w:rPr>
              <w:t>0.45%</w:t>
            </w:r>
          </w:p>
        </w:tc>
        <w:tc>
          <w:tcPr>
            <w:vAlign w:val="center"/>
          </w:tcPr>
          <w:p>
            <w:pPr>
              <w:jc w:val="center"/>
            </w:pPr>
            <w:r>
              <w:rPr>
                <w:color w:val="000000"/>
                <w:sz w:val="24"/>
              </w:rPr>
              <w:t>2.98%</w:t>
            </w:r>
          </w:p>
        </w:tc>
        <w:tc>
          <w:tcPr>
            <w:vAlign w:val="center"/>
          </w:tcPr>
          <w:p>
            <w:pPr>
              <w:jc w:val="center"/>
            </w:pPr>
            <w:r>
              <w:rPr>
                <w:color w:val="000000"/>
                <w:sz w:val="24"/>
              </w:rPr>
              <w:t>0.14%</w:t>
            </w:r>
          </w:p>
        </w:tc>
        <w:tc>
          <w:tcPr>
            <w:vAlign w:val="center"/>
          </w:tcPr>
          <w:p>
            <w:pPr>
              <w:jc w:val="center"/>
            </w:pPr>
            <w:r>
              <w:rPr>
                <w:color w:val="000000"/>
                <w:sz w:val="24"/>
              </w:rPr>
              <w:t>12.58%</w:t>
            </w:r>
          </w:p>
        </w:tc>
        <w:tc>
          <w:tcPr>
            <w:vAlign w:val="center"/>
          </w:tcPr>
          <w:p>
            <w:pPr>
              <w:jc w:val="center"/>
            </w:pPr>
            <w:r>
              <w:rPr>
                <w:color w:val="000000"/>
                <w:sz w:val="24"/>
              </w:rPr>
              <w:t>0.31%</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16.43%</w:t>
            </w:r>
          </w:p>
        </w:tc>
        <w:tc>
          <w:tcPr>
            <w:vAlign w:val="center"/>
          </w:tcPr>
          <w:p>
            <w:pPr>
              <w:jc w:val="center"/>
            </w:pPr>
            <w:r>
              <w:rPr>
                <w:color w:val="000000"/>
                <w:sz w:val="24"/>
              </w:rPr>
              <w:t>0.42%</w:t>
            </w:r>
          </w:p>
        </w:tc>
        <w:tc>
          <w:tcPr>
            <w:vAlign w:val="center"/>
          </w:tcPr>
          <w:p>
            <w:pPr>
              <w:jc w:val="center"/>
            </w:pPr>
            <w:r>
              <w:rPr>
                <w:color w:val="000000"/>
                <w:sz w:val="24"/>
              </w:rPr>
              <w:t>3.57%</w:t>
            </w:r>
          </w:p>
        </w:tc>
        <w:tc>
          <w:tcPr>
            <w:vAlign w:val="center"/>
          </w:tcPr>
          <w:p>
            <w:pPr>
              <w:jc w:val="center"/>
            </w:pPr>
            <w:r>
              <w:rPr>
                <w:color w:val="000000"/>
                <w:sz w:val="24"/>
              </w:rPr>
              <w:t>0.14%</w:t>
            </w:r>
          </w:p>
        </w:tc>
        <w:tc>
          <w:tcPr>
            <w:vAlign w:val="center"/>
          </w:tcPr>
          <w:p>
            <w:pPr>
              <w:jc w:val="center"/>
            </w:pPr>
            <w:r>
              <w:rPr>
                <w:color w:val="000000"/>
                <w:sz w:val="24"/>
              </w:rPr>
              <w:t>12.86%</w:t>
            </w:r>
          </w:p>
        </w:tc>
        <w:tc>
          <w:tcPr>
            <w:vAlign w:val="center"/>
          </w:tcPr>
          <w:p>
            <w:pPr>
              <w:jc w:val="center"/>
            </w:pPr>
            <w:r>
              <w:rPr>
                <w:color w:val="000000"/>
                <w:sz w:val="24"/>
              </w:rPr>
              <w:t>0.28%</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易方达丰华债券C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4.70%</w:t>
            </w:r>
          </w:p>
        </w:tc>
        <w:tc>
          <w:tcPr>
            <w:vAlign w:val="center"/>
          </w:tcPr>
          <w:p>
            <w:pPr>
              <w:jc w:val="center"/>
            </w:pPr>
            <w:r>
              <w:rPr>
                <w:color w:val="000000"/>
                <w:sz w:val="24"/>
              </w:rPr>
              <w:t>0.30%</w:t>
            </w:r>
          </w:p>
        </w:tc>
        <w:tc>
          <w:tcPr>
            <w:vAlign w:val="center"/>
          </w:tcPr>
          <w:p>
            <w:pPr>
              <w:jc w:val="center"/>
            </w:pPr>
            <w:r>
              <w:rPr>
                <w:color w:val="000000"/>
                <w:sz w:val="24"/>
              </w:rPr>
              <w:t>-0.24%</w:t>
            </w:r>
          </w:p>
        </w:tc>
        <w:tc>
          <w:tcPr>
            <w:vAlign w:val="center"/>
          </w:tcPr>
          <w:p>
            <w:pPr>
              <w:jc w:val="center"/>
            </w:pPr>
            <w:r>
              <w:rPr>
                <w:color w:val="000000"/>
                <w:sz w:val="24"/>
              </w:rPr>
              <w:t>0.19%</w:t>
            </w:r>
          </w:p>
        </w:tc>
        <w:tc>
          <w:tcPr>
            <w:vAlign w:val="center"/>
          </w:tcPr>
          <w:p>
            <w:pPr>
              <w:jc w:val="center"/>
            </w:pPr>
            <w:r>
              <w:rPr>
                <w:color w:val="000000"/>
                <w:sz w:val="24"/>
              </w:rPr>
              <w:t>4.94%</w:t>
            </w:r>
          </w:p>
        </w:tc>
        <w:tc>
          <w:tcPr>
            <w:vAlign w:val="center"/>
          </w:tcPr>
          <w:p>
            <w:pPr>
              <w:jc w:val="center"/>
            </w:pPr>
            <w:r>
              <w:rPr>
                <w:color w:val="000000"/>
                <w:sz w:val="24"/>
              </w:rPr>
              <w:t>0.11%</w:t>
            </w:r>
          </w:p>
        </w:tc>
      </w:tr>
      <w:tr>
        <w:tc>
          <w:tcPr>
            <w:vAlign w:val="center"/>
          </w:tcPr>
          <w:p>
            <w:pPr>
              <w:jc w:val="left"/>
            </w:pPr>
            <w:r>
              <w:rPr>
                <w:color w:val="000000"/>
                <w:sz w:val="24"/>
              </w:rPr>
              <w:t>过去六个月</w:t>
            </w:r>
          </w:p>
        </w:tc>
        <w:tc>
          <w:tcPr>
            <w:vAlign w:val="center"/>
          </w:tcPr>
          <w:p>
            <w:pPr>
              <w:jc w:val="center"/>
            </w:pPr>
            <w:r>
              <w:rPr>
                <w:color w:val="000000"/>
                <w:sz w:val="24"/>
              </w:rPr>
              <w:t>5.45%</w:t>
            </w:r>
          </w:p>
        </w:tc>
        <w:tc>
          <w:tcPr>
            <w:vAlign w:val="center"/>
          </w:tcPr>
          <w:p>
            <w:pPr>
              <w:jc w:val="center"/>
            </w:pPr>
            <w:r>
              <w:rPr>
                <w:color w:val="000000"/>
                <w:sz w:val="24"/>
              </w:rPr>
              <w:t>0.59%</w:t>
            </w:r>
          </w:p>
        </w:tc>
        <w:tc>
          <w:tcPr>
            <w:vAlign w:val="center"/>
          </w:tcPr>
          <w:p>
            <w:pPr>
              <w:jc w:val="center"/>
            </w:pPr>
            <w:r>
              <w:rPr>
                <w:color w:val="000000"/>
                <w:sz w:val="24"/>
              </w:rPr>
              <w:t>0.92%</w:t>
            </w:r>
          </w:p>
        </w:tc>
        <w:tc>
          <w:tcPr>
            <w:vAlign w:val="center"/>
          </w:tcPr>
          <w:p>
            <w:pPr>
              <w:jc w:val="center"/>
            </w:pPr>
            <w:r>
              <w:rPr>
                <w:color w:val="000000"/>
                <w:sz w:val="24"/>
              </w:rPr>
              <w:t>0.18%</w:t>
            </w:r>
          </w:p>
        </w:tc>
        <w:tc>
          <w:tcPr>
            <w:vAlign w:val="center"/>
          </w:tcPr>
          <w:p>
            <w:pPr>
              <w:jc w:val="center"/>
            </w:pPr>
            <w:r>
              <w:rPr>
                <w:color w:val="000000"/>
                <w:sz w:val="24"/>
              </w:rPr>
              <w:t>4.53%</w:t>
            </w:r>
          </w:p>
        </w:tc>
        <w:tc>
          <w:tcPr>
            <w:vAlign w:val="center"/>
          </w:tcPr>
          <w:p>
            <w:pPr>
              <w:jc w:val="center"/>
            </w:pPr>
            <w:r>
              <w:rPr>
                <w:color w:val="000000"/>
                <w:sz w:val="24"/>
              </w:rPr>
              <w:t>0.41%</w:t>
            </w:r>
          </w:p>
        </w:tc>
      </w:tr>
      <w:tr>
        <w:tc>
          <w:tcPr>
            <w:vAlign w:val="center"/>
          </w:tcPr>
          <w:p>
            <w:pPr>
              <w:jc w:val="left"/>
            </w:pPr>
            <w:r>
              <w:rPr>
                <w:color w:val="000000"/>
                <w:sz w:val="24"/>
              </w:rPr>
              <w:t>过去一年</w:t>
            </w:r>
          </w:p>
        </w:tc>
        <w:tc>
          <w:tcPr>
            <w:vAlign w:val="center"/>
          </w:tcPr>
          <w:p>
            <w:pPr>
              <w:jc w:val="center"/>
            </w:pPr>
            <w:r>
              <w:rPr>
                <w:color w:val="000000"/>
                <w:sz w:val="24"/>
              </w:rPr>
              <w:t>15.10%</w:t>
            </w:r>
          </w:p>
        </w:tc>
        <w:tc>
          <w:tcPr>
            <w:vAlign w:val="center"/>
          </w:tcPr>
          <w:p>
            <w:pPr>
              <w:jc w:val="center"/>
            </w:pPr>
            <w:r>
              <w:rPr>
                <w:color w:val="000000"/>
                <w:sz w:val="24"/>
              </w:rPr>
              <w:t>0.45%</w:t>
            </w:r>
          </w:p>
        </w:tc>
        <w:tc>
          <w:tcPr>
            <w:vAlign w:val="center"/>
          </w:tcPr>
          <w:p>
            <w:pPr>
              <w:jc w:val="center"/>
            </w:pPr>
            <w:r>
              <w:rPr>
                <w:color w:val="000000"/>
                <w:sz w:val="24"/>
              </w:rPr>
              <w:t>2.98%</w:t>
            </w:r>
          </w:p>
        </w:tc>
        <w:tc>
          <w:tcPr>
            <w:vAlign w:val="center"/>
          </w:tcPr>
          <w:p>
            <w:pPr>
              <w:jc w:val="center"/>
            </w:pPr>
            <w:r>
              <w:rPr>
                <w:color w:val="000000"/>
                <w:sz w:val="24"/>
              </w:rPr>
              <w:t>0.14%</w:t>
            </w:r>
          </w:p>
        </w:tc>
        <w:tc>
          <w:tcPr>
            <w:vAlign w:val="center"/>
          </w:tcPr>
          <w:p>
            <w:pPr>
              <w:jc w:val="center"/>
            </w:pPr>
            <w:r>
              <w:rPr>
                <w:color w:val="000000"/>
                <w:sz w:val="24"/>
              </w:rPr>
              <w:t>12.12%</w:t>
            </w:r>
          </w:p>
        </w:tc>
        <w:tc>
          <w:tcPr>
            <w:vAlign w:val="center"/>
          </w:tcPr>
          <w:p>
            <w:pPr>
              <w:jc w:val="center"/>
            </w:pPr>
            <w:r>
              <w:rPr>
                <w:color w:val="000000"/>
                <w:sz w:val="24"/>
              </w:rPr>
              <w:t>0.31%</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15.79%</w:t>
            </w:r>
          </w:p>
        </w:tc>
        <w:tc>
          <w:tcPr>
            <w:vAlign w:val="center"/>
          </w:tcPr>
          <w:p>
            <w:pPr>
              <w:jc w:val="center"/>
            </w:pPr>
            <w:r>
              <w:rPr>
                <w:color w:val="000000"/>
                <w:sz w:val="24"/>
              </w:rPr>
              <w:t>0.42%</w:t>
            </w:r>
          </w:p>
        </w:tc>
        <w:tc>
          <w:tcPr>
            <w:vAlign w:val="center"/>
          </w:tcPr>
          <w:p>
            <w:pPr>
              <w:jc w:val="center"/>
            </w:pPr>
            <w:r>
              <w:rPr>
                <w:color w:val="000000"/>
                <w:sz w:val="24"/>
              </w:rPr>
              <w:t>3.60%</w:t>
            </w:r>
          </w:p>
        </w:tc>
        <w:tc>
          <w:tcPr>
            <w:vAlign w:val="center"/>
          </w:tcPr>
          <w:p>
            <w:pPr>
              <w:jc w:val="center"/>
            </w:pPr>
            <w:r>
              <w:rPr>
                <w:color w:val="000000"/>
                <w:sz w:val="24"/>
              </w:rPr>
              <w:t>0.15%</w:t>
            </w:r>
          </w:p>
        </w:tc>
        <w:tc>
          <w:tcPr>
            <w:vAlign w:val="center"/>
          </w:tcPr>
          <w:p>
            <w:pPr>
              <w:jc w:val="center"/>
            </w:pPr>
            <w:r>
              <w:rPr>
                <w:color w:val="000000"/>
                <w:sz w:val="24"/>
              </w:rPr>
              <w:t>12.19%</w:t>
            </w:r>
          </w:p>
        </w:tc>
        <w:tc>
          <w:tcPr>
            <w:vAlign w:val="center"/>
          </w:tcPr>
          <w:p>
            <w:pPr>
              <w:jc w:val="center"/>
            </w:pPr>
            <w:r>
              <w:rPr>
                <w:color w:val="000000"/>
                <w:sz w:val="24"/>
              </w:rPr>
              <w:t>0.27%</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自基金转型以来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易方达丰华债券型证券投资基金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易方达丰华债券A</w:t>
      </w:r>
    </w:p>
    <w:p w:rsidP="00D477DB" w:rsidR="00F016DD" w:rsidRDefault="00526282" w:rsidRPr="00526282">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（2019年2月19日至2020年6月30日）</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易方达丰华债券C</w:t>
      </w:r>
    </w:p>
    <w:p w:rsidP="00D477DB" w:rsidR="00F016DD" w:rsidRDefault="00526282" w:rsidRPr="00526282">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（2019年2月20日至2020年6月30日）</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pPr>
        <w:spacing w:line="360" w:lineRule="auto"/>
        <w:ind w:firstLine="480" w:firstLineChars="200"/>
        <w:rPr>
          <w:color w:val="000000"/>
          <w:sz w:val="24"/>
        </w:rPr>
      </w:pPr>
      <w:r>
        <w:rPr>
          <w:color w:val="000000"/>
          <w:sz w:val="24"/>
        </w:rPr>
        <w:t>注：1.本基金由原易方达保本一号混合型证券投资基金于2019年2月19日转型而来。</w:t>
      </w:r>
    </w:p>
    <w:p>
      <w:pPr>
        <w:spacing w:line="360" w:lineRule="auto"/>
        <w:ind w:firstLine="480" w:firstLineChars="200"/>
        <w:rPr>
          <w:color w:val="000000"/>
          <w:sz w:val="24"/>
        </w:rPr>
      </w:pPr>
      <w:r>
        <w:rPr>
          <w:color w:val="000000"/>
          <w:sz w:val="24"/>
        </w:rPr>
        <w:t>2.自2019年2月19日起，本基金增设C类份额类别，份额首次确认日为2019年2月20日，增设当期的相关数据和指标按实际存续期计算。</w:t>
      </w:r>
    </w:p>
    <w:p>
      <w:pPr>
        <w:spacing w:line="360" w:lineRule="auto"/>
        <w:ind w:firstLine="480" w:firstLineChars="200"/>
        <w:rPr>
          <w:color w:val="000000"/>
          <w:sz w:val="24"/>
        </w:rPr>
      </w:pPr>
      <w:r>
        <w:rPr>
          <w:color w:val="000000"/>
          <w:sz w:val="24"/>
        </w:rPr>
        <w:t>3.按基金合同和招募说明书的约定，本基金的建仓期为六个月，建仓期结束时基金总资产超过基金净资产的140%，为被动超标，已在规定的期限内调整完毕，其他各项资产配置比例符合基金合同（第十一部分二、投资范围，三、投资策略和四、投资限制）的有关约定。</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4.自基金转型至报告期末，A类基金份额净值增长率为16.43%，同期业绩比较基准收益率为3.57%。C类基金份额净值增长率为15.79%，同期业绩比较基准收益率为3.60%。</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张清华</w:t>
            </w:r>
          </w:p>
        </w:tc>
        <w:tc>
          <w:tcPr>
            <w:vAlign w:val="center"/>
          </w:tcPr>
          <w:p>
            <w:pPr>
              <w:jc w:val="left"/>
            </w:pPr>
            <w:r>
              <w:rPr>
                <w:color w:val="000000"/>
                <w:sz w:val="24"/>
              </w:rPr>
              <w:t>本基金的基金经理、易方达安心回报债券型证券投资基金的基金经理、易方达裕丰回报债券型证券投资基金的基金经理、易方达安心回馈混合型证券投资基金的基金经理、易方达裕祥回报债券型证券投资基金的基金经理、易方达丰和债券型证券投资基金的基金经理、易方达安盈回报混合型证券投资基金的基金经理、易方达新收益灵活配置混合型证券投资基金的基金经理、混合资产投资部总经理</w:t>
            </w:r>
          </w:p>
        </w:tc>
        <w:tc>
          <w:tcPr>
            <w:vAlign w:val="center"/>
          </w:tcPr>
          <w:p>
            <w:pPr>
              <w:jc w:val="center"/>
            </w:pPr>
            <w:r>
              <w:rPr>
                <w:color w:val="000000"/>
                <w:sz w:val="24"/>
              </w:rPr>
              <w:t>2019-02-19</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晨星资讯（深圳）有限公司数量分析师，中信证券股份有限公司研究员，易方达基金管理有限公司投资经理、固定收益基金投资部总经理、易方达裕如灵活配置混合型证券投资基金基金经理、易方达新收益灵活配置混合型证券投资基金基金经理、易方达瑞选灵活配置混合型证券投资基金基金经理、易方达新利灵活配置混合型证券投资基金基金经理、易方达新鑫灵活配置混合型证券投资基金基金经理、易方达新享灵活配置混合型证券投资基金基金经理、易方达瑞景灵活配置混合型证券投资基金基金经理、易方达瑞通灵活配置混合型证券投资基金基金经理、易方达瑞程灵活配置混合型证券投资基金基金经理、易方达瑞弘灵活配置混合型证券投资基金基金经理、易方达裕鑫债券型证券投资基金基金经理、易方达瑞信灵活配置混合型证券投资基金基金经理、易方达瑞和灵活配置混合型证券投资基金基金经理、易方达鑫转增利混合型证券投资基金基金经理、易方达鑫转添利混合型证券投资基金基金经理、易方达鑫转招利混合型证券投资基金基金经理。</w:t>
            </w:r>
          </w:p>
        </w:tc>
      </w:tr>
      <w:tr>
        <w:tc>
          <w:tcPr>
            <w:vAlign w:val="center"/>
          </w:tcPr>
          <w:p>
            <w:pPr>
              <w:jc w:val="center"/>
            </w:pPr>
            <w:r>
              <w:rPr>
                <w:color w:val="000000"/>
                <w:sz w:val="24"/>
              </w:rPr>
              <w:t>王成</w:t>
            </w:r>
          </w:p>
        </w:tc>
        <w:tc>
          <w:tcPr>
            <w:vAlign w:val="center"/>
          </w:tcPr>
          <w:p>
            <w:pPr>
              <w:jc w:val="left"/>
            </w:pPr>
            <w:r>
              <w:rPr>
                <w:color w:val="000000"/>
                <w:sz w:val="24"/>
              </w:rPr>
              <w:t>本基金的基金经理、年金投资部总经理助理、投资经理</w:t>
            </w:r>
          </w:p>
        </w:tc>
        <w:tc>
          <w:tcPr>
            <w:vAlign w:val="center"/>
          </w:tcPr>
          <w:p>
            <w:pPr>
              <w:jc w:val="center"/>
            </w:pPr>
            <w:r>
              <w:rPr>
                <w:color w:val="000000"/>
                <w:sz w:val="24"/>
              </w:rPr>
              <w:t>2019-11-28</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硕士研究生，具有基金从业资格。曾任安信证券股份有限公司交易员、投资经理。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5月上旬，货币政策进一步宽松不及预期叠加五一消费复苏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pPr>
        <w:spacing w:line="360" w:lineRule="auto"/>
        <w:ind w:firstLine="480" w:firstLineChars="200"/>
        <w:rPr>
          <w:color w:val="000000"/>
          <w:sz w:val="24"/>
        </w:rPr>
      </w:pPr>
      <w:r>
        <w:rPr>
          <w:color w:val="000000"/>
          <w:sz w:val="24"/>
        </w:rPr>
        <w:t>权益市场方面，二季度整体收涨，各类风格及指数品种均呈现较好的弹性。从一季度末开始，在海外金融风险期过后，国内及海外资本市场均有较强的表现，体现出风险偏好的快速提升。从国内市场来看，A股主要沿着业绩“确定性”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5月，中美贸易摩擦再度有所升温，美国疫情进入二次爆发，致使TMT板块的风险偏好有小幅降温，但在海外市场持续强劲的背景下，北上资金不改前期持续流入的趋势，市场并未出现明显调整，保持着结构性行情的震荡格局。6月份以来，资本市场改革政策逐步推出，创业板注册制的快速推进、三板精选层基金的发布等，显著提升了权益市场的风险偏好，也催生二季度后期科技板块的强劲反弹。</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操作上，4月份组合适当降低了权益和可转债的仓位，提高了债券资产的久期，以对冲不确定性。随着国内疫情得到控制，稳增长政策逐步发力，复工复产有序推进，经济环比改善，疫情对大类资产的推动作用减弱。组合在5-6月份增加了权益资产和可转债的配置，保持了偏高的权益仓位；同时降低了债券久期，逐步止盈了持仓利率债，保留短久期信用债的底仓，以获取票息收益。</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1.1643元，本报告期份额净值增长率为4.81%，同期业绩比较基准收益率为-0.24%；C类基金份额净值为1.1580元，本报告期份额净值增长率为4.70%，同期业绩比较基准收益率为-0.24%。</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146,851,859.68</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16.00</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146,851,859.68</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16.00</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729,226,539.92</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79.47</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729,226,539.92</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79.47</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23,198,118.11</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2.53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18,322,102.09</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2.00</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917,598,619.80</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74AA3" w:rsidRPr="00C70969" w:rsidTr="0001612A">
        <w:trPr>
          <w:trHeight w:val="390"/>
        </w:trPr>
        <w:tc>
          <w:tcPr>
            <w:tcW w:type="dxa" w:w="540"/>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代码</w:t>
            </w: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行业类别</w:t>
            </w:r>
          </w:p>
        </w:tc>
        <w:tc>
          <w:tcPr>
            <w:tcW w:type="dxa" w:w="2852"/>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占基金资产净值比例（％）</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A</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农、林、牧、渔业</w:t>
            </w:r>
          </w:p>
        </w:tc>
        <w:tc>
          <w:tcPr>
            <w:tcW w:type="dxa" w:w="2852"/>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B</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采矿业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p w:rsidP="0071134C" w:rsidR="00874AA3" w:rsidRDefault="00874AA3" w:rsidRPr="00C70969">
            <w:pPr>
              <w:jc w:val="right"/>
              <w:rPr>
                <w:rFonts w:eastAsiaTheme="minorEastAsia"/>
                <w:color w:themeColor="text1" w:val="000000"/>
                <w:sz w:val="24"/>
              </w:rPr>
            </w:pP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p w:rsidP="0071134C" w:rsidR="00874AA3" w:rsidRDefault="00874AA3" w:rsidRPr="00C70969">
            <w:pPr>
              <w:jc w:val="right"/>
              <w:rPr>
                <w:rFonts w:eastAsiaTheme="minorEastAsia"/>
                <w:color w:themeColor="text1" w:val="000000"/>
                <w:sz w:val="24"/>
              </w:rPr>
            </w:pP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C</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制造业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106,087,142.68</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14.43</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D</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电力、热力、燃气及水生产和供应业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E</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建筑业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F</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批发和零售业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G</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交通运输、仓储和邮政业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r w:rsidRPr="00C70969">
              <w:rPr>
                <w:rFonts w:eastAsiaTheme="minorEastAsia"/>
                <w:color w:themeColor="text1" w:val="000000"/>
                <w:sz w:val="24"/>
              </w:rPr>
              <w:lastRenderedPageBreak/>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H</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住宿和餐饮业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I</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信息传输、软件和信息技术服务业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J</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金融业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7,311,360.00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0.99</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K</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房地产业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L</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租赁和商务服务业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M</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科学研究和技术服务业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14,891,856.00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2.03</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N</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水利、环境和公共设施管理业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O</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居民服务、修理和其他服务业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P</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教育</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r w:rsidRPr="00C70969">
              <w:rPr>
                <w:rFonts w:eastAsiaTheme="minorEastAsia"/>
                <w:color w:themeColor="text1" w:val="000000"/>
                <w:sz w:val="24"/>
              </w:rPr>
              <w:lastRenderedPageBreak/>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Q</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卫生和社会工作</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18,561,501.00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2.52</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R</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文化、体育和娱乐业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S</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综合</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合计</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146,851,859.68</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19.97</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417"/>
        <w:gridCol w:w="1560"/>
        <w:gridCol w:w="2268"/>
        <w:gridCol w:w="1559"/>
      </w:tblGrid>
      <w:tr w:rsidR="00F016DD" w:rsidRPr="0078105B" w:rsidTr="00174038">
        <w:tc>
          <w:tcPr>
            <w:tcW w:type="dxa" w:w="8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276"/>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4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560"/>
            <w:vAlign w:val="center"/>
          </w:tcPr>
          <w:p w:rsidP="000871DB" w:rsidR="00F016DD" w:rsidRDefault="00F016DD" w:rsidRPr="00FA472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type="dxa" w:w="2268"/>
            <w:vAlign w:val="center"/>
          </w:tcPr>
          <w:p w:rsidP="000871DB" w:rsidR="00F016DD" w:rsidRDefault="00F016DD" w:rsidRPr="00FA472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type="dxa" w:w="1559"/>
            <w:vAlign w:val="center"/>
          </w:tcPr>
          <w:p w:rsidP="000871DB"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600763</w:t>
            </w:r>
          </w:p>
        </w:tc>
        <w:tc>
          <w:tcPr>
            <w:vAlign w:val="center"/>
          </w:tcPr>
          <w:p>
            <w:pPr>
              <w:jc w:val="center"/>
            </w:pPr>
            <w:r>
              <w:rPr>
                <w:color w:val="000000"/>
                <w:sz w:val="24"/>
              </w:rPr>
              <w:t>通策医疗</w:t>
            </w:r>
          </w:p>
        </w:tc>
        <w:tc>
          <w:tcPr>
            <w:vAlign w:val="center"/>
          </w:tcPr>
          <w:p>
            <w:pPr>
              <w:jc w:val="right"/>
            </w:pPr>
            <w:r>
              <w:rPr>
                <w:color w:val="000000"/>
                <w:sz w:val="24"/>
              </w:rPr>
              <w:t>111,300</w:t>
            </w:r>
          </w:p>
        </w:tc>
        <w:tc>
          <w:tcPr>
            <w:vAlign w:val="center"/>
          </w:tcPr>
          <w:p>
            <w:pPr>
              <w:jc w:val="right"/>
            </w:pPr>
            <w:r>
              <w:rPr>
                <w:color w:val="000000"/>
                <w:sz w:val="24"/>
              </w:rPr>
              <w:t>18,561,501.00</w:t>
            </w:r>
          </w:p>
        </w:tc>
        <w:tc>
          <w:tcPr>
            <w:vAlign w:val="center"/>
          </w:tcPr>
          <w:p>
            <w:pPr>
              <w:jc w:val="right"/>
            </w:pPr>
            <w:r>
              <w:rPr>
                <w:color w:val="000000"/>
                <w:sz w:val="24"/>
              </w:rPr>
              <w:t>2.52</w:t>
            </w:r>
          </w:p>
        </w:tc>
      </w:tr>
      <w:tr>
        <w:tc>
          <w:tcPr>
            <w:vAlign w:val="center"/>
          </w:tcPr>
          <w:p>
            <w:pPr>
              <w:jc w:val="center"/>
            </w:pPr>
            <w:r>
              <w:rPr>
                <w:color w:val="000000"/>
                <w:sz w:val="24"/>
              </w:rPr>
              <w:t>2</w:t>
            </w:r>
          </w:p>
        </w:tc>
        <w:tc>
          <w:tcPr>
            <w:vAlign w:val="center"/>
          </w:tcPr>
          <w:p>
            <w:pPr>
              <w:jc w:val="center"/>
            </w:pPr>
            <w:r>
              <w:rPr>
                <w:color w:val="000000"/>
                <w:sz w:val="24"/>
              </w:rPr>
              <w:t>603259</w:t>
            </w:r>
          </w:p>
        </w:tc>
        <w:tc>
          <w:tcPr>
            <w:vAlign w:val="center"/>
          </w:tcPr>
          <w:p>
            <w:pPr>
              <w:jc w:val="center"/>
            </w:pPr>
            <w:r>
              <w:rPr>
                <w:color w:val="000000"/>
                <w:sz w:val="24"/>
              </w:rPr>
              <w:t>药明康德</w:t>
            </w:r>
          </w:p>
        </w:tc>
        <w:tc>
          <w:tcPr>
            <w:vAlign w:val="center"/>
          </w:tcPr>
          <w:p>
            <w:pPr>
              <w:jc w:val="right"/>
            </w:pPr>
            <w:r>
              <w:rPr>
                <w:color w:val="000000"/>
                <w:sz w:val="24"/>
              </w:rPr>
              <w:t>154,160</w:t>
            </w:r>
          </w:p>
        </w:tc>
        <w:tc>
          <w:tcPr>
            <w:vAlign w:val="center"/>
          </w:tcPr>
          <w:p>
            <w:pPr>
              <w:jc w:val="right"/>
            </w:pPr>
            <w:r>
              <w:rPr>
                <w:color w:val="000000"/>
                <w:sz w:val="24"/>
              </w:rPr>
              <w:t>14,891,856.00</w:t>
            </w:r>
          </w:p>
        </w:tc>
        <w:tc>
          <w:tcPr>
            <w:vAlign w:val="center"/>
          </w:tcPr>
          <w:p>
            <w:pPr>
              <w:jc w:val="right"/>
            </w:pPr>
            <w:r>
              <w:rPr>
                <w:color w:val="000000"/>
                <w:sz w:val="24"/>
              </w:rPr>
              <w:t>2.03</w:t>
            </w:r>
          </w:p>
        </w:tc>
      </w:tr>
      <w:tr>
        <w:tc>
          <w:tcPr>
            <w:vAlign w:val="center"/>
          </w:tcPr>
          <w:p>
            <w:pPr>
              <w:jc w:val="center"/>
            </w:pPr>
            <w:r>
              <w:rPr>
                <w:color w:val="000000"/>
                <w:sz w:val="24"/>
              </w:rPr>
              <w:t>3</w:t>
            </w:r>
          </w:p>
        </w:tc>
        <w:tc>
          <w:tcPr>
            <w:vAlign w:val="center"/>
          </w:tcPr>
          <w:p>
            <w:pPr>
              <w:jc w:val="center"/>
            </w:pPr>
            <w:r>
              <w:rPr>
                <w:color w:val="000000"/>
                <w:sz w:val="24"/>
              </w:rPr>
              <w:t>600161</w:t>
            </w:r>
          </w:p>
        </w:tc>
        <w:tc>
          <w:tcPr>
            <w:vAlign w:val="center"/>
          </w:tcPr>
          <w:p>
            <w:pPr>
              <w:jc w:val="center"/>
            </w:pPr>
            <w:r>
              <w:rPr>
                <w:color w:val="000000"/>
                <w:sz w:val="24"/>
              </w:rPr>
              <w:t>天坛生物</w:t>
            </w:r>
          </w:p>
        </w:tc>
        <w:tc>
          <w:tcPr>
            <w:vAlign w:val="center"/>
          </w:tcPr>
          <w:p>
            <w:pPr>
              <w:jc w:val="right"/>
            </w:pPr>
            <w:r>
              <w:rPr>
                <w:color w:val="000000"/>
                <w:sz w:val="24"/>
              </w:rPr>
              <w:t>306,100</w:t>
            </w:r>
          </w:p>
        </w:tc>
        <w:tc>
          <w:tcPr>
            <w:vAlign w:val="center"/>
          </w:tcPr>
          <w:p>
            <w:pPr>
              <w:jc w:val="right"/>
            </w:pPr>
            <w:r>
              <w:rPr>
                <w:color w:val="000000"/>
                <w:sz w:val="24"/>
              </w:rPr>
              <w:t>13,875,513.00</w:t>
            </w:r>
          </w:p>
        </w:tc>
        <w:tc>
          <w:tcPr>
            <w:vAlign w:val="center"/>
          </w:tcPr>
          <w:p>
            <w:pPr>
              <w:jc w:val="right"/>
            </w:pPr>
            <w:r>
              <w:rPr>
                <w:color w:val="000000"/>
                <w:sz w:val="24"/>
              </w:rPr>
              <w:t>1.89</w:t>
            </w:r>
          </w:p>
        </w:tc>
      </w:tr>
      <w:tr>
        <w:tc>
          <w:tcPr>
            <w:vAlign w:val="center"/>
          </w:tcPr>
          <w:p>
            <w:pPr>
              <w:jc w:val="center"/>
            </w:pPr>
            <w:r>
              <w:rPr>
                <w:color w:val="000000"/>
                <w:sz w:val="24"/>
              </w:rPr>
              <w:t>4</w:t>
            </w:r>
          </w:p>
        </w:tc>
        <w:tc>
          <w:tcPr>
            <w:vAlign w:val="center"/>
          </w:tcPr>
          <w:p>
            <w:pPr>
              <w:jc w:val="center"/>
            </w:pPr>
            <w:r>
              <w:rPr>
                <w:color w:val="000000"/>
                <w:sz w:val="24"/>
              </w:rPr>
              <w:t>601012</w:t>
            </w:r>
          </w:p>
        </w:tc>
        <w:tc>
          <w:tcPr>
            <w:vAlign w:val="center"/>
          </w:tcPr>
          <w:p>
            <w:pPr>
              <w:jc w:val="center"/>
            </w:pPr>
            <w:r>
              <w:rPr>
                <w:color w:val="000000"/>
                <w:sz w:val="24"/>
              </w:rPr>
              <w:t>隆基股份</w:t>
            </w:r>
          </w:p>
        </w:tc>
        <w:tc>
          <w:tcPr>
            <w:vAlign w:val="center"/>
          </w:tcPr>
          <w:p>
            <w:pPr>
              <w:jc w:val="right"/>
            </w:pPr>
            <w:r>
              <w:rPr>
                <w:color w:val="000000"/>
                <w:sz w:val="24"/>
              </w:rPr>
              <w:t>303,100</w:t>
            </w:r>
          </w:p>
        </w:tc>
        <w:tc>
          <w:tcPr>
            <w:vAlign w:val="center"/>
          </w:tcPr>
          <w:p>
            <w:pPr>
              <w:jc w:val="right"/>
            </w:pPr>
            <w:r>
              <w:rPr>
                <w:color w:val="000000"/>
                <w:sz w:val="24"/>
              </w:rPr>
              <w:t>12,345,263.00</w:t>
            </w:r>
          </w:p>
        </w:tc>
        <w:tc>
          <w:tcPr>
            <w:vAlign w:val="center"/>
          </w:tcPr>
          <w:p>
            <w:pPr>
              <w:jc w:val="right"/>
            </w:pPr>
            <w:r>
              <w:rPr>
                <w:color w:val="000000"/>
                <w:sz w:val="24"/>
              </w:rPr>
              <w:t>1.68</w:t>
            </w:r>
          </w:p>
        </w:tc>
      </w:tr>
      <w:tr>
        <w:tc>
          <w:tcPr>
            <w:vAlign w:val="center"/>
          </w:tcPr>
          <w:p>
            <w:pPr>
              <w:jc w:val="center"/>
            </w:pPr>
            <w:r>
              <w:rPr>
                <w:color w:val="000000"/>
                <w:sz w:val="24"/>
              </w:rPr>
              <w:t>5</w:t>
            </w:r>
          </w:p>
        </w:tc>
        <w:tc>
          <w:tcPr>
            <w:vAlign w:val="center"/>
          </w:tcPr>
          <w:p>
            <w:pPr>
              <w:jc w:val="center"/>
            </w:pPr>
            <w:r>
              <w:rPr>
                <w:color w:val="000000"/>
                <w:sz w:val="24"/>
              </w:rPr>
              <w:t>603806</w:t>
            </w:r>
          </w:p>
        </w:tc>
        <w:tc>
          <w:tcPr>
            <w:vAlign w:val="center"/>
          </w:tcPr>
          <w:p>
            <w:pPr>
              <w:jc w:val="center"/>
            </w:pPr>
            <w:r>
              <w:rPr>
                <w:color w:val="000000"/>
                <w:sz w:val="24"/>
              </w:rPr>
              <w:t>福斯特</w:t>
            </w:r>
          </w:p>
        </w:tc>
        <w:tc>
          <w:tcPr>
            <w:vAlign w:val="center"/>
          </w:tcPr>
          <w:p>
            <w:pPr>
              <w:jc w:val="right"/>
            </w:pPr>
            <w:r>
              <w:rPr>
                <w:color w:val="000000"/>
                <w:sz w:val="24"/>
              </w:rPr>
              <w:t>238,364</w:t>
            </w:r>
          </w:p>
        </w:tc>
        <w:tc>
          <w:tcPr>
            <w:vAlign w:val="center"/>
          </w:tcPr>
          <w:p>
            <w:pPr>
              <w:jc w:val="right"/>
            </w:pPr>
            <w:r>
              <w:rPr>
                <w:color w:val="000000"/>
                <w:sz w:val="24"/>
              </w:rPr>
              <w:t>11,896,747.24</w:t>
            </w:r>
          </w:p>
        </w:tc>
        <w:tc>
          <w:tcPr>
            <w:vAlign w:val="center"/>
          </w:tcPr>
          <w:p>
            <w:pPr>
              <w:jc w:val="right"/>
            </w:pPr>
            <w:r>
              <w:rPr>
                <w:color w:val="000000"/>
                <w:sz w:val="24"/>
              </w:rPr>
              <w:t>1.62</w:t>
            </w:r>
          </w:p>
        </w:tc>
      </w:tr>
      <w:tr>
        <w:tc>
          <w:tcPr>
            <w:vAlign w:val="center"/>
          </w:tcPr>
          <w:p>
            <w:pPr>
              <w:jc w:val="center"/>
            </w:pPr>
            <w:r>
              <w:rPr>
                <w:color w:val="000000"/>
                <w:sz w:val="24"/>
              </w:rPr>
              <w:t>6</w:t>
            </w:r>
          </w:p>
        </w:tc>
        <w:tc>
          <w:tcPr>
            <w:vAlign w:val="center"/>
          </w:tcPr>
          <w:p>
            <w:pPr>
              <w:jc w:val="center"/>
            </w:pPr>
            <w:r>
              <w:rPr>
                <w:color w:val="000000"/>
                <w:sz w:val="24"/>
              </w:rPr>
              <w:t>600600</w:t>
            </w:r>
          </w:p>
        </w:tc>
        <w:tc>
          <w:tcPr>
            <w:vAlign w:val="center"/>
          </w:tcPr>
          <w:p>
            <w:pPr>
              <w:jc w:val="center"/>
            </w:pPr>
            <w:r>
              <w:rPr>
                <w:color w:val="000000"/>
                <w:sz w:val="24"/>
              </w:rPr>
              <w:t>青岛啤酒</w:t>
            </w:r>
          </w:p>
        </w:tc>
        <w:tc>
          <w:tcPr>
            <w:vAlign w:val="center"/>
          </w:tcPr>
          <w:p>
            <w:pPr>
              <w:jc w:val="right"/>
            </w:pPr>
            <w:r>
              <w:rPr>
                <w:color w:val="000000"/>
                <w:sz w:val="24"/>
              </w:rPr>
              <w:t>129,100</w:t>
            </w:r>
          </w:p>
        </w:tc>
        <w:tc>
          <w:tcPr>
            <w:vAlign w:val="center"/>
          </w:tcPr>
          <w:p>
            <w:pPr>
              <w:jc w:val="right"/>
            </w:pPr>
            <w:r>
              <w:rPr>
                <w:color w:val="000000"/>
                <w:sz w:val="24"/>
              </w:rPr>
              <w:t>9,876,150.00</w:t>
            </w:r>
          </w:p>
        </w:tc>
        <w:tc>
          <w:tcPr>
            <w:vAlign w:val="center"/>
          </w:tcPr>
          <w:p>
            <w:pPr>
              <w:jc w:val="right"/>
            </w:pPr>
            <w:r>
              <w:rPr>
                <w:color w:val="000000"/>
                <w:sz w:val="24"/>
              </w:rPr>
              <w:t>1.34</w:t>
            </w:r>
          </w:p>
        </w:tc>
      </w:tr>
      <w:tr>
        <w:tc>
          <w:tcPr>
            <w:vAlign w:val="center"/>
          </w:tcPr>
          <w:p>
            <w:pPr>
              <w:jc w:val="center"/>
            </w:pPr>
            <w:r>
              <w:rPr>
                <w:color w:val="000000"/>
                <w:sz w:val="24"/>
              </w:rPr>
              <w:t>7</w:t>
            </w:r>
          </w:p>
        </w:tc>
        <w:tc>
          <w:tcPr>
            <w:vAlign w:val="center"/>
          </w:tcPr>
          <w:p>
            <w:pPr>
              <w:jc w:val="center"/>
            </w:pPr>
            <w:r>
              <w:rPr>
                <w:color w:val="000000"/>
                <w:sz w:val="24"/>
              </w:rPr>
              <w:t>300628</w:t>
            </w:r>
          </w:p>
        </w:tc>
        <w:tc>
          <w:tcPr>
            <w:vAlign w:val="center"/>
          </w:tcPr>
          <w:p>
            <w:pPr>
              <w:jc w:val="center"/>
            </w:pPr>
            <w:r>
              <w:rPr>
                <w:color w:val="000000"/>
                <w:sz w:val="24"/>
              </w:rPr>
              <w:t>亿联网络</w:t>
            </w:r>
          </w:p>
        </w:tc>
        <w:tc>
          <w:tcPr>
            <w:vAlign w:val="center"/>
          </w:tcPr>
          <w:p>
            <w:pPr>
              <w:jc w:val="right"/>
            </w:pPr>
            <w:r>
              <w:rPr>
                <w:color w:val="000000"/>
                <w:sz w:val="24"/>
              </w:rPr>
              <w:t>127,830</w:t>
            </w:r>
          </w:p>
        </w:tc>
        <w:tc>
          <w:tcPr>
            <w:vAlign w:val="center"/>
          </w:tcPr>
          <w:p>
            <w:pPr>
              <w:jc w:val="right"/>
            </w:pPr>
            <w:r>
              <w:rPr>
                <w:color w:val="000000"/>
                <w:sz w:val="24"/>
              </w:rPr>
              <w:t>8,725,675.80</w:t>
            </w:r>
          </w:p>
        </w:tc>
        <w:tc>
          <w:tcPr>
            <w:vAlign w:val="center"/>
          </w:tcPr>
          <w:p>
            <w:pPr>
              <w:jc w:val="right"/>
            </w:pPr>
            <w:r>
              <w:rPr>
                <w:color w:val="000000"/>
                <w:sz w:val="24"/>
              </w:rPr>
              <w:t>1.19</w:t>
            </w:r>
          </w:p>
        </w:tc>
      </w:tr>
      <w:tr>
        <w:tc>
          <w:tcPr>
            <w:vAlign w:val="center"/>
          </w:tcPr>
          <w:p>
            <w:pPr>
              <w:jc w:val="center"/>
            </w:pPr>
            <w:r>
              <w:rPr>
                <w:color w:val="000000"/>
                <w:sz w:val="24"/>
              </w:rPr>
              <w:t>8</w:t>
            </w:r>
          </w:p>
        </w:tc>
        <w:tc>
          <w:tcPr>
            <w:vAlign w:val="center"/>
          </w:tcPr>
          <w:p>
            <w:pPr>
              <w:jc w:val="center"/>
            </w:pPr>
            <w:r>
              <w:rPr>
                <w:color w:val="000000"/>
                <w:sz w:val="24"/>
              </w:rPr>
              <w:t>002250</w:t>
            </w:r>
          </w:p>
        </w:tc>
        <w:tc>
          <w:tcPr>
            <w:vAlign w:val="center"/>
          </w:tcPr>
          <w:p>
            <w:pPr>
              <w:jc w:val="center"/>
            </w:pPr>
            <w:r>
              <w:rPr>
                <w:color w:val="000000"/>
                <w:sz w:val="24"/>
              </w:rPr>
              <w:t>联化科技</w:t>
            </w:r>
          </w:p>
        </w:tc>
        <w:tc>
          <w:tcPr>
            <w:vAlign w:val="center"/>
          </w:tcPr>
          <w:p>
            <w:pPr>
              <w:jc w:val="right"/>
            </w:pPr>
            <w:r>
              <w:rPr>
                <w:color w:val="000000"/>
                <w:sz w:val="24"/>
              </w:rPr>
              <w:t>383,300</w:t>
            </w:r>
          </w:p>
        </w:tc>
        <w:tc>
          <w:tcPr>
            <w:vAlign w:val="center"/>
          </w:tcPr>
          <w:p>
            <w:pPr>
              <w:jc w:val="right"/>
            </w:pPr>
            <w:r>
              <w:rPr>
                <w:color w:val="000000"/>
                <w:sz w:val="24"/>
              </w:rPr>
              <w:t>8,355,940.00</w:t>
            </w:r>
          </w:p>
        </w:tc>
        <w:tc>
          <w:tcPr>
            <w:vAlign w:val="center"/>
          </w:tcPr>
          <w:p>
            <w:pPr>
              <w:jc w:val="right"/>
            </w:pPr>
            <w:r>
              <w:rPr>
                <w:color w:val="000000"/>
                <w:sz w:val="24"/>
              </w:rPr>
              <w:t>1.14</w:t>
            </w:r>
          </w:p>
        </w:tc>
      </w:tr>
      <w:tr>
        <w:tc>
          <w:tcPr>
            <w:vAlign w:val="center"/>
          </w:tcPr>
          <w:p>
            <w:pPr>
              <w:jc w:val="center"/>
            </w:pPr>
            <w:r>
              <w:rPr>
                <w:color w:val="000000"/>
                <w:sz w:val="24"/>
              </w:rPr>
              <w:t>9</w:t>
            </w:r>
          </w:p>
        </w:tc>
        <w:tc>
          <w:tcPr>
            <w:vAlign w:val="center"/>
          </w:tcPr>
          <w:p>
            <w:pPr>
              <w:jc w:val="center"/>
            </w:pPr>
            <w:r>
              <w:rPr>
                <w:color w:val="000000"/>
                <w:sz w:val="24"/>
              </w:rPr>
              <w:t>600690</w:t>
            </w:r>
          </w:p>
        </w:tc>
        <w:tc>
          <w:tcPr>
            <w:vAlign w:val="center"/>
          </w:tcPr>
          <w:p>
            <w:pPr>
              <w:jc w:val="center"/>
            </w:pPr>
            <w:r>
              <w:rPr>
                <w:color w:val="000000"/>
                <w:sz w:val="24"/>
              </w:rPr>
              <w:t>海尔智家</w:t>
            </w:r>
          </w:p>
        </w:tc>
        <w:tc>
          <w:tcPr>
            <w:vAlign w:val="center"/>
          </w:tcPr>
          <w:p>
            <w:pPr>
              <w:jc w:val="right"/>
            </w:pPr>
            <w:r>
              <w:rPr>
                <w:color w:val="000000"/>
                <w:sz w:val="24"/>
              </w:rPr>
              <w:t>465,271</w:t>
            </w:r>
          </w:p>
        </w:tc>
        <w:tc>
          <w:tcPr>
            <w:vAlign w:val="center"/>
          </w:tcPr>
          <w:p>
            <w:pPr>
              <w:jc w:val="right"/>
            </w:pPr>
            <w:r>
              <w:rPr>
                <w:color w:val="000000"/>
                <w:sz w:val="24"/>
              </w:rPr>
              <w:t>8,235,296.70</w:t>
            </w:r>
          </w:p>
        </w:tc>
        <w:tc>
          <w:tcPr>
            <w:vAlign w:val="center"/>
          </w:tcPr>
          <w:p>
            <w:pPr>
              <w:jc w:val="right"/>
            </w:pPr>
            <w:r>
              <w:rPr>
                <w:color w:val="000000"/>
                <w:sz w:val="24"/>
              </w:rPr>
              <w:t>1.12</w:t>
            </w:r>
          </w:p>
        </w:tc>
      </w:tr>
      <w:tr>
        <w:tc>
          <w:tcPr>
            <w:vAlign w:val="center"/>
          </w:tcPr>
          <w:p>
            <w:pPr>
              <w:jc w:val="center"/>
            </w:pPr>
            <w:r>
              <w:rPr>
                <w:color w:val="000000"/>
                <w:sz w:val="24"/>
              </w:rPr>
              <w:t>10</w:t>
            </w:r>
          </w:p>
        </w:tc>
        <w:tc>
          <w:tcPr>
            <w:vAlign w:val="center"/>
          </w:tcPr>
          <w:p>
            <w:pPr>
              <w:jc w:val="center"/>
            </w:pPr>
            <w:r>
              <w:rPr>
                <w:color w:val="000000"/>
                <w:sz w:val="24"/>
              </w:rPr>
              <w:t>002304</w:t>
            </w:r>
          </w:p>
        </w:tc>
        <w:tc>
          <w:tcPr>
            <w:vAlign w:val="center"/>
          </w:tcPr>
          <w:p>
            <w:pPr>
              <w:jc w:val="center"/>
            </w:pPr>
            <w:r>
              <w:rPr>
                <w:color w:val="000000"/>
                <w:sz w:val="24"/>
              </w:rPr>
              <w:t>洋河股份</w:t>
            </w:r>
          </w:p>
        </w:tc>
        <w:tc>
          <w:tcPr>
            <w:vAlign w:val="center"/>
          </w:tcPr>
          <w:p>
            <w:pPr>
              <w:jc w:val="right"/>
            </w:pPr>
            <w:r>
              <w:rPr>
                <w:color w:val="000000"/>
                <w:sz w:val="24"/>
              </w:rPr>
              <w:t>75,855</w:t>
            </w:r>
          </w:p>
        </w:tc>
        <w:tc>
          <w:tcPr>
            <w:vAlign w:val="center"/>
          </w:tcPr>
          <w:p>
            <w:pPr>
              <w:jc w:val="right"/>
            </w:pPr>
            <w:r>
              <w:rPr>
                <w:color w:val="000000"/>
                <w:sz w:val="24"/>
              </w:rPr>
              <w:t>7,975,394.70</w:t>
            </w:r>
          </w:p>
        </w:tc>
        <w:tc>
          <w:tcPr>
            <w:vAlign w:val="center"/>
          </w:tcPr>
          <w:p>
            <w:pPr>
              <w:jc w:val="right"/>
            </w:pPr>
            <w:r>
              <w:rPr>
                <w:color w:val="000000"/>
                <w:sz w:val="24"/>
              </w:rPr>
              <w:t>1.08</w:t>
            </w:r>
          </w:p>
        </w:tc>
      </w:tr>
    </w:tbl>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40,298,000.00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5.48</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40,298,000.00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5.48</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231,258,250.00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31.45</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261,997,000.00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35.63</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195,673,289.92</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26.61</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729,226,539.92</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99.18</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160206</w:t>
            </w:r>
          </w:p>
        </w:tc>
        <w:tc>
          <w:tcPr>
            <w:vAlign w:val="center"/>
          </w:tcPr>
          <w:p>
            <w:pPr>
              <w:jc w:val="center"/>
            </w:pPr>
            <w:r>
              <w:rPr>
                <w:color w:val="000000"/>
                <w:sz w:val="24"/>
              </w:rPr>
              <w:t>16国开06</w:t>
            </w:r>
          </w:p>
        </w:tc>
        <w:tc>
          <w:tcPr>
            <w:vAlign w:val="center"/>
          </w:tcPr>
          <w:p>
            <w:pPr>
              <w:jc w:val="right"/>
            </w:pPr>
            <w:r>
              <w:rPr>
                <w:color w:val="000000"/>
                <w:sz w:val="24"/>
              </w:rPr>
              <w:t>300,000</w:t>
            </w:r>
          </w:p>
        </w:tc>
        <w:tc>
          <w:tcPr>
            <w:vAlign w:val="center"/>
          </w:tcPr>
          <w:p>
            <w:pPr>
              <w:jc w:val="right"/>
            </w:pPr>
            <w:r>
              <w:rPr>
                <w:color w:val="000000"/>
                <w:sz w:val="24"/>
              </w:rPr>
              <w:t>30,147,000.00</w:t>
            </w:r>
          </w:p>
        </w:tc>
        <w:tc>
          <w:tcPr>
            <w:vAlign w:val="center"/>
          </w:tcPr>
          <w:p>
            <w:pPr>
              <w:jc w:val="right"/>
            </w:pPr>
            <w:r>
              <w:rPr>
                <w:color w:val="000000"/>
                <w:sz w:val="24"/>
              </w:rPr>
              <w:t>4.10</w:t>
            </w:r>
          </w:p>
        </w:tc>
      </w:tr>
      <w:tr>
        <w:tc>
          <w:tcPr>
            <w:vAlign w:val="center"/>
          </w:tcPr>
          <w:p>
            <w:pPr>
              <w:jc w:val="center"/>
            </w:pPr>
            <w:r>
              <w:rPr>
                <w:color w:val="000000"/>
                <w:sz w:val="24"/>
              </w:rPr>
              <w:t>2</w:t>
            </w:r>
          </w:p>
        </w:tc>
        <w:tc>
          <w:tcPr>
            <w:vAlign w:val="center"/>
          </w:tcPr>
          <w:p>
            <w:pPr>
              <w:jc w:val="center"/>
            </w:pPr>
            <w:r>
              <w:rPr>
                <w:color w:val="000000"/>
                <w:sz w:val="24"/>
              </w:rPr>
              <w:t>112948</w:t>
            </w:r>
          </w:p>
        </w:tc>
        <w:tc>
          <w:tcPr>
            <w:vAlign w:val="center"/>
          </w:tcPr>
          <w:p>
            <w:pPr>
              <w:jc w:val="center"/>
            </w:pPr>
            <w:r>
              <w:rPr>
                <w:color w:val="000000"/>
                <w:sz w:val="24"/>
              </w:rPr>
              <w:t>19太钢02</w:t>
            </w:r>
          </w:p>
        </w:tc>
        <w:tc>
          <w:tcPr>
            <w:vAlign w:val="center"/>
          </w:tcPr>
          <w:p>
            <w:pPr>
              <w:jc w:val="right"/>
            </w:pPr>
            <w:r>
              <w:rPr>
                <w:color w:val="000000"/>
                <w:sz w:val="24"/>
              </w:rPr>
              <w:t>300,000</w:t>
            </w:r>
          </w:p>
        </w:tc>
        <w:tc>
          <w:tcPr>
            <w:vAlign w:val="center"/>
          </w:tcPr>
          <w:p>
            <w:pPr>
              <w:jc w:val="right"/>
            </w:pPr>
            <w:r>
              <w:rPr>
                <w:color w:val="000000"/>
                <w:sz w:val="24"/>
              </w:rPr>
              <w:t>30,045,000.00</w:t>
            </w:r>
          </w:p>
        </w:tc>
        <w:tc>
          <w:tcPr>
            <w:vAlign w:val="center"/>
          </w:tcPr>
          <w:p>
            <w:pPr>
              <w:jc w:val="right"/>
            </w:pPr>
            <w:r>
              <w:rPr>
                <w:color w:val="000000"/>
                <w:sz w:val="24"/>
              </w:rPr>
              <w:t>4.09</w:t>
            </w:r>
          </w:p>
        </w:tc>
      </w:tr>
      <w:tr>
        <w:tc>
          <w:tcPr>
            <w:vAlign w:val="center"/>
          </w:tcPr>
          <w:p>
            <w:pPr>
              <w:jc w:val="center"/>
            </w:pPr>
            <w:r>
              <w:rPr>
                <w:color w:val="000000"/>
                <w:sz w:val="24"/>
              </w:rPr>
              <w:t>3</w:t>
            </w:r>
          </w:p>
        </w:tc>
        <w:tc>
          <w:tcPr>
            <w:vAlign w:val="center"/>
          </w:tcPr>
          <w:p>
            <w:pPr>
              <w:jc w:val="center"/>
            </w:pPr>
            <w:r>
              <w:rPr>
                <w:color w:val="000000"/>
                <w:sz w:val="24"/>
              </w:rPr>
              <w:t>101800791</w:t>
            </w:r>
          </w:p>
        </w:tc>
        <w:tc>
          <w:tcPr>
            <w:vAlign w:val="center"/>
          </w:tcPr>
          <w:p>
            <w:pPr>
              <w:jc w:val="center"/>
            </w:pPr>
            <w:r>
              <w:rPr>
                <w:color w:val="000000"/>
                <w:sz w:val="24"/>
              </w:rPr>
              <w:t>18武汉地产MTN001</w:t>
            </w:r>
          </w:p>
        </w:tc>
        <w:tc>
          <w:tcPr>
            <w:vAlign w:val="center"/>
          </w:tcPr>
          <w:p>
            <w:pPr>
              <w:jc w:val="right"/>
            </w:pPr>
            <w:r>
              <w:rPr>
                <w:color w:val="000000"/>
                <w:sz w:val="24"/>
              </w:rPr>
              <w:t>200,000</w:t>
            </w:r>
          </w:p>
        </w:tc>
        <w:tc>
          <w:tcPr>
            <w:vAlign w:val="center"/>
          </w:tcPr>
          <w:p>
            <w:pPr>
              <w:jc w:val="right"/>
            </w:pPr>
            <w:r>
              <w:rPr>
                <w:color w:val="000000"/>
                <w:sz w:val="24"/>
              </w:rPr>
              <w:t>20,946,000.00</w:t>
            </w:r>
          </w:p>
        </w:tc>
        <w:tc>
          <w:tcPr>
            <w:vAlign w:val="center"/>
          </w:tcPr>
          <w:p>
            <w:pPr>
              <w:jc w:val="right"/>
            </w:pPr>
            <w:r>
              <w:rPr>
                <w:color w:val="000000"/>
                <w:sz w:val="24"/>
              </w:rPr>
              <w:t>2.85</w:t>
            </w:r>
          </w:p>
        </w:tc>
      </w:tr>
      <w:tr>
        <w:tc>
          <w:tcPr>
            <w:vAlign w:val="center"/>
          </w:tcPr>
          <w:p>
            <w:pPr>
              <w:jc w:val="center"/>
            </w:pPr>
            <w:r>
              <w:rPr>
                <w:color w:val="000000"/>
                <w:sz w:val="24"/>
              </w:rPr>
              <w:t>4</w:t>
            </w:r>
          </w:p>
        </w:tc>
        <w:tc>
          <w:tcPr>
            <w:vAlign w:val="center"/>
          </w:tcPr>
          <w:p>
            <w:pPr>
              <w:jc w:val="center"/>
            </w:pPr>
            <w:r>
              <w:rPr>
                <w:color w:val="000000"/>
                <w:sz w:val="24"/>
              </w:rPr>
              <w:t>101900488</w:t>
            </w:r>
          </w:p>
        </w:tc>
        <w:tc>
          <w:tcPr>
            <w:vAlign w:val="center"/>
          </w:tcPr>
          <w:p>
            <w:pPr>
              <w:jc w:val="center"/>
            </w:pPr>
            <w:r>
              <w:rPr>
                <w:color w:val="000000"/>
                <w:sz w:val="24"/>
              </w:rPr>
              <w:t>19首钢MTN003</w:t>
            </w:r>
          </w:p>
        </w:tc>
        <w:tc>
          <w:tcPr>
            <w:vAlign w:val="center"/>
          </w:tcPr>
          <w:p>
            <w:pPr>
              <w:jc w:val="right"/>
            </w:pPr>
            <w:r>
              <w:rPr>
                <w:color w:val="000000"/>
                <w:sz w:val="24"/>
              </w:rPr>
              <w:t>200,000</w:t>
            </w:r>
          </w:p>
        </w:tc>
        <w:tc>
          <w:tcPr>
            <w:vAlign w:val="center"/>
          </w:tcPr>
          <w:p>
            <w:pPr>
              <w:jc w:val="right"/>
            </w:pPr>
            <w:r>
              <w:rPr>
                <w:color w:val="000000"/>
                <w:sz w:val="24"/>
              </w:rPr>
              <w:t>20,702,000.00</w:t>
            </w:r>
          </w:p>
        </w:tc>
        <w:tc>
          <w:tcPr>
            <w:vAlign w:val="center"/>
          </w:tcPr>
          <w:p>
            <w:pPr>
              <w:jc w:val="right"/>
            </w:pPr>
            <w:r>
              <w:rPr>
                <w:color w:val="000000"/>
                <w:sz w:val="24"/>
              </w:rPr>
              <w:t>2.82</w:t>
            </w:r>
          </w:p>
        </w:tc>
      </w:tr>
      <w:tr>
        <w:tc>
          <w:tcPr>
            <w:vAlign w:val="center"/>
          </w:tcPr>
          <w:p>
            <w:pPr>
              <w:jc w:val="center"/>
            </w:pPr>
            <w:r>
              <w:rPr>
                <w:color w:val="000000"/>
                <w:sz w:val="24"/>
              </w:rPr>
              <w:t>5</w:t>
            </w:r>
          </w:p>
        </w:tc>
        <w:tc>
          <w:tcPr>
            <w:vAlign w:val="center"/>
          </w:tcPr>
          <w:p>
            <w:pPr>
              <w:jc w:val="center"/>
            </w:pPr>
            <w:r>
              <w:rPr>
                <w:color w:val="000000"/>
                <w:sz w:val="24"/>
              </w:rPr>
              <w:t>101900134</w:t>
            </w:r>
          </w:p>
        </w:tc>
        <w:tc>
          <w:tcPr>
            <w:vAlign w:val="center"/>
          </w:tcPr>
          <w:p>
            <w:pPr>
              <w:jc w:val="center"/>
            </w:pPr>
            <w:r>
              <w:rPr>
                <w:color w:val="000000"/>
                <w:sz w:val="24"/>
              </w:rPr>
              <w:t>19首钢MTN001</w:t>
            </w:r>
          </w:p>
        </w:tc>
        <w:tc>
          <w:tcPr>
            <w:vAlign w:val="center"/>
          </w:tcPr>
          <w:p>
            <w:pPr>
              <w:jc w:val="right"/>
            </w:pPr>
            <w:r>
              <w:rPr>
                <w:color w:val="000000"/>
                <w:sz w:val="24"/>
              </w:rPr>
              <w:t>200,000</w:t>
            </w:r>
          </w:p>
        </w:tc>
        <w:tc>
          <w:tcPr>
            <w:vAlign w:val="center"/>
          </w:tcPr>
          <w:p>
            <w:pPr>
              <w:jc w:val="right"/>
            </w:pPr>
            <w:r>
              <w:rPr>
                <w:color w:val="000000"/>
                <w:sz w:val="24"/>
              </w:rPr>
              <w:t>20,542,000.00</w:t>
            </w:r>
          </w:p>
        </w:tc>
        <w:tc>
          <w:tcPr>
            <w:vAlign w:val="center"/>
          </w:tcPr>
          <w:p>
            <w:pPr>
              <w:jc w:val="right"/>
            </w:pPr>
            <w:r>
              <w:rPr>
                <w:color w:val="000000"/>
                <w:sz w:val="24"/>
              </w:rPr>
              <w:t>2.79</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本基金本报告期末未持有资产支持证券。</w:t>
      </w:r>
    </w:p>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2019年7月1日，山西省应急管理厅对太原钢铁(集团)有限公司的如下违法违规行为作出“责令限期改正，处人民币伍万元罚款”的行政处罚决定：2#RAP线厂房主要通道及出入口未设置提示方向标志；2#RAP连轧机组尾部地下液压站通道楼梯未设置提示方向标志；2#RAP线头部安全通道无警示标识，未划安全路线；3#热线储酸站的安全警示牌装设在旋转大门上，安全警示标志牌的设置顺序不规范；冷连轧纵切线现场缺少安全警示标识。2019年7月1日，山西省应急管理厅对太原钢铁(集团)有限公司的如下违法违规行为作出“责令限期改正，处人民币伍万元罚款”的行政处罚决定：冷轧厂冷连轧1#RAP线天然气炉区报警器穿线管有三处断裂；冷连轧电气室和地下室出口应急照明故障，测试不亮，未维护保养；冷轧储酸站酸泵电机外壳未接地；储酸站配电箱外壳未接地。2019年7月1日，山西省应急管理厅对太原钢铁(集团)有限公司的如下违法违规行为作出“责令限期改正，处人民币伍万元罚款”的行政处罚决定：冷轧厂冷连轧1#RAP线，炉区炉顶辊转动轴部位未安装防护罩；在线平整传动侧二层平台纠偏装置传动辊无防护栏杆；1#RAP线天然气炉区固定式可燃气体探测器之间的间距超过15m，探测器与南侧端部燃气阀门距离大于7.5m，探测器偏离释放源2m，未安装在高出释放源0.5~2m范围内；1#RAP线天然气炉区上层平台未安装固定式可燃气体探测器。2019年7月1日，山西省应急管理厅对太原钢铁(集团)有限公司的如下违法违规行为作出“警告，并处人民币叁万元罚款”的行政处罚决定：冷轧厂冷连轧2#RAP线头部开卷机电机外表积尘严重；冷连轧1#RAP线轧机传动侧地面多处存在油污，造成滑跌隐患；冷连轧1#RAP线天然气炉区管道压力表外表污垢严重，影响观测；1#RAP线硫酸钠罐平台水喷淋拉杆积灰，未执行安全规程的文明生产规定。</w:t>
      </w:r>
    </w:p>
    <w:p>
      <w:pPr>
        <w:widowControl/>
        <w:spacing w:line="360" w:lineRule="auto"/>
        <w:rPr>
          <w:color w:val="000000"/>
          <w:sz w:val="24"/>
        </w:rPr>
      </w:pPr>
      <w:r>
        <w:rPr>
          <w:color w:val="000000"/>
          <w:sz w:val="24"/>
        </w:rPr>
        <w:t>2019年11月18日，北京市规划委员会石景山分局对首钢集团有限公司“因设计失误造成实测建筑面积超出规划许可建筑面积”的行为罚款额58765.25元。</w:t>
      </w:r>
    </w:p>
    <w:p>
      <w:pPr>
        <w:widowControl/>
        <w:spacing w:line="360" w:lineRule="auto"/>
        <w:rPr>
          <w:color w:val="000000"/>
          <w:sz w:val="24"/>
        </w:rPr>
      </w:pPr>
      <w:r>
        <w:rPr>
          <w:color w:val="000000"/>
          <w:sz w:val="24"/>
        </w:rPr>
        <w:t>本基金投资19太钢02、19首钢MTN003、19首钢MTN001的投资决策程序符合公司投资制度的规定。</w:t>
      </w:r>
    </w:p>
    <w:p>
      <w:pPr>
        <w:widowControl/>
        <w:spacing w:line="360" w:lineRule="auto"/>
        <w:rPr>
          <w:color w:val="000000"/>
          <w:sz w:val="24"/>
        </w:rPr>
      </w:pPr>
      <w:r>
        <w:rPr>
          <w:color w:val="000000"/>
          <w:sz w:val="24"/>
        </w:rPr>
        <w:t>除19太钢02、19首钢MTN003、19首钢MTN001外，本基金投资的前十名证券的发行主体本期没有出现被监管部门立案调查，或在报告编制日前一年内受到公开谴责、处罚的情形。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本基金投资的前十名股票没有超出基金合同规定的备选股票库。</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107,738.36</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8,716,329.07</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9,498,034.66</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18,322,102.09</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080"/>
        <w:gridCol w:w="2624"/>
        <w:gridCol w:w="1766"/>
        <w:gridCol w:w="1832"/>
        <w:gridCol w:w="1719"/>
      </w:tblGrid>
      <w:tr w:rsidR="00F016DD" w:rsidRPr="00E85E29" w:rsidTr="00F4518C">
        <w:tc>
          <w:tcPr>
            <w:tcW w:type="dxa" w:w="944"/>
            <w:vAlign w:val="center"/>
          </w:tcPr>
          <w:p w:rsidP="00F4518C" w:rsidR="00F016DD" w:rsidRDefault="00F016DD" w:rsidRPr="00414367">
            <w:pPr>
              <w:spacing w:before="29" w:line="360" w:lineRule="auto"/>
              <w:ind w:left="17"/>
              <w:jc w:val="center"/>
              <w:rPr>
                <w:color w:val="000000"/>
                <w:sz w:val="24"/>
              </w:rPr>
            </w:pPr>
            <w:r w:rsidRPr="00414367">
              <w:rPr>
                <w:color w:val="000000"/>
                <w:sz w:val="24"/>
              </w:rPr>
              <w:t>序号</w:t>
            </w:r>
          </w:p>
        </w:tc>
        <w:tc>
          <w:tcPr>
            <w:tcW w:type="dxa" w:w="2568"/>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债券代码</w:t>
            </w:r>
          </w:p>
        </w:tc>
        <w:tc>
          <w:tcPr>
            <w:tcW w:type="dxa" w:w="1665"/>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债券名称</w:t>
            </w:r>
          </w:p>
        </w:tc>
        <w:tc>
          <w:tcPr>
            <w:tcW w:type="dxa" w:w="1727"/>
            <w:vAlign w:val="center"/>
          </w:tcPr>
          <w:p w:rsidP="00F4518C" w:rsidR="00F016DD" w:rsidRDefault="00F016DD" w:rsidRPr="00414367">
            <w:pPr>
              <w:spacing w:before="29" w:line="360" w:lineRule="auto"/>
              <w:ind w:left="17"/>
              <w:jc w:val="center"/>
              <w:rPr>
                <w:color w:val="000000"/>
                <w:sz w:val="24"/>
              </w:rPr>
            </w:pPr>
            <w:r w:rsidRPr="00414367">
              <w:rPr>
                <w:color w:val="000000"/>
                <w:sz w:val="24"/>
              </w:rPr>
              <w:t>公允价值</w:t>
            </w:r>
            <w:r w:rsidRPr="00414367">
              <w:rPr>
                <w:color w:val="000000"/>
                <w:sz w:val="24"/>
              </w:rPr>
              <w:t>(</w:t>
            </w:r>
            <w:r w:rsidRPr="00414367">
              <w:rPr>
                <w:color w:val="000000"/>
                <w:sz w:val="24"/>
              </w:rPr>
              <w:t>元</w:t>
            </w:r>
            <w:r w:rsidRPr="00414367">
              <w:rPr>
                <w:color w:val="000000"/>
                <w:sz w:val="24"/>
              </w:rPr>
              <w:t>)</w:t>
            </w:r>
          </w:p>
        </w:tc>
        <w:tc>
          <w:tcPr>
            <w:tcW w:type="dxa" w:w="1609"/>
            <w:vAlign w:val="center"/>
          </w:tcPr>
          <w:p w:rsidP="00F4518C" w:rsidR="00F016DD" w:rsidRDefault="00F016DD" w:rsidRPr="00414367">
            <w:pPr>
              <w:spacing w:before="29" w:line="360" w:lineRule="auto"/>
              <w:ind w:left="17"/>
              <w:jc w:val="center"/>
              <w:rPr>
                <w:color w:val="000000"/>
                <w:sz w:val="24"/>
              </w:rPr>
            </w:pPr>
            <w:r w:rsidRPr="00414367">
              <w:rPr>
                <w:color w:val="000000"/>
                <w:sz w:val="24"/>
              </w:rPr>
              <w:t>占基金资产净值比例</w:t>
            </w:r>
            <w:r w:rsidRPr="00414367">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113011</w:t>
            </w:r>
          </w:p>
        </w:tc>
        <w:tc>
          <w:tcPr>
            <w:vAlign w:val="center"/>
          </w:tcPr>
          <w:p>
            <w:pPr>
              <w:jc w:val="center"/>
            </w:pPr>
            <w:r>
              <w:rPr>
                <w:color w:val="000000"/>
                <w:sz w:val="24"/>
              </w:rPr>
              <w:t>光大转债</w:t>
            </w:r>
          </w:p>
        </w:tc>
        <w:tc>
          <w:tcPr>
            <w:vAlign w:val="center"/>
          </w:tcPr>
          <w:p>
            <w:pPr>
              <w:jc w:val="right"/>
            </w:pPr>
            <w:r>
              <w:rPr>
                <w:color w:val="000000"/>
                <w:sz w:val="24"/>
              </w:rPr>
              <w:t>18,819,900.00</w:t>
            </w:r>
          </w:p>
        </w:tc>
        <w:tc>
          <w:tcPr>
            <w:vAlign w:val="center"/>
          </w:tcPr>
          <w:p>
            <w:pPr>
              <w:jc w:val="right"/>
            </w:pPr>
            <w:r>
              <w:rPr>
                <w:color w:val="000000"/>
                <w:sz w:val="24"/>
              </w:rPr>
              <w:t>2.56</w:t>
            </w:r>
          </w:p>
        </w:tc>
      </w:tr>
      <w:tr>
        <w:tc>
          <w:tcPr>
            <w:vAlign w:val="center"/>
          </w:tcPr>
          <w:p>
            <w:pPr>
              <w:jc w:val="center"/>
            </w:pPr>
            <w:r>
              <w:rPr>
                <w:color w:val="000000"/>
                <w:sz w:val="24"/>
              </w:rPr>
              <w:t>2</w:t>
            </w:r>
          </w:p>
        </w:tc>
        <w:tc>
          <w:tcPr>
            <w:vAlign w:val="center"/>
          </w:tcPr>
          <w:p>
            <w:pPr>
              <w:jc w:val="center"/>
            </w:pPr>
            <w:r>
              <w:rPr>
                <w:color w:val="000000"/>
                <w:sz w:val="24"/>
              </w:rPr>
              <w:t>113558</w:t>
            </w:r>
          </w:p>
        </w:tc>
        <w:tc>
          <w:tcPr>
            <w:vAlign w:val="center"/>
          </w:tcPr>
          <w:p>
            <w:pPr>
              <w:jc w:val="center"/>
            </w:pPr>
            <w:r>
              <w:rPr>
                <w:color w:val="000000"/>
                <w:sz w:val="24"/>
              </w:rPr>
              <w:t>日月转债</w:t>
            </w:r>
          </w:p>
        </w:tc>
        <w:tc>
          <w:tcPr>
            <w:vAlign w:val="center"/>
          </w:tcPr>
          <w:p>
            <w:pPr>
              <w:jc w:val="right"/>
            </w:pPr>
            <w:r>
              <w:rPr>
                <w:color w:val="000000"/>
                <w:sz w:val="24"/>
              </w:rPr>
              <w:t>10,031,563.20</w:t>
            </w:r>
          </w:p>
        </w:tc>
        <w:tc>
          <w:tcPr>
            <w:vAlign w:val="center"/>
          </w:tcPr>
          <w:p>
            <w:pPr>
              <w:jc w:val="right"/>
            </w:pPr>
            <w:r>
              <w:rPr>
                <w:color w:val="000000"/>
                <w:sz w:val="24"/>
              </w:rPr>
              <w:t>1.36</w:t>
            </w:r>
          </w:p>
        </w:tc>
      </w:tr>
      <w:tr>
        <w:tc>
          <w:tcPr>
            <w:vAlign w:val="center"/>
          </w:tcPr>
          <w:p>
            <w:pPr>
              <w:jc w:val="center"/>
            </w:pPr>
            <w:r>
              <w:rPr>
                <w:color w:val="000000"/>
                <w:sz w:val="24"/>
              </w:rPr>
              <w:t>3</w:t>
            </w:r>
          </w:p>
        </w:tc>
        <w:tc>
          <w:tcPr>
            <w:vAlign w:val="center"/>
          </w:tcPr>
          <w:p>
            <w:pPr>
              <w:jc w:val="center"/>
            </w:pPr>
            <w:r>
              <w:rPr>
                <w:color w:val="000000"/>
                <w:sz w:val="24"/>
              </w:rPr>
              <w:t>110059</w:t>
            </w:r>
          </w:p>
        </w:tc>
        <w:tc>
          <w:tcPr>
            <w:vAlign w:val="center"/>
          </w:tcPr>
          <w:p>
            <w:pPr>
              <w:jc w:val="center"/>
            </w:pPr>
            <w:r>
              <w:rPr>
                <w:color w:val="000000"/>
                <w:sz w:val="24"/>
              </w:rPr>
              <w:t>浦发转债</w:t>
            </w:r>
          </w:p>
        </w:tc>
        <w:tc>
          <w:tcPr>
            <w:vAlign w:val="center"/>
          </w:tcPr>
          <w:p>
            <w:pPr>
              <w:jc w:val="right"/>
            </w:pPr>
            <w:r>
              <w:rPr>
                <w:color w:val="000000"/>
                <w:sz w:val="24"/>
              </w:rPr>
              <w:t>9,794,914.50</w:t>
            </w:r>
          </w:p>
        </w:tc>
        <w:tc>
          <w:tcPr>
            <w:vAlign w:val="center"/>
          </w:tcPr>
          <w:p>
            <w:pPr>
              <w:jc w:val="right"/>
            </w:pPr>
            <w:r>
              <w:rPr>
                <w:color w:val="000000"/>
                <w:sz w:val="24"/>
              </w:rPr>
              <w:t>1.33</w:t>
            </w:r>
          </w:p>
        </w:tc>
      </w:tr>
      <w:tr>
        <w:tc>
          <w:tcPr>
            <w:vAlign w:val="center"/>
          </w:tcPr>
          <w:p>
            <w:pPr>
              <w:jc w:val="center"/>
            </w:pPr>
            <w:r>
              <w:rPr>
                <w:color w:val="000000"/>
                <w:sz w:val="24"/>
              </w:rPr>
              <w:t>4</w:t>
            </w:r>
          </w:p>
        </w:tc>
        <w:tc>
          <w:tcPr>
            <w:vAlign w:val="center"/>
          </w:tcPr>
          <w:p>
            <w:pPr>
              <w:jc w:val="center"/>
            </w:pPr>
            <w:r>
              <w:rPr>
                <w:color w:val="000000"/>
                <w:sz w:val="24"/>
              </w:rPr>
              <w:t>110053</w:t>
            </w:r>
          </w:p>
        </w:tc>
        <w:tc>
          <w:tcPr>
            <w:vAlign w:val="center"/>
          </w:tcPr>
          <w:p>
            <w:pPr>
              <w:jc w:val="center"/>
            </w:pPr>
            <w:r>
              <w:rPr>
                <w:color w:val="000000"/>
                <w:sz w:val="24"/>
              </w:rPr>
              <w:t>苏银转债</w:t>
            </w:r>
          </w:p>
        </w:tc>
        <w:tc>
          <w:tcPr>
            <w:vAlign w:val="center"/>
          </w:tcPr>
          <w:p>
            <w:pPr>
              <w:jc w:val="right"/>
            </w:pPr>
            <w:r>
              <w:rPr>
                <w:color w:val="000000"/>
                <w:sz w:val="24"/>
              </w:rPr>
              <w:t>9,466,070.40</w:t>
            </w:r>
          </w:p>
        </w:tc>
        <w:tc>
          <w:tcPr>
            <w:vAlign w:val="center"/>
          </w:tcPr>
          <w:p>
            <w:pPr>
              <w:jc w:val="right"/>
            </w:pPr>
            <w:r>
              <w:rPr>
                <w:color w:val="000000"/>
                <w:sz w:val="24"/>
              </w:rPr>
              <w:t>1.29</w:t>
            </w:r>
          </w:p>
        </w:tc>
      </w:tr>
      <w:tr>
        <w:tc>
          <w:tcPr>
            <w:vAlign w:val="center"/>
          </w:tcPr>
          <w:p>
            <w:pPr>
              <w:jc w:val="center"/>
            </w:pPr>
            <w:r>
              <w:rPr>
                <w:color w:val="000000"/>
                <w:sz w:val="24"/>
              </w:rPr>
              <w:t>5</w:t>
            </w:r>
          </w:p>
        </w:tc>
        <w:tc>
          <w:tcPr>
            <w:vAlign w:val="center"/>
          </w:tcPr>
          <w:p>
            <w:pPr>
              <w:jc w:val="center"/>
            </w:pPr>
            <w:r>
              <w:rPr>
                <w:color w:val="000000"/>
                <w:sz w:val="24"/>
              </w:rPr>
              <w:t>128084</w:t>
            </w:r>
          </w:p>
        </w:tc>
        <w:tc>
          <w:tcPr>
            <w:vAlign w:val="center"/>
          </w:tcPr>
          <w:p>
            <w:pPr>
              <w:jc w:val="center"/>
            </w:pPr>
            <w:r>
              <w:rPr>
                <w:color w:val="000000"/>
                <w:sz w:val="24"/>
              </w:rPr>
              <w:t>木森转债</w:t>
            </w:r>
          </w:p>
        </w:tc>
        <w:tc>
          <w:tcPr>
            <w:vAlign w:val="center"/>
          </w:tcPr>
          <w:p>
            <w:pPr>
              <w:jc w:val="right"/>
            </w:pPr>
            <w:r>
              <w:rPr>
                <w:color w:val="000000"/>
                <w:sz w:val="24"/>
              </w:rPr>
              <w:t>8,300,141.85</w:t>
            </w:r>
          </w:p>
        </w:tc>
        <w:tc>
          <w:tcPr>
            <w:vAlign w:val="center"/>
          </w:tcPr>
          <w:p>
            <w:pPr>
              <w:jc w:val="right"/>
            </w:pPr>
            <w:r>
              <w:rPr>
                <w:color w:val="000000"/>
                <w:sz w:val="24"/>
              </w:rPr>
              <w:t>1.13</w:t>
            </w:r>
          </w:p>
        </w:tc>
      </w:tr>
      <w:tr>
        <w:tc>
          <w:tcPr>
            <w:vAlign w:val="center"/>
          </w:tcPr>
          <w:p>
            <w:pPr>
              <w:jc w:val="center"/>
            </w:pPr>
            <w:r>
              <w:rPr>
                <w:color w:val="000000"/>
                <w:sz w:val="24"/>
              </w:rPr>
              <w:t>6</w:t>
            </w:r>
          </w:p>
        </w:tc>
        <w:tc>
          <w:tcPr>
            <w:vAlign w:val="center"/>
          </w:tcPr>
          <w:p>
            <w:pPr>
              <w:jc w:val="center"/>
            </w:pPr>
            <w:r>
              <w:rPr>
                <w:color w:val="000000"/>
                <w:sz w:val="24"/>
              </w:rPr>
              <w:t>110041</w:t>
            </w:r>
          </w:p>
        </w:tc>
        <w:tc>
          <w:tcPr>
            <w:vAlign w:val="center"/>
          </w:tcPr>
          <w:p>
            <w:pPr>
              <w:jc w:val="center"/>
            </w:pPr>
            <w:r>
              <w:rPr>
                <w:color w:val="000000"/>
                <w:sz w:val="24"/>
              </w:rPr>
              <w:t>蒙电转债</w:t>
            </w:r>
          </w:p>
        </w:tc>
        <w:tc>
          <w:tcPr>
            <w:vAlign w:val="center"/>
          </w:tcPr>
          <w:p>
            <w:pPr>
              <w:jc w:val="right"/>
            </w:pPr>
            <w:r>
              <w:rPr>
                <w:color w:val="000000"/>
                <w:sz w:val="24"/>
              </w:rPr>
              <w:t>7,255,966.40</w:t>
            </w:r>
          </w:p>
        </w:tc>
        <w:tc>
          <w:tcPr>
            <w:vAlign w:val="center"/>
          </w:tcPr>
          <w:p>
            <w:pPr>
              <w:jc w:val="right"/>
            </w:pPr>
            <w:r>
              <w:rPr>
                <w:color w:val="000000"/>
                <w:sz w:val="24"/>
              </w:rPr>
              <w:t>0.99</w:t>
            </w:r>
          </w:p>
        </w:tc>
      </w:tr>
      <w:tr>
        <w:tc>
          <w:tcPr>
            <w:vAlign w:val="center"/>
          </w:tcPr>
          <w:p>
            <w:pPr>
              <w:jc w:val="center"/>
            </w:pPr>
            <w:r>
              <w:rPr>
                <w:color w:val="000000"/>
                <w:sz w:val="24"/>
              </w:rPr>
              <w:t>7</w:t>
            </w:r>
          </w:p>
        </w:tc>
        <w:tc>
          <w:tcPr>
            <w:vAlign w:val="center"/>
          </w:tcPr>
          <w:p>
            <w:pPr>
              <w:jc w:val="center"/>
            </w:pPr>
            <w:r>
              <w:rPr>
                <w:color w:val="000000"/>
                <w:sz w:val="24"/>
              </w:rPr>
              <w:t>128081</w:t>
            </w:r>
          </w:p>
        </w:tc>
        <w:tc>
          <w:tcPr>
            <w:vAlign w:val="center"/>
          </w:tcPr>
          <w:p>
            <w:pPr>
              <w:jc w:val="center"/>
            </w:pPr>
            <w:r>
              <w:rPr>
                <w:color w:val="000000"/>
                <w:sz w:val="24"/>
              </w:rPr>
              <w:t>海亮转债</w:t>
            </w:r>
          </w:p>
        </w:tc>
        <w:tc>
          <w:tcPr>
            <w:vAlign w:val="center"/>
          </w:tcPr>
          <w:p>
            <w:pPr>
              <w:jc w:val="right"/>
            </w:pPr>
            <w:r>
              <w:rPr>
                <w:color w:val="000000"/>
                <w:sz w:val="24"/>
              </w:rPr>
              <w:t>6,885,646.17</w:t>
            </w:r>
          </w:p>
        </w:tc>
        <w:tc>
          <w:tcPr>
            <w:vAlign w:val="center"/>
          </w:tcPr>
          <w:p>
            <w:pPr>
              <w:jc w:val="right"/>
            </w:pPr>
            <w:r>
              <w:rPr>
                <w:color w:val="000000"/>
                <w:sz w:val="24"/>
              </w:rPr>
              <w:t>0.94</w:t>
            </w:r>
          </w:p>
        </w:tc>
      </w:tr>
      <w:tr>
        <w:tc>
          <w:tcPr>
            <w:vAlign w:val="center"/>
          </w:tcPr>
          <w:p>
            <w:pPr>
              <w:jc w:val="center"/>
            </w:pPr>
            <w:r>
              <w:rPr>
                <w:color w:val="000000"/>
                <w:sz w:val="24"/>
              </w:rPr>
              <w:t>8</w:t>
            </w:r>
          </w:p>
        </w:tc>
        <w:tc>
          <w:tcPr>
            <w:vAlign w:val="center"/>
          </w:tcPr>
          <w:p>
            <w:pPr>
              <w:jc w:val="center"/>
            </w:pPr>
            <w:r>
              <w:rPr>
                <w:color w:val="000000"/>
                <w:sz w:val="24"/>
              </w:rPr>
              <w:t>113029</w:t>
            </w:r>
          </w:p>
        </w:tc>
        <w:tc>
          <w:tcPr>
            <w:vAlign w:val="center"/>
          </w:tcPr>
          <w:p>
            <w:pPr>
              <w:jc w:val="center"/>
            </w:pPr>
            <w:r>
              <w:rPr>
                <w:color w:val="000000"/>
                <w:sz w:val="24"/>
              </w:rPr>
              <w:t>明阳转债</w:t>
            </w:r>
          </w:p>
        </w:tc>
        <w:tc>
          <w:tcPr>
            <w:vAlign w:val="center"/>
          </w:tcPr>
          <w:p>
            <w:pPr>
              <w:jc w:val="right"/>
            </w:pPr>
            <w:r>
              <w:rPr>
                <w:color w:val="000000"/>
                <w:sz w:val="24"/>
              </w:rPr>
              <w:t>6,253,496.10</w:t>
            </w:r>
          </w:p>
        </w:tc>
        <w:tc>
          <w:tcPr>
            <w:vAlign w:val="center"/>
          </w:tcPr>
          <w:p>
            <w:pPr>
              <w:jc w:val="right"/>
            </w:pPr>
            <w:r>
              <w:rPr>
                <w:color w:val="000000"/>
                <w:sz w:val="24"/>
              </w:rPr>
              <w:t>0.85</w:t>
            </w:r>
          </w:p>
        </w:tc>
      </w:tr>
      <w:tr>
        <w:tc>
          <w:tcPr>
            <w:vAlign w:val="center"/>
          </w:tcPr>
          <w:p>
            <w:pPr>
              <w:jc w:val="center"/>
            </w:pPr>
            <w:r>
              <w:rPr>
                <w:color w:val="000000"/>
                <w:sz w:val="24"/>
              </w:rPr>
              <w:t>9</w:t>
            </w:r>
          </w:p>
        </w:tc>
        <w:tc>
          <w:tcPr>
            <w:vAlign w:val="center"/>
          </w:tcPr>
          <w:p>
            <w:pPr>
              <w:jc w:val="center"/>
            </w:pPr>
            <w:r>
              <w:rPr>
                <w:color w:val="000000"/>
                <w:sz w:val="24"/>
              </w:rPr>
              <w:t>128083</w:t>
            </w:r>
          </w:p>
        </w:tc>
        <w:tc>
          <w:tcPr>
            <w:vAlign w:val="center"/>
          </w:tcPr>
          <w:p>
            <w:pPr>
              <w:jc w:val="center"/>
            </w:pPr>
            <w:r>
              <w:rPr>
                <w:color w:val="000000"/>
                <w:sz w:val="24"/>
              </w:rPr>
              <w:t>新北转债</w:t>
            </w:r>
          </w:p>
        </w:tc>
        <w:tc>
          <w:tcPr>
            <w:vAlign w:val="center"/>
          </w:tcPr>
          <w:p>
            <w:pPr>
              <w:jc w:val="right"/>
            </w:pPr>
            <w:r>
              <w:rPr>
                <w:color w:val="000000"/>
                <w:sz w:val="24"/>
              </w:rPr>
              <w:t>5,990,593.92</w:t>
            </w:r>
          </w:p>
        </w:tc>
        <w:tc>
          <w:tcPr>
            <w:vAlign w:val="center"/>
          </w:tcPr>
          <w:p>
            <w:pPr>
              <w:jc w:val="right"/>
            </w:pPr>
            <w:r>
              <w:rPr>
                <w:color w:val="000000"/>
                <w:sz w:val="24"/>
              </w:rPr>
              <w:t>0.81</w:t>
            </w:r>
          </w:p>
        </w:tc>
      </w:tr>
      <w:tr>
        <w:tc>
          <w:tcPr>
            <w:vAlign w:val="center"/>
          </w:tcPr>
          <w:p>
            <w:pPr>
              <w:jc w:val="center"/>
            </w:pPr>
            <w:r>
              <w:rPr>
                <w:color w:val="000000"/>
                <w:sz w:val="24"/>
              </w:rPr>
              <w:t>10</w:t>
            </w:r>
          </w:p>
        </w:tc>
        <w:tc>
          <w:tcPr>
            <w:vAlign w:val="center"/>
          </w:tcPr>
          <w:p>
            <w:pPr>
              <w:jc w:val="center"/>
            </w:pPr>
            <w:r>
              <w:rPr>
                <w:color w:val="000000"/>
                <w:sz w:val="24"/>
              </w:rPr>
              <w:t>132018</w:t>
            </w:r>
          </w:p>
        </w:tc>
        <w:tc>
          <w:tcPr>
            <w:vAlign w:val="center"/>
          </w:tcPr>
          <w:p>
            <w:pPr>
              <w:jc w:val="center"/>
            </w:pPr>
            <w:r>
              <w:rPr>
                <w:color w:val="000000"/>
                <w:sz w:val="24"/>
              </w:rPr>
              <w:t>G三峡EB1</w:t>
            </w:r>
          </w:p>
        </w:tc>
        <w:tc>
          <w:tcPr>
            <w:vAlign w:val="center"/>
          </w:tcPr>
          <w:p>
            <w:pPr>
              <w:jc w:val="right"/>
            </w:pPr>
            <w:r>
              <w:rPr>
                <w:color w:val="000000"/>
                <w:sz w:val="24"/>
              </w:rPr>
              <w:t>5,348,272.00</w:t>
            </w:r>
          </w:p>
        </w:tc>
        <w:tc>
          <w:tcPr>
            <w:vAlign w:val="center"/>
          </w:tcPr>
          <w:p>
            <w:pPr>
              <w:jc w:val="right"/>
            </w:pPr>
            <w:r>
              <w:rPr>
                <w:color w:val="000000"/>
                <w:sz w:val="24"/>
              </w:rPr>
              <w:t>0.73</w:t>
            </w:r>
          </w:p>
        </w:tc>
      </w:tr>
      <w:tr>
        <w:tc>
          <w:tcPr>
            <w:vAlign w:val="center"/>
          </w:tcPr>
          <w:p>
            <w:pPr>
              <w:jc w:val="center"/>
            </w:pPr>
            <w:r>
              <w:rPr>
                <w:color w:val="000000"/>
                <w:sz w:val="24"/>
              </w:rPr>
              <w:t>11</w:t>
            </w:r>
          </w:p>
        </w:tc>
        <w:tc>
          <w:tcPr>
            <w:vAlign w:val="center"/>
          </w:tcPr>
          <w:p>
            <w:pPr>
              <w:jc w:val="center"/>
            </w:pPr>
            <w:r>
              <w:rPr>
                <w:color w:val="000000"/>
                <w:sz w:val="24"/>
              </w:rPr>
              <w:t>128034</w:t>
            </w:r>
          </w:p>
        </w:tc>
        <w:tc>
          <w:tcPr>
            <w:vAlign w:val="center"/>
          </w:tcPr>
          <w:p>
            <w:pPr>
              <w:jc w:val="center"/>
            </w:pPr>
            <w:r>
              <w:rPr>
                <w:color w:val="000000"/>
                <w:sz w:val="24"/>
              </w:rPr>
              <w:t>江银转债</w:t>
            </w:r>
          </w:p>
        </w:tc>
        <w:tc>
          <w:tcPr>
            <w:vAlign w:val="center"/>
          </w:tcPr>
          <w:p>
            <w:pPr>
              <w:jc w:val="right"/>
            </w:pPr>
            <w:r>
              <w:rPr>
                <w:color w:val="000000"/>
                <w:sz w:val="24"/>
              </w:rPr>
              <w:t>4,871,389.52</w:t>
            </w:r>
          </w:p>
        </w:tc>
        <w:tc>
          <w:tcPr>
            <w:vAlign w:val="center"/>
          </w:tcPr>
          <w:p>
            <w:pPr>
              <w:jc w:val="right"/>
            </w:pPr>
            <w:r>
              <w:rPr>
                <w:color w:val="000000"/>
                <w:sz w:val="24"/>
              </w:rPr>
              <w:t>0.66</w:t>
            </w:r>
          </w:p>
        </w:tc>
      </w:tr>
      <w:tr>
        <w:tc>
          <w:tcPr>
            <w:vAlign w:val="center"/>
          </w:tcPr>
          <w:p>
            <w:pPr>
              <w:jc w:val="center"/>
            </w:pPr>
            <w:r>
              <w:rPr>
                <w:color w:val="000000"/>
                <w:sz w:val="24"/>
              </w:rPr>
              <w:t>12</w:t>
            </w:r>
          </w:p>
        </w:tc>
        <w:tc>
          <w:tcPr>
            <w:vAlign w:val="center"/>
          </w:tcPr>
          <w:p>
            <w:pPr>
              <w:jc w:val="center"/>
            </w:pPr>
            <w:r>
              <w:rPr>
                <w:color w:val="000000"/>
                <w:sz w:val="24"/>
              </w:rPr>
              <w:t>113550</w:t>
            </w:r>
          </w:p>
        </w:tc>
        <w:tc>
          <w:tcPr>
            <w:vAlign w:val="center"/>
          </w:tcPr>
          <w:p>
            <w:pPr>
              <w:jc w:val="center"/>
            </w:pPr>
            <w:r>
              <w:rPr>
                <w:color w:val="000000"/>
                <w:sz w:val="24"/>
              </w:rPr>
              <w:t>常汽转债</w:t>
            </w:r>
          </w:p>
        </w:tc>
        <w:tc>
          <w:tcPr>
            <w:vAlign w:val="center"/>
          </w:tcPr>
          <w:p>
            <w:pPr>
              <w:jc w:val="right"/>
            </w:pPr>
            <w:r>
              <w:rPr>
                <w:color w:val="000000"/>
                <w:sz w:val="24"/>
              </w:rPr>
              <w:t>4,701,458.00</w:t>
            </w:r>
          </w:p>
        </w:tc>
        <w:tc>
          <w:tcPr>
            <w:vAlign w:val="center"/>
          </w:tcPr>
          <w:p>
            <w:pPr>
              <w:jc w:val="right"/>
            </w:pPr>
            <w:r>
              <w:rPr>
                <w:color w:val="000000"/>
                <w:sz w:val="24"/>
              </w:rPr>
              <w:t>0.64</w:t>
            </w:r>
          </w:p>
        </w:tc>
      </w:tr>
      <w:tr>
        <w:tc>
          <w:tcPr>
            <w:vAlign w:val="center"/>
          </w:tcPr>
          <w:p>
            <w:pPr>
              <w:jc w:val="center"/>
            </w:pPr>
            <w:r>
              <w:rPr>
                <w:color w:val="000000"/>
                <w:sz w:val="24"/>
              </w:rPr>
              <w:t>13</w:t>
            </w:r>
          </w:p>
        </w:tc>
        <w:tc>
          <w:tcPr>
            <w:vAlign w:val="center"/>
          </w:tcPr>
          <w:p>
            <w:pPr>
              <w:jc w:val="center"/>
            </w:pPr>
            <w:r>
              <w:rPr>
                <w:color w:val="000000"/>
                <w:sz w:val="24"/>
              </w:rPr>
              <w:t>128074</w:t>
            </w:r>
          </w:p>
        </w:tc>
        <w:tc>
          <w:tcPr>
            <w:vAlign w:val="center"/>
          </w:tcPr>
          <w:p>
            <w:pPr>
              <w:jc w:val="center"/>
            </w:pPr>
            <w:r>
              <w:rPr>
                <w:color w:val="000000"/>
                <w:sz w:val="24"/>
              </w:rPr>
              <w:t>游族转债</w:t>
            </w:r>
          </w:p>
        </w:tc>
        <w:tc>
          <w:tcPr>
            <w:vAlign w:val="center"/>
          </w:tcPr>
          <w:p>
            <w:pPr>
              <w:jc w:val="right"/>
            </w:pPr>
            <w:r>
              <w:rPr>
                <w:color w:val="000000"/>
                <w:sz w:val="24"/>
              </w:rPr>
              <w:t>4,652,709.00</w:t>
            </w:r>
          </w:p>
        </w:tc>
        <w:tc>
          <w:tcPr>
            <w:vAlign w:val="center"/>
          </w:tcPr>
          <w:p>
            <w:pPr>
              <w:jc w:val="right"/>
            </w:pPr>
            <w:r>
              <w:rPr>
                <w:color w:val="000000"/>
                <w:sz w:val="24"/>
              </w:rPr>
              <w:t>0.63</w:t>
            </w:r>
          </w:p>
        </w:tc>
      </w:tr>
      <w:tr>
        <w:tc>
          <w:tcPr>
            <w:vAlign w:val="center"/>
          </w:tcPr>
          <w:p>
            <w:pPr>
              <w:jc w:val="center"/>
            </w:pPr>
            <w:r>
              <w:rPr>
                <w:color w:val="000000"/>
                <w:sz w:val="24"/>
              </w:rPr>
              <w:t>14</w:t>
            </w:r>
          </w:p>
        </w:tc>
        <w:tc>
          <w:tcPr>
            <w:vAlign w:val="center"/>
          </w:tcPr>
          <w:p>
            <w:pPr>
              <w:jc w:val="center"/>
            </w:pPr>
            <w:r>
              <w:rPr>
                <w:color w:val="000000"/>
                <w:sz w:val="24"/>
              </w:rPr>
              <w:t>128058</w:t>
            </w:r>
          </w:p>
        </w:tc>
        <w:tc>
          <w:tcPr>
            <w:vAlign w:val="center"/>
          </w:tcPr>
          <w:p>
            <w:pPr>
              <w:jc w:val="center"/>
            </w:pPr>
            <w:r>
              <w:rPr>
                <w:color w:val="000000"/>
                <w:sz w:val="24"/>
              </w:rPr>
              <w:t>拓邦转债</w:t>
            </w:r>
          </w:p>
        </w:tc>
        <w:tc>
          <w:tcPr>
            <w:vAlign w:val="center"/>
          </w:tcPr>
          <w:p>
            <w:pPr>
              <w:jc w:val="right"/>
            </w:pPr>
            <w:r>
              <w:rPr>
                <w:color w:val="000000"/>
                <w:sz w:val="24"/>
              </w:rPr>
              <w:t>4,508,153.64</w:t>
            </w:r>
          </w:p>
        </w:tc>
        <w:tc>
          <w:tcPr>
            <w:vAlign w:val="center"/>
          </w:tcPr>
          <w:p>
            <w:pPr>
              <w:jc w:val="right"/>
            </w:pPr>
            <w:r>
              <w:rPr>
                <w:color w:val="000000"/>
                <w:sz w:val="24"/>
              </w:rPr>
              <w:t>0.61</w:t>
            </w:r>
          </w:p>
        </w:tc>
      </w:tr>
      <w:tr>
        <w:tc>
          <w:tcPr>
            <w:vAlign w:val="center"/>
          </w:tcPr>
          <w:p>
            <w:pPr>
              <w:jc w:val="center"/>
            </w:pPr>
            <w:r>
              <w:rPr>
                <w:color w:val="000000"/>
                <w:sz w:val="24"/>
              </w:rPr>
              <w:t>15</w:t>
            </w:r>
          </w:p>
        </w:tc>
        <w:tc>
          <w:tcPr>
            <w:vAlign w:val="center"/>
          </w:tcPr>
          <w:p>
            <w:pPr>
              <w:jc w:val="center"/>
            </w:pPr>
            <w:r>
              <w:rPr>
                <w:color w:val="000000"/>
                <w:sz w:val="24"/>
              </w:rPr>
              <w:t>110061</w:t>
            </w:r>
          </w:p>
        </w:tc>
        <w:tc>
          <w:tcPr>
            <w:vAlign w:val="center"/>
          </w:tcPr>
          <w:p>
            <w:pPr>
              <w:jc w:val="center"/>
            </w:pPr>
            <w:r>
              <w:rPr>
                <w:color w:val="000000"/>
                <w:sz w:val="24"/>
              </w:rPr>
              <w:t>川投转债</w:t>
            </w:r>
          </w:p>
        </w:tc>
        <w:tc>
          <w:tcPr>
            <w:vAlign w:val="center"/>
          </w:tcPr>
          <w:p>
            <w:pPr>
              <w:jc w:val="right"/>
            </w:pPr>
            <w:r>
              <w:rPr>
                <w:color w:val="000000"/>
                <w:sz w:val="24"/>
              </w:rPr>
              <w:t>4,232,984.00</w:t>
            </w:r>
          </w:p>
        </w:tc>
        <w:tc>
          <w:tcPr>
            <w:vAlign w:val="center"/>
          </w:tcPr>
          <w:p>
            <w:pPr>
              <w:jc w:val="right"/>
            </w:pPr>
            <w:r>
              <w:rPr>
                <w:color w:val="000000"/>
                <w:sz w:val="24"/>
              </w:rPr>
              <w:t>0.58</w:t>
            </w:r>
          </w:p>
        </w:tc>
      </w:tr>
      <w:tr>
        <w:tc>
          <w:tcPr>
            <w:vAlign w:val="center"/>
          </w:tcPr>
          <w:p>
            <w:pPr>
              <w:jc w:val="center"/>
            </w:pPr>
            <w:r>
              <w:rPr>
                <w:color w:val="000000"/>
                <w:sz w:val="24"/>
              </w:rPr>
              <w:t>16</w:t>
            </w:r>
          </w:p>
        </w:tc>
        <w:tc>
          <w:tcPr>
            <w:vAlign w:val="center"/>
          </w:tcPr>
          <w:p>
            <w:pPr>
              <w:jc w:val="center"/>
            </w:pPr>
            <w:r>
              <w:rPr>
                <w:color w:val="000000"/>
                <w:sz w:val="24"/>
              </w:rPr>
              <w:t>110047</w:t>
            </w:r>
          </w:p>
        </w:tc>
        <w:tc>
          <w:tcPr>
            <w:vAlign w:val="center"/>
          </w:tcPr>
          <w:p>
            <w:pPr>
              <w:jc w:val="center"/>
            </w:pPr>
            <w:r>
              <w:rPr>
                <w:color w:val="000000"/>
                <w:sz w:val="24"/>
              </w:rPr>
              <w:t>山鹰转债</w:t>
            </w:r>
          </w:p>
        </w:tc>
        <w:tc>
          <w:tcPr>
            <w:vAlign w:val="center"/>
          </w:tcPr>
          <w:p>
            <w:pPr>
              <w:jc w:val="right"/>
            </w:pPr>
            <w:r>
              <w:rPr>
                <w:color w:val="000000"/>
                <w:sz w:val="24"/>
              </w:rPr>
              <w:t>3,733,460.30</w:t>
            </w:r>
          </w:p>
        </w:tc>
        <w:tc>
          <w:tcPr>
            <w:vAlign w:val="center"/>
          </w:tcPr>
          <w:p>
            <w:pPr>
              <w:jc w:val="right"/>
            </w:pPr>
            <w:r>
              <w:rPr>
                <w:color w:val="000000"/>
                <w:sz w:val="24"/>
              </w:rPr>
              <w:t>0.51</w:t>
            </w:r>
          </w:p>
        </w:tc>
      </w:tr>
      <w:tr>
        <w:tc>
          <w:tcPr>
            <w:vAlign w:val="center"/>
          </w:tcPr>
          <w:p>
            <w:pPr>
              <w:jc w:val="center"/>
            </w:pPr>
            <w:r>
              <w:rPr>
                <w:color w:val="000000"/>
                <w:sz w:val="24"/>
              </w:rPr>
              <w:t>17</w:t>
            </w:r>
          </w:p>
        </w:tc>
        <w:tc>
          <w:tcPr>
            <w:vAlign w:val="center"/>
          </w:tcPr>
          <w:p>
            <w:pPr>
              <w:jc w:val="center"/>
            </w:pPr>
            <w:r>
              <w:rPr>
                <w:color w:val="000000"/>
                <w:sz w:val="24"/>
              </w:rPr>
              <w:t>113025</w:t>
            </w:r>
          </w:p>
        </w:tc>
        <w:tc>
          <w:tcPr>
            <w:vAlign w:val="center"/>
          </w:tcPr>
          <w:p>
            <w:pPr>
              <w:jc w:val="center"/>
            </w:pPr>
            <w:r>
              <w:rPr>
                <w:color w:val="000000"/>
                <w:sz w:val="24"/>
              </w:rPr>
              <w:t>明泰转债</w:t>
            </w:r>
          </w:p>
        </w:tc>
        <w:tc>
          <w:tcPr>
            <w:vAlign w:val="center"/>
          </w:tcPr>
          <w:p>
            <w:pPr>
              <w:jc w:val="right"/>
            </w:pPr>
            <w:r>
              <w:rPr>
                <w:color w:val="000000"/>
                <w:sz w:val="24"/>
              </w:rPr>
              <w:t>3,718,162.50</w:t>
            </w:r>
          </w:p>
        </w:tc>
        <w:tc>
          <w:tcPr>
            <w:vAlign w:val="center"/>
          </w:tcPr>
          <w:p>
            <w:pPr>
              <w:jc w:val="right"/>
            </w:pPr>
            <w:r>
              <w:rPr>
                <w:color w:val="000000"/>
                <w:sz w:val="24"/>
              </w:rPr>
              <w:t>0.51</w:t>
            </w:r>
          </w:p>
        </w:tc>
      </w:tr>
      <w:tr>
        <w:tc>
          <w:tcPr>
            <w:vAlign w:val="center"/>
          </w:tcPr>
          <w:p>
            <w:pPr>
              <w:jc w:val="center"/>
            </w:pPr>
            <w:r>
              <w:rPr>
                <w:color w:val="000000"/>
                <w:sz w:val="24"/>
              </w:rPr>
              <w:t>18</w:t>
            </w:r>
          </w:p>
        </w:tc>
        <w:tc>
          <w:tcPr>
            <w:vAlign w:val="center"/>
          </w:tcPr>
          <w:p>
            <w:pPr>
              <w:jc w:val="center"/>
            </w:pPr>
            <w:r>
              <w:rPr>
                <w:color w:val="000000"/>
                <w:sz w:val="24"/>
              </w:rPr>
              <w:t>113021</w:t>
            </w:r>
          </w:p>
        </w:tc>
        <w:tc>
          <w:tcPr>
            <w:vAlign w:val="center"/>
          </w:tcPr>
          <w:p>
            <w:pPr>
              <w:jc w:val="center"/>
            </w:pPr>
            <w:r>
              <w:rPr>
                <w:color w:val="000000"/>
                <w:sz w:val="24"/>
              </w:rPr>
              <w:t>中信转债</w:t>
            </w:r>
          </w:p>
        </w:tc>
        <w:tc>
          <w:tcPr>
            <w:vAlign w:val="center"/>
          </w:tcPr>
          <w:p>
            <w:pPr>
              <w:jc w:val="right"/>
            </w:pPr>
            <w:r>
              <w:rPr>
                <w:color w:val="000000"/>
                <w:sz w:val="24"/>
              </w:rPr>
              <w:t>3,684,041.10</w:t>
            </w:r>
          </w:p>
        </w:tc>
        <w:tc>
          <w:tcPr>
            <w:vAlign w:val="center"/>
          </w:tcPr>
          <w:p>
            <w:pPr>
              <w:jc w:val="right"/>
            </w:pPr>
            <w:r>
              <w:rPr>
                <w:color w:val="000000"/>
                <w:sz w:val="24"/>
              </w:rPr>
              <w:t>0.50</w:t>
            </w:r>
          </w:p>
        </w:tc>
      </w:tr>
      <w:tr>
        <w:tc>
          <w:tcPr>
            <w:vAlign w:val="center"/>
          </w:tcPr>
          <w:p>
            <w:pPr>
              <w:jc w:val="center"/>
            </w:pPr>
            <w:r>
              <w:rPr>
                <w:color w:val="000000"/>
                <w:sz w:val="24"/>
              </w:rPr>
              <w:t>19</w:t>
            </w:r>
          </w:p>
        </w:tc>
        <w:tc>
          <w:tcPr>
            <w:vAlign w:val="center"/>
          </w:tcPr>
          <w:p>
            <w:pPr>
              <w:jc w:val="center"/>
            </w:pPr>
            <w:r>
              <w:rPr>
                <w:color w:val="000000"/>
                <w:sz w:val="24"/>
              </w:rPr>
              <w:t>113504</w:t>
            </w:r>
          </w:p>
        </w:tc>
        <w:tc>
          <w:tcPr>
            <w:vAlign w:val="center"/>
          </w:tcPr>
          <w:p>
            <w:pPr>
              <w:jc w:val="center"/>
            </w:pPr>
            <w:r>
              <w:rPr>
                <w:color w:val="000000"/>
                <w:sz w:val="24"/>
              </w:rPr>
              <w:t>艾华转债</w:t>
            </w:r>
          </w:p>
        </w:tc>
        <w:tc>
          <w:tcPr>
            <w:vAlign w:val="center"/>
          </w:tcPr>
          <w:p>
            <w:pPr>
              <w:jc w:val="right"/>
            </w:pPr>
            <w:r>
              <w:rPr>
                <w:color w:val="000000"/>
                <w:sz w:val="24"/>
              </w:rPr>
              <w:t>3,568,787.20</w:t>
            </w:r>
          </w:p>
        </w:tc>
        <w:tc>
          <w:tcPr>
            <w:vAlign w:val="center"/>
          </w:tcPr>
          <w:p>
            <w:pPr>
              <w:jc w:val="right"/>
            </w:pPr>
            <w:r>
              <w:rPr>
                <w:color w:val="000000"/>
                <w:sz w:val="24"/>
              </w:rPr>
              <w:t>0.49</w:t>
            </w:r>
          </w:p>
        </w:tc>
      </w:tr>
      <w:tr>
        <w:tc>
          <w:tcPr>
            <w:vAlign w:val="center"/>
          </w:tcPr>
          <w:p>
            <w:pPr>
              <w:jc w:val="center"/>
            </w:pPr>
            <w:r>
              <w:rPr>
                <w:color w:val="000000"/>
                <w:sz w:val="24"/>
              </w:rPr>
              <w:t>20</w:t>
            </w:r>
          </w:p>
        </w:tc>
        <w:tc>
          <w:tcPr>
            <w:vAlign w:val="center"/>
          </w:tcPr>
          <w:p>
            <w:pPr>
              <w:jc w:val="center"/>
            </w:pPr>
            <w:r>
              <w:rPr>
                <w:color w:val="000000"/>
                <w:sz w:val="24"/>
              </w:rPr>
              <w:t>113545</w:t>
            </w:r>
          </w:p>
        </w:tc>
        <w:tc>
          <w:tcPr>
            <w:vAlign w:val="center"/>
          </w:tcPr>
          <w:p>
            <w:pPr>
              <w:jc w:val="center"/>
            </w:pPr>
            <w:r>
              <w:rPr>
                <w:color w:val="000000"/>
                <w:sz w:val="24"/>
              </w:rPr>
              <w:t>金能转债</w:t>
            </w:r>
          </w:p>
        </w:tc>
        <w:tc>
          <w:tcPr>
            <w:vAlign w:val="center"/>
          </w:tcPr>
          <w:p>
            <w:pPr>
              <w:jc w:val="right"/>
            </w:pPr>
            <w:r>
              <w:rPr>
                <w:color w:val="000000"/>
                <w:sz w:val="24"/>
              </w:rPr>
              <w:t>3,330,970.60</w:t>
            </w:r>
          </w:p>
        </w:tc>
        <w:tc>
          <w:tcPr>
            <w:vAlign w:val="center"/>
          </w:tcPr>
          <w:p>
            <w:pPr>
              <w:jc w:val="right"/>
            </w:pPr>
            <w:r>
              <w:rPr>
                <w:color w:val="000000"/>
                <w:sz w:val="24"/>
              </w:rPr>
              <w:t>0.45</w:t>
            </w:r>
          </w:p>
        </w:tc>
      </w:tr>
      <w:tr>
        <w:tc>
          <w:tcPr>
            <w:vAlign w:val="center"/>
          </w:tcPr>
          <w:p>
            <w:pPr>
              <w:jc w:val="center"/>
            </w:pPr>
            <w:r>
              <w:rPr>
                <w:color w:val="000000"/>
                <w:sz w:val="24"/>
              </w:rPr>
              <w:t>21</w:t>
            </w:r>
          </w:p>
        </w:tc>
        <w:tc>
          <w:tcPr>
            <w:vAlign w:val="center"/>
          </w:tcPr>
          <w:p>
            <w:pPr>
              <w:jc w:val="center"/>
            </w:pPr>
            <w:r>
              <w:rPr>
                <w:color w:val="000000"/>
                <w:sz w:val="24"/>
              </w:rPr>
              <w:t>127013</w:t>
            </w:r>
          </w:p>
        </w:tc>
        <w:tc>
          <w:tcPr>
            <w:vAlign w:val="center"/>
          </w:tcPr>
          <w:p>
            <w:pPr>
              <w:jc w:val="center"/>
            </w:pPr>
            <w:r>
              <w:rPr>
                <w:color w:val="000000"/>
                <w:sz w:val="24"/>
              </w:rPr>
              <w:t>创维转债</w:t>
            </w:r>
          </w:p>
        </w:tc>
        <w:tc>
          <w:tcPr>
            <w:vAlign w:val="center"/>
          </w:tcPr>
          <w:p>
            <w:pPr>
              <w:jc w:val="right"/>
            </w:pPr>
            <w:r>
              <w:rPr>
                <w:color w:val="000000"/>
                <w:sz w:val="24"/>
              </w:rPr>
              <w:t>3,144,335.60</w:t>
            </w:r>
          </w:p>
        </w:tc>
        <w:tc>
          <w:tcPr>
            <w:vAlign w:val="center"/>
          </w:tcPr>
          <w:p>
            <w:pPr>
              <w:jc w:val="right"/>
            </w:pPr>
            <w:r>
              <w:rPr>
                <w:color w:val="000000"/>
                <w:sz w:val="24"/>
              </w:rPr>
              <w:t>0.43</w:t>
            </w:r>
          </w:p>
        </w:tc>
      </w:tr>
      <w:tr>
        <w:tc>
          <w:tcPr>
            <w:vAlign w:val="center"/>
          </w:tcPr>
          <w:p>
            <w:pPr>
              <w:jc w:val="center"/>
            </w:pPr>
            <w:r>
              <w:rPr>
                <w:color w:val="000000"/>
                <w:sz w:val="24"/>
              </w:rPr>
              <w:t>22</w:t>
            </w:r>
          </w:p>
        </w:tc>
        <w:tc>
          <w:tcPr>
            <w:vAlign w:val="center"/>
          </w:tcPr>
          <w:p>
            <w:pPr>
              <w:jc w:val="center"/>
            </w:pPr>
            <w:r>
              <w:rPr>
                <w:color w:val="000000"/>
                <w:sz w:val="24"/>
              </w:rPr>
              <w:t>127012</w:t>
            </w:r>
          </w:p>
        </w:tc>
        <w:tc>
          <w:tcPr>
            <w:vAlign w:val="center"/>
          </w:tcPr>
          <w:p>
            <w:pPr>
              <w:jc w:val="center"/>
            </w:pPr>
            <w:r>
              <w:rPr>
                <w:color w:val="000000"/>
                <w:sz w:val="24"/>
              </w:rPr>
              <w:t>招路转债</w:t>
            </w:r>
          </w:p>
        </w:tc>
        <w:tc>
          <w:tcPr>
            <w:vAlign w:val="center"/>
          </w:tcPr>
          <w:p>
            <w:pPr>
              <w:jc w:val="right"/>
            </w:pPr>
            <w:r>
              <w:rPr>
                <w:color w:val="000000"/>
                <w:sz w:val="24"/>
              </w:rPr>
              <w:t>3,120,615.40</w:t>
            </w:r>
          </w:p>
        </w:tc>
        <w:tc>
          <w:tcPr>
            <w:vAlign w:val="center"/>
          </w:tcPr>
          <w:p>
            <w:pPr>
              <w:jc w:val="right"/>
            </w:pPr>
            <w:r>
              <w:rPr>
                <w:color w:val="000000"/>
                <w:sz w:val="24"/>
              </w:rPr>
              <w:t>0.42</w:t>
            </w:r>
          </w:p>
        </w:tc>
      </w:tr>
      <w:tr>
        <w:tc>
          <w:tcPr>
            <w:vAlign w:val="center"/>
          </w:tcPr>
          <w:p>
            <w:pPr>
              <w:jc w:val="center"/>
            </w:pPr>
            <w:r>
              <w:rPr>
                <w:color w:val="000000"/>
                <w:sz w:val="24"/>
              </w:rPr>
              <w:t>23</w:t>
            </w:r>
          </w:p>
        </w:tc>
        <w:tc>
          <w:tcPr>
            <w:vAlign w:val="center"/>
          </w:tcPr>
          <w:p>
            <w:pPr>
              <w:jc w:val="center"/>
            </w:pPr>
            <w:r>
              <w:rPr>
                <w:color w:val="000000"/>
                <w:sz w:val="24"/>
              </w:rPr>
              <w:t>110065</w:t>
            </w:r>
          </w:p>
        </w:tc>
        <w:tc>
          <w:tcPr>
            <w:vAlign w:val="center"/>
          </w:tcPr>
          <w:p>
            <w:pPr>
              <w:jc w:val="center"/>
            </w:pPr>
            <w:r>
              <w:rPr>
                <w:color w:val="000000"/>
                <w:sz w:val="24"/>
              </w:rPr>
              <w:t>淮矿转债</w:t>
            </w:r>
          </w:p>
        </w:tc>
        <w:tc>
          <w:tcPr>
            <w:vAlign w:val="center"/>
          </w:tcPr>
          <w:p>
            <w:pPr>
              <w:jc w:val="right"/>
            </w:pPr>
            <w:r>
              <w:rPr>
                <w:color w:val="000000"/>
                <w:sz w:val="24"/>
              </w:rPr>
              <w:t>3,008,004.40</w:t>
            </w:r>
          </w:p>
        </w:tc>
        <w:tc>
          <w:tcPr>
            <w:vAlign w:val="center"/>
          </w:tcPr>
          <w:p>
            <w:pPr>
              <w:jc w:val="right"/>
            </w:pPr>
            <w:r>
              <w:rPr>
                <w:color w:val="000000"/>
                <w:sz w:val="24"/>
              </w:rPr>
              <w:t>0.41</w:t>
            </w:r>
          </w:p>
        </w:tc>
      </w:tr>
      <w:tr>
        <w:tc>
          <w:tcPr>
            <w:vAlign w:val="center"/>
          </w:tcPr>
          <w:p>
            <w:pPr>
              <w:jc w:val="center"/>
            </w:pPr>
            <w:r>
              <w:rPr>
                <w:color w:val="000000"/>
                <w:sz w:val="24"/>
              </w:rPr>
              <w:t>24</w:t>
            </w:r>
          </w:p>
        </w:tc>
        <w:tc>
          <w:tcPr>
            <w:vAlign w:val="center"/>
          </w:tcPr>
          <w:p>
            <w:pPr>
              <w:jc w:val="center"/>
            </w:pPr>
            <w:r>
              <w:rPr>
                <w:color w:val="000000"/>
                <w:sz w:val="24"/>
              </w:rPr>
              <w:t>110063</w:t>
            </w:r>
          </w:p>
        </w:tc>
        <w:tc>
          <w:tcPr>
            <w:vAlign w:val="center"/>
          </w:tcPr>
          <w:p>
            <w:pPr>
              <w:jc w:val="center"/>
            </w:pPr>
            <w:r>
              <w:rPr>
                <w:color w:val="000000"/>
                <w:sz w:val="24"/>
              </w:rPr>
              <w:t>鹰19转债</w:t>
            </w:r>
          </w:p>
        </w:tc>
        <w:tc>
          <w:tcPr>
            <w:vAlign w:val="center"/>
          </w:tcPr>
          <w:p>
            <w:pPr>
              <w:jc w:val="right"/>
            </w:pPr>
            <w:r>
              <w:rPr>
                <w:color w:val="000000"/>
                <w:sz w:val="24"/>
              </w:rPr>
              <w:t>2,179,356.50</w:t>
            </w:r>
          </w:p>
        </w:tc>
        <w:tc>
          <w:tcPr>
            <w:vAlign w:val="center"/>
          </w:tcPr>
          <w:p>
            <w:pPr>
              <w:jc w:val="right"/>
            </w:pPr>
            <w:r>
              <w:rPr>
                <w:color w:val="000000"/>
                <w:sz w:val="24"/>
              </w:rPr>
              <w:t>0.30</w:t>
            </w:r>
          </w:p>
        </w:tc>
      </w:tr>
      <w:tr>
        <w:tc>
          <w:tcPr>
            <w:vAlign w:val="center"/>
          </w:tcPr>
          <w:p>
            <w:pPr>
              <w:jc w:val="center"/>
            </w:pPr>
            <w:r>
              <w:rPr>
                <w:color w:val="000000"/>
                <w:sz w:val="24"/>
              </w:rPr>
              <w:t>25</w:t>
            </w:r>
          </w:p>
        </w:tc>
        <w:tc>
          <w:tcPr>
            <w:vAlign w:val="center"/>
          </w:tcPr>
          <w:p>
            <w:pPr>
              <w:jc w:val="center"/>
            </w:pPr>
            <w:r>
              <w:rPr>
                <w:color w:val="000000"/>
                <w:sz w:val="24"/>
              </w:rPr>
              <w:t>110055</w:t>
            </w:r>
          </w:p>
        </w:tc>
        <w:tc>
          <w:tcPr>
            <w:vAlign w:val="center"/>
          </w:tcPr>
          <w:p>
            <w:pPr>
              <w:jc w:val="center"/>
            </w:pPr>
            <w:r>
              <w:rPr>
                <w:color w:val="000000"/>
                <w:sz w:val="24"/>
              </w:rPr>
              <w:t>伊力转债</w:t>
            </w:r>
          </w:p>
        </w:tc>
        <w:tc>
          <w:tcPr>
            <w:vAlign w:val="center"/>
          </w:tcPr>
          <w:p>
            <w:pPr>
              <w:jc w:val="right"/>
            </w:pPr>
            <w:r>
              <w:rPr>
                <w:color w:val="000000"/>
                <w:sz w:val="24"/>
              </w:rPr>
              <w:t>1,948,720.40</w:t>
            </w:r>
          </w:p>
        </w:tc>
        <w:tc>
          <w:tcPr>
            <w:vAlign w:val="center"/>
          </w:tcPr>
          <w:p>
            <w:pPr>
              <w:jc w:val="right"/>
            </w:pPr>
            <w:r>
              <w:rPr>
                <w:color w:val="000000"/>
                <w:sz w:val="24"/>
              </w:rPr>
              <w:t>0.27</w:t>
            </w:r>
          </w:p>
        </w:tc>
      </w:tr>
      <w:tr>
        <w:tc>
          <w:tcPr>
            <w:vAlign w:val="center"/>
          </w:tcPr>
          <w:p>
            <w:pPr>
              <w:jc w:val="center"/>
            </w:pPr>
            <w:r>
              <w:rPr>
                <w:color w:val="000000"/>
                <w:sz w:val="24"/>
              </w:rPr>
              <w:t>26</w:t>
            </w:r>
          </w:p>
        </w:tc>
        <w:tc>
          <w:tcPr>
            <w:vAlign w:val="center"/>
          </w:tcPr>
          <w:p>
            <w:pPr>
              <w:jc w:val="center"/>
            </w:pPr>
            <w:r>
              <w:rPr>
                <w:color w:val="000000"/>
                <w:sz w:val="24"/>
              </w:rPr>
              <w:t>110051</w:t>
            </w:r>
          </w:p>
        </w:tc>
        <w:tc>
          <w:tcPr>
            <w:vAlign w:val="center"/>
          </w:tcPr>
          <w:p>
            <w:pPr>
              <w:jc w:val="center"/>
            </w:pPr>
            <w:r>
              <w:rPr>
                <w:color w:val="000000"/>
                <w:sz w:val="24"/>
              </w:rPr>
              <w:t>中天转债</w:t>
            </w:r>
          </w:p>
        </w:tc>
        <w:tc>
          <w:tcPr>
            <w:vAlign w:val="center"/>
          </w:tcPr>
          <w:p>
            <w:pPr>
              <w:jc w:val="right"/>
            </w:pPr>
            <w:r>
              <w:rPr>
                <w:color w:val="000000"/>
                <w:sz w:val="24"/>
              </w:rPr>
              <w:t>1,557,045.90</w:t>
            </w:r>
          </w:p>
        </w:tc>
        <w:tc>
          <w:tcPr>
            <w:vAlign w:val="center"/>
          </w:tcPr>
          <w:p>
            <w:pPr>
              <w:jc w:val="right"/>
            </w:pPr>
            <w:r>
              <w:rPr>
                <w:color w:val="000000"/>
                <w:sz w:val="24"/>
              </w:rPr>
              <w:t>0.21</w:t>
            </w:r>
          </w:p>
        </w:tc>
      </w:tr>
      <w:tr>
        <w:tc>
          <w:tcPr>
            <w:vAlign w:val="center"/>
          </w:tcPr>
          <w:p>
            <w:pPr>
              <w:jc w:val="center"/>
            </w:pPr>
            <w:r>
              <w:rPr>
                <w:color w:val="000000"/>
                <w:sz w:val="24"/>
              </w:rPr>
              <w:t>27</w:t>
            </w:r>
          </w:p>
        </w:tc>
        <w:tc>
          <w:tcPr>
            <w:vAlign w:val="center"/>
          </w:tcPr>
          <w:p>
            <w:pPr>
              <w:jc w:val="center"/>
            </w:pPr>
            <w:r>
              <w:rPr>
                <w:color w:val="000000"/>
                <w:sz w:val="24"/>
              </w:rPr>
              <w:t>113521</w:t>
            </w:r>
          </w:p>
        </w:tc>
        <w:tc>
          <w:tcPr>
            <w:vAlign w:val="center"/>
          </w:tcPr>
          <w:p>
            <w:pPr>
              <w:jc w:val="center"/>
            </w:pPr>
            <w:r>
              <w:rPr>
                <w:color w:val="000000"/>
                <w:sz w:val="24"/>
              </w:rPr>
              <w:t>科森转债</w:t>
            </w:r>
          </w:p>
        </w:tc>
        <w:tc>
          <w:tcPr>
            <w:vAlign w:val="center"/>
          </w:tcPr>
          <w:p>
            <w:pPr>
              <w:jc w:val="right"/>
            </w:pPr>
            <w:r>
              <w:rPr>
                <w:color w:val="000000"/>
                <w:sz w:val="24"/>
              </w:rPr>
              <w:t>1,375,266.00</w:t>
            </w:r>
          </w:p>
        </w:tc>
        <w:tc>
          <w:tcPr>
            <w:vAlign w:val="center"/>
          </w:tcPr>
          <w:p>
            <w:pPr>
              <w:jc w:val="right"/>
            </w:pPr>
            <w:r>
              <w:rPr>
                <w:color w:val="000000"/>
                <w:sz w:val="24"/>
              </w:rPr>
              <w:t>0.19</w:t>
            </w:r>
          </w:p>
        </w:tc>
      </w:tr>
      <w:tr>
        <w:tc>
          <w:tcPr>
            <w:vAlign w:val="center"/>
          </w:tcPr>
          <w:p>
            <w:pPr>
              <w:jc w:val="center"/>
            </w:pPr>
            <w:r>
              <w:rPr>
                <w:color w:val="000000"/>
                <w:sz w:val="24"/>
              </w:rPr>
              <w:t>28</w:t>
            </w:r>
          </w:p>
        </w:tc>
        <w:tc>
          <w:tcPr>
            <w:vAlign w:val="center"/>
          </w:tcPr>
          <w:p>
            <w:pPr>
              <w:jc w:val="center"/>
            </w:pPr>
            <w:r>
              <w:rPr>
                <w:color w:val="000000"/>
                <w:sz w:val="24"/>
              </w:rPr>
              <w:t>128075</w:t>
            </w:r>
          </w:p>
        </w:tc>
        <w:tc>
          <w:tcPr>
            <w:vAlign w:val="center"/>
          </w:tcPr>
          <w:p>
            <w:pPr>
              <w:jc w:val="center"/>
            </w:pPr>
            <w:r>
              <w:rPr>
                <w:color w:val="000000"/>
                <w:sz w:val="24"/>
              </w:rPr>
              <w:t>远东转债</w:t>
            </w:r>
          </w:p>
        </w:tc>
        <w:tc>
          <w:tcPr>
            <w:vAlign w:val="center"/>
          </w:tcPr>
          <w:p>
            <w:pPr>
              <w:jc w:val="right"/>
            </w:pPr>
            <w:r>
              <w:rPr>
                <w:color w:val="000000"/>
                <w:sz w:val="24"/>
              </w:rPr>
              <w:t>1,182,460.20</w:t>
            </w:r>
          </w:p>
        </w:tc>
        <w:tc>
          <w:tcPr>
            <w:vAlign w:val="center"/>
          </w:tcPr>
          <w:p>
            <w:pPr>
              <w:jc w:val="right"/>
            </w:pPr>
            <w:r>
              <w:rPr>
                <w:color w:val="000000"/>
                <w:sz w:val="24"/>
              </w:rPr>
              <w:t>0.16</w:t>
            </w:r>
          </w:p>
        </w:tc>
      </w:tr>
      <w:tr>
        <w:tc>
          <w:tcPr>
            <w:vAlign w:val="center"/>
          </w:tcPr>
          <w:p>
            <w:pPr>
              <w:jc w:val="center"/>
            </w:pPr>
            <w:r>
              <w:rPr>
                <w:color w:val="000000"/>
                <w:sz w:val="24"/>
              </w:rPr>
              <w:t>29</w:t>
            </w:r>
          </w:p>
        </w:tc>
        <w:tc>
          <w:tcPr>
            <w:vAlign w:val="center"/>
          </w:tcPr>
          <w:p>
            <w:pPr>
              <w:jc w:val="center"/>
            </w:pPr>
            <w:r>
              <w:rPr>
                <w:color w:val="000000"/>
                <w:sz w:val="24"/>
              </w:rPr>
              <w:t>128019</w:t>
            </w:r>
          </w:p>
        </w:tc>
        <w:tc>
          <w:tcPr>
            <w:vAlign w:val="center"/>
          </w:tcPr>
          <w:p>
            <w:pPr>
              <w:jc w:val="center"/>
            </w:pPr>
            <w:r>
              <w:rPr>
                <w:color w:val="000000"/>
                <w:sz w:val="24"/>
              </w:rPr>
              <w:t>久立转2</w:t>
            </w:r>
          </w:p>
        </w:tc>
        <w:tc>
          <w:tcPr>
            <w:vAlign w:val="center"/>
          </w:tcPr>
          <w:p>
            <w:pPr>
              <w:jc w:val="right"/>
            </w:pPr>
            <w:r>
              <w:rPr>
                <w:color w:val="000000"/>
                <w:sz w:val="24"/>
              </w:rPr>
              <w:t>174,413.25</w:t>
            </w:r>
          </w:p>
        </w:tc>
        <w:tc>
          <w:tcPr>
            <w:vAlign w:val="center"/>
          </w:tcPr>
          <w:p>
            <w:pPr>
              <w:jc w:val="right"/>
            </w:pPr>
            <w:r>
              <w:rPr>
                <w:color w:val="000000"/>
                <w:sz w:val="24"/>
              </w:rPr>
              <w:t>0.02</w:t>
            </w:r>
          </w:p>
        </w:tc>
      </w:tr>
      <w:tr>
        <w:tc>
          <w:tcPr>
            <w:vAlign w:val="center"/>
          </w:tcPr>
          <w:p>
            <w:pPr>
              <w:jc w:val="center"/>
            </w:pPr>
            <w:r>
              <w:rPr>
                <w:color w:val="000000"/>
                <w:sz w:val="24"/>
              </w:rPr>
              <w:t>30</w:t>
            </w:r>
          </w:p>
        </w:tc>
        <w:tc>
          <w:tcPr>
            <w:vAlign w:val="center"/>
          </w:tcPr>
          <w:p>
            <w:pPr>
              <w:jc w:val="center"/>
            </w:pPr>
            <w:r>
              <w:rPr>
                <w:color w:val="000000"/>
                <w:sz w:val="24"/>
              </w:rPr>
              <w:t>128085</w:t>
            </w:r>
          </w:p>
        </w:tc>
        <w:tc>
          <w:tcPr>
            <w:vAlign w:val="center"/>
          </w:tcPr>
          <w:p>
            <w:pPr>
              <w:jc w:val="center"/>
            </w:pPr>
            <w:r>
              <w:rPr>
                <w:color w:val="000000"/>
                <w:sz w:val="24"/>
              </w:rPr>
              <w:t>鸿达转债</w:t>
            </w:r>
          </w:p>
        </w:tc>
        <w:tc>
          <w:tcPr>
            <w:vAlign w:val="center"/>
          </w:tcPr>
          <w:p>
            <w:pPr>
              <w:jc w:val="right"/>
            </w:pPr>
            <w:r>
              <w:rPr>
                <w:color w:val="000000"/>
                <w:sz w:val="24"/>
              </w:rPr>
              <w:t>87,637.20</w:t>
            </w:r>
          </w:p>
        </w:tc>
        <w:tc>
          <w:tcPr>
            <w:vAlign w:val="center"/>
          </w:tcPr>
          <w:p>
            <w:pPr>
              <w:jc w:val="right"/>
            </w:pPr>
            <w:r>
              <w:rPr>
                <w:color w:val="000000"/>
                <w:sz w:val="24"/>
              </w:rPr>
              <w:t>0.01</w:t>
            </w:r>
          </w:p>
        </w:tc>
      </w:tr>
    </w:tbl>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本基金本报告期末前十名股票中不存在流通受限情况。</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易方达丰华债券A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易方达丰华债券C</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407,965,523.68</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215,185,060.78</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113,610,600.96</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98,815,698.68</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79,150,600.96</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123,872,596.89</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442,425,523.68</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190,128,162.57</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1.中国证监会准予易方达保本一号混合型证券投资基金变更注册为易方达丰华债券型证券投资基金的文件；</w:t>
      </w:r>
    </w:p>
    <w:p>
      <w:pPr>
        <w:spacing w:line="360" w:lineRule="auto"/>
        <w:ind w:firstLine="480" w:firstLineChars="200"/>
        <w:rPr>
          <w:color w:val="000000"/>
          <w:sz w:val="24"/>
        </w:rPr>
      </w:pPr>
      <w:r>
        <w:rPr>
          <w:color w:val="000000"/>
          <w:sz w:val="24"/>
        </w:rPr>
        <w:t>2.易方达保本一号混合型证券投资基金基金份额持有人大会表决结果暨决议生效的公告</w:t>
      </w:r>
    </w:p>
    <w:p>
      <w:pPr>
        <w:spacing w:line="360" w:lineRule="auto"/>
        <w:ind w:firstLine="480" w:firstLineChars="200"/>
        <w:rPr>
          <w:color w:val="000000"/>
          <w:sz w:val="24"/>
        </w:rPr>
      </w:pPr>
      <w:r>
        <w:rPr>
          <w:color w:val="000000"/>
          <w:sz w:val="24"/>
        </w:rPr>
        <w:t>3.《易方达丰华债券型证券投资基金基金合同》；</w:t>
      </w:r>
    </w:p>
    <w:p>
      <w:pPr>
        <w:spacing w:line="360" w:lineRule="auto"/>
        <w:ind w:firstLine="480" w:firstLineChars="200"/>
        <w:rPr>
          <w:color w:val="000000"/>
          <w:sz w:val="24"/>
        </w:rPr>
      </w:pPr>
      <w:r>
        <w:rPr>
          <w:color w:val="000000"/>
          <w:sz w:val="24"/>
        </w:rPr>
        <w:t>4.《易方达丰华债券型证券投资基金托管协议》；</w:t>
      </w:r>
    </w:p>
    <w:p>
      <w:pPr>
        <w:spacing w:line="360" w:lineRule="auto"/>
        <w:ind w:firstLine="480" w:firstLineChars="200"/>
        <w:rPr>
          <w:color w:val="000000"/>
          <w:sz w:val="24"/>
        </w:rPr>
      </w:pPr>
      <w:r>
        <w:rPr>
          <w:color w:val="000000"/>
          <w:sz w:val="24"/>
        </w:rPr>
        <w:t>5.《易方达基金管理有限公司开放式基金业务规则》；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6.基金管理人业务资格批件、营业执照。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易方达丰华债券型证券投资基金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