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FC13C8">
      <w:pPr>
        <w:spacing w:line="360" w:lineRule="auto"/>
        <w:jc w:val="center"/>
        <w:rPr>
          <w:rFonts w:ascii="宋体" w:hAnsi="宋体"/>
          <w:b/>
          <w:sz w:val="36"/>
          <w:szCs w:val="36"/>
        </w:rPr>
      </w:pPr>
      <w:r w:rsidRPr="0078105B">
        <w:rPr>
          <w:rFonts w:ascii="宋体" w:hAnsi="宋体"/>
          <w:b/>
          <w:sz w:val="36"/>
          <w:szCs w:val="36"/>
        </w:rPr>
        <w:t>易方达高等级信用债债券型证券投资基金</w:t>
      </w:r>
    </w:p>
    <w:p w:rsidR="00F016DD" w:rsidRPr="0078105B" w:rsidRDefault="00F016DD" w:rsidP="00FC13C8">
      <w:pPr>
        <w:spacing w:line="360" w:lineRule="auto"/>
        <w:jc w:val="center"/>
        <w:rPr>
          <w:rFonts w:ascii="宋体" w:hAnsi="宋体"/>
          <w:b/>
          <w:sz w:val="36"/>
          <w:szCs w:val="36"/>
        </w:rPr>
      </w:pPr>
      <w:r w:rsidRPr="0078105B">
        <w:rPr>
          <w:rFonts w:ascii="宋体" w:hAnsi="宋体"/>
          <w:b/>
          <w:sz w:val="36"/>
          <w:szCs w:val="36"/>
        </w:rPr>
        <w:t>2020年第2季度报告</w:t>
      </w:r>
    </w:p>
    <w:p w:rsidR="00F016DD" w:rsidRPr="00DA451D" w:rsidRDefault="00F016DD" w:rsidP="00FC13C8">
      <w:pPr>
        <w:spacing w:line="360" w:lineRule="auto"/>
        <w:jc w:val="center"/>
        <w:rPr>
          <w:rFonts w:ascii="宋体" w:hAnsi="宋体"/>
          <w:b/>
          <w:sz w:val="24"/>
        </w:rPr>
      </w:pPr>
      <w:r w:rsidRPr="00DA451D">
        <w:rPr>
          <w:rFonts w:ascii="宋体" w:hAnsi="宋体"/>
          <w:b/>
          <w:sz w:val="24"/>
        </w:rPr>
        <w:t>2020年6月30日</w:t>
      </w: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E27360">
      <w:pPr>
        <w:spacing w:line="360" w:lineRule="auto"/>
        <w:jc w:val="center"/>
        <w:rPr>
          <w:rFonts w:ascii="宋体"/>
          <w:b/>
          <w:color w:val="000000"/>
          <w:sz w:val="24"/>
        </w:rPr>
      </w:pPr>
    </w:p>
    <w:p w:rsidR="00F016DD" w:rsidRPr="0078105B" w:rsidRDefault="00F016DD" w:rsidP="00E27360">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rPr>
          <w:rFonts w:ascii="宋体"/>
          <w:b/>
          <w:color w:val="000000"/>
          <w:sz w:val="24"/>
        </w:rPr>
      </w:pPr>
    </w:p>
    <w:p w:rsidR="00F016DD" w:rsidRPr="0078105B" w:rsidRDefault="00F016DD" w:rsidP="00174038">
      <w:pPr>
        <w:spacing w:line="360" w:lineRule="auto"/>
        <w:ind w:firstLineChars="900" w:firstLine="2168"/>
        <w:rPr>
          <w:rFonts w:ascii="宋体" w:hAnsi="宋体"/>
          <w:b/>
          <w:color w:val="000000"/>
          <w:sz w:val="24"/>
        </w:rPr>
      </w:pPr>
      <w:r w:rsidRPr="0078105B">
        <w:rPr>
          <w:rFonts w:ascii="宋体" w:hAnsi="宋体" w:hint="eastAsia"/>
          <w:b/>
          <w:color w:val="000000"/>
          <w:sz w:val="24"/>
        </w:rPr>
        <w:t>基金管理人：</w:t>
      </w:r>
      <w:r w:rsidRPr="0078105B">
        <w:rPr>
          <w:rFonts w:ascii="宋体" w:hAnsi="宋体"/>
          <w:b/>
          <w:color w:val="000000"/>
          <w:sz w:val="24"/>
        </w:rPr>
        <w:t>易方达基金管理有限公司</w:t>
      </w:r>
    </w:p>
    <w:p w:rsidR="00F016DD" w:rsidRPr="0078105B" w:rsidRDefault="00F016DD" w:rsidP="00174038">
      <w:pPr>
        <w:spacing w:line="360" w:lineRule="auto"/>
        <w:ind w:firstLineChars="900" w:firstLine="2168"/>
        <w:rPr>
          <w:rFonts w:ascii="宋体" w:hAnsi="宋体"/>
          <w:b/>
          <w:color w:val="000000"/>
          <w:sz w:val="24"/>
        </w:rPr>
      </w:pPr>
      <w:r w:rsidRPr="0078105B">
        <w:rPr>
          <w:rFonts w:ascii="宋体" w:hAnsi="宋体" w:hint="eastAsia"/>
          <w:b/>
          <w:color w:val="000000"/>
          <w:sz w:val="24"/>
        </w:rPr>
        <w:t>基金托管人：</w:t>
      </w:r>
      <w:r w:rsidRPr="0078105B">
        <w:rPr>
          <w:rFonts w:ascii="宋体" w:hAnsi="宋体"/>
          <w:b/>
          <w:color w:val="000000"/>
          <w:sz w:val="24"/>
        </w:rPr>
        <w:t>中国建设银行股份有限公司</w:t>
      </w:r>
    </w:p>
    <w:p w:rsidR="00F016DD" w:rsidRPr="0078105B" w:rsidRDefault="00F016DD" w:rsidP="00174038">
      <w:pPr>
        <w:spacing w:line="360" w:lineRule="auto"/>
        <w:ind w:firstLineChars="900" w:firstLine="2168"/>
        <w:rPr>
          <w:rFonts w:ascii="宋体"/>
          <w:sz w:val="24"/>
        </w:rPr>
        <w:sectPr w:rsidR="00F016DD" w:rsidRPr="0078105B" w:rsidSect="00F7094A">
          <w:headerReference w:type="default" r:id="rId7"/>
          <w:footerReference w:type="default" r:id="rId8"/>
          <w:pgSz w:w="11926" w:h="15840"/>
          <w:pgMar w:top="1418" w:right="1418" w:bottom="851" w:left="1418" w:header="851" w:footer="992" w:gutter="0"/>
          <w:cols w:space="720"/>
          <w:noEndnote/>
        </w:sectPr>
      </w:pPr>
      <w:r w:rsidRPr="0078105B">
        <w:rPr>
          <w:rFonts w:ascii="宋体" w:hAnsi="宋体" w:hint="eastAsia"/>
          <w:b/>
          <w:color w:val="000000"/>
          <w:sz w:val="24"/>
        </w:rPr>
        <w:t>报告送出日期：</w:t>
      </w:r>
      <w:r w:rsidRPr="0078105B">
        <w:rPr>
          <w:rFonts w:ascii="宋体" w:hAnsi="宋体"/>
          <w:b/>
          <w:color w:val="000000"/>
          <w:sz w:val="24"/>
        </w:rPr>
        <w:t>二〇二〇年七月二十一日</w:t>
      </w:r>
    </w:p>
    <w:p w:rsidR="00F016DD" w:rsidRPr="0078105B" w:rsidRDefault="00F016DD" w:rsidP="00B54884">
      <w:pPr>
        <w:pStyle w:val="1"/>
        <w:spacing w:beforeLines="100" w:before="312" w:afterLines="100" w:after="312" w:line="360" w:lineRule="auto"/>
        <w:jc w:val="center"/>
        <w:rPr>
          <w:rFonts w:ascii="宋体" w:cs="Arial"/>
          <w:b w:val="0"/>
          <w:color w:val="000000"/>
          <w:kern w:val="0"/>
          <w:sz w:val="24"/>
          <w:szCs w:val="24"/>
        </w:rPr>
      </w:pPr>
      <w:r w:rsidRPr="0078105B">
        <w:rPr>
          <w:rFonts w:ascii="宋体" w:hAnsi="宋体" w:cs="Arial" w:hint="eastAsia"/>
          <w:color w:val="000000"/>
          <w:kern w:val="0"/>
          <w:sz w:val="24"/>
          <w:szCs w:val="24"/>
        </w:rPr>
        <w:lastRenderedPageBreak/>
        <w:t>§</w:t>
      </w:r>
      <w:r w:rsidRPr="0078105B">
        <w:rPr>
          <w:rFonts w:ascii="宋体" w:hAnsi="宋体" w:cs="Arial"/>
          <w:color w:val="000000"/>
          <w:kern w:val="0"/>
          <w:sz w:val="24"/>
          <w:szCs w:val="24"/>
        </w:rPr>
        <w:t xml:space="preserve">1  </w:t>
      </w:r>
      <w:r w:rsidRPr="0078105B">
        <w:rPr>
          <w:rFonts w:ascii="宋体" w:hAnsi="宋体" w:cs="Arial" w:hint="eastAsia"/>
          <w:color w:val="000000"/>
          <w:kern w:val="0"/>
          <w:sz w:val="24"/>
          <w:szCs w:val="24"/>
        </w:rPr>
        <w:t>重要提示</w:t>
      </w:r>
    </w:p>
    <w:p w:rsidR="00AB3007" w:rsidRDefault="00EC4743">
      <w:pPr>
        <w:spacing w:line="360" w:lineRule="auto"/>
        <w:ind w:firstLineChars="200" w:firstLine="480"/>
        <w:rPr>
          <w:color w:val="000000"/>
          <w:sz w:val="24"/>
        </w:rPr>
      </w:pPr>
      <w:r>
        <w:rPr>
          <w:color w:val="000000"/>
          <w:sz w:val="24"/>
        </w:rPr>
        <w:t>基金管理人的董事会及董事保证本报告所载资料不存在虚假记载、误导性陈述或重大遗漏，并对其内容的真实性、准确性和完整性承担个别及连带责任。</w:t>
      </w:r>
      <w:r>
        <w:rPr>
          <w:color w:val="000000"/>
          <w:sz w:val="24"/>
        </w:rPr>
        <w:t xml:space="preserve"> </w:t>
      </w:r>
    </w:p>
    <w:p w:rsidR="00AB3007" w:rsidRDefault="00EC4743">
      <w:pPr>
        <w:spacing w:line="360" w:lineRule="auto"/>
        <w:ind w:firstLineChars="200" w:firstLine="480"/>
        <w:rPr>
          <w:color w:val="000000"/>
          <w:sz w:val="24"/>
        </w:rPr>
      </w:pPr>
      <w:r>
        <w:rPr>
          <w:color w:val="000000"/>
          <w:sz w:val="24"/>
        </w:rPr>
        <w:t>基金托管人中国建设银行股份有限公司根据本基金合同规定，于</w:t>
      </w:r>
      <w:r>
        <w:rPr>
          <w:color w:val="000000"/>
          <w:sz w:val="24"/>
        </w:rPr>
        <w:t>2020</w:t>
      </w:r>
      <w:r>
        <w:rPr>
          <w:color w:val="000000"/>
          <w:sz w:val="24"/>
        </w:rPr>
        <w:t>年</w:t>
      </w:r>
      <w:r>
        <w:rPr>
          <w:color w:val="000000"/>
          <w:sz w:val="24"/>
        </w:rPr>
        <w:t>7</w:t>
      </w:r>
      <w:r>
        <w:rPr>
          <w:color w:val="000000"/>
          <w:sz w:val="24"/>
        </w:rPr>
        <w:t>月</w:t>
      </w:r>
      <w:r>
        <w:rPr>
          <w:color w:val="000000"/>
          <w:sz w:val="24"/>
        </w:rPr>
        <w:t>17</w:t>
      </w:r>
      <w:r>
        <w:rPr>
          <w:color w:val="000000"/>
          <w:sz w:val="24"/>
        </w:rPr>
        <w:t>日复核了本报告中的财务指标、净值表现和投资组合报告等内容，保证复核内容不存在虚假记载、误导性陈述或者重大遗漏。</w:t>
      </w:r>
      <w:r>
        <w:rPr>
          <w:color w:val="000000"/>
          <w:sz w:val="24"/>
        </w:rPr>
        <w:t xml:space="preserve"> </w:t>
      </w:r>
    </w:p>
    <w:p w:rsidR="00AB3007" w:rsidRDefault="00EC4743">
      <w:pPr>
        <w:spacing w:line="360" w:lineRule="auto"/>
        <w:ind w:firstLineChars="200" w:firstLine="480"/>
        <w:rPr>
          <w:color w:val="000000"/>
          <w:sz w:val="24"/>
        </w:rPr>
      </w:pPr>
      <w:r>
        <w:rPr>
          <w:color w:val="000000"/>
          <w:sz w:val="24"/>
        </w:rPr>
        <w:t>基金管理人承诺以诚实信用、勤勉尽责的原则管理和运用基金资产，但不保证基金一定盈利。</w:t>
      </w:r>
      <w:r>
        <w:rPr>
          <w:color w:val="000000"/>
          <w:sz w:val="24"/>
        </w:rPr>
        <w:t xml:space="preserve"> </w:t>
      </w:r>
    </w:p>
    <w:p w:rsidR="00AB3007" w:rsidRDefault="00EC4743">
      <w:pPr>
        <w:spacing w:line="360" w:lineRule="auto"/>
        <w:ind w:firstLineChars="200" w:firstLine="480"/>
        <w:rPr>
          <w:color w:val="000000"/>
          <w:sz w:val="24"/>
        </w:rPr>
      </w:pPr>
      <w:r>
        <w:rPr>
          <w:color w:val="000000"/>
          <w:sz w:val="24"/>
        </w:rPr>
        <w:t>基金的过往业绩并不代表其未来表现。投资有风险，投资者在作出投资决策前应仔细阅读本基金的招募说明书。</w:t>
      </w:r>
      <w:r>
        <w:rPr>
          <w:color w:val="000000"/>
          <w:sz w:val="24"/>
        </w:rPr>
        <w:t xml:space="preserve"> </w:t>
      </w:r>
    </w:p>
    <w:p w:rsidR="00AB3007" w:rsidRDefault="00EC4743">
      <w:pPr>
        <w:spacing w:line="360" w:lineRule="auto"/>
        <w:ind w:firstLineChars="200" w:firstLine="480"/>
        <w:rPr>
          <w:color w:val="000000"/>
          <w:sz w:val="24"/>
        </w:rPr>
      </w:pPr>
      <w:r>
        <w:rPr>
          <w:color w:val="000000"/>
          <w:sz w:val="24"/>
        </w:rPr>
        <w:t>本报告中财务资料未经审计。</w:t>
      </w:r>
    </w:p>
    <w:p w:rsidR="00F016DD" w:rsidRPr="00C30CFF" w:rsidRDefault="00F016DD" w:rsidP="00C30CFF">
      <w:pPr>
        <w:spacing w:line="360" w:lineRule="auto"/>
        <w:ind w:firstLineChars="200" w:firstLine="480"/>
        <w:rPr>
          <w:color w:val="000000"/>
          <w:sz w:val="24"/>
        </w:rPr>
      </w:pPr>
      <w:r w:rsidRPr="00C30CFF">
        <w:rPr>
          <w:color w:val="000000"/>
          <w:sz w:val="24"/>
        </w:rPr>
        <w:t>本报告期自</w:t>
      </w:r>
      <w:r w:rsidRPr="00C30CFF">
        <w:rPr>
          <w:color w:val="000000"/>
          <w:sz w:val="24"/>
        </w:rPr>
        <w:t>2020</w:t>
      </w:r>
      <w:r w:rsidRPr="00C30CFF">
        <w:rPr>
          <w:color w:val="000000"/>
          <w:sz w:val="24"/>
        </w:rPr>
        <w:t>年</w:t>
      </w:r>
      <w:r w:rsidRPr="00C30CFF">
        <w:rPr>
          <w:color w:val="000000"/>
          <w:sz w:val="24"/>
        </w:rPr>
        <w:t>4</w:t>
      </w:r>
      <w:r w:rsidRPr="00C30CFF">
        <w:rPr>
          <w:color w:val="000000"/>
          <w:sz w:val="24"/>
        </w:rPr>
        <w:t>月</w:t>
      </w:r>
      <w:r w:rsidRPr="00C30CFF">
        <w:rPr>
          <w:color w:val="000000"/>
          <w:sz w:val="24"/>
        </w:rPr>
        <w:t>1</w:t>
      </w:r>
      <w:r w:rsidRPr="00C30CFF">
        <w:rPr>
          <w:color w:val="000000"/>
          <w:sz w:val="24"/>
        </w:rPr>
        <w:t>日起至</w:t>
      </w:r>
      <w:r w:rsidRPr="00C30CFF">
        <w:rPr>
          <w:color w:val="000000"/>
          <w:sz w:val="24"/>
        </w:rPr>
        <w:t>6</w:t>
      </w:r>
      <w:r w:rsidRPr="00C30CFF">
        <w:rPr>
          <w:color w:val="000000"/>
          <w:sz w:val="24"/>
        </w:rPr>
        <w:t>月</w:t>
      </w:r>
      <w:r w:rsidRPr="00C30CFF">
        <w:rPr>
          <w:color w:val="000000"/>
          <w:sz w:val="24"/>
        </w:rPr>
        <w:t>30</w:t>
      </w:r>
      <w:r w:rsidRPr="00C30CFF">
        <w:rPr>
          <w:color w:val="000000"/>
          <w:sz w:val="24"/>
        </w:rPr>
        <w:t>日止。</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2  </w:t>
      </w:r>
      <w:r w:rsidRPr="0078105B">
        <w:rPr>
          <w:rFonts w:ascii="宋体" w:hAnsi="宋体" w:cs="Arial" w:hint="eastAsia"/>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739"/>
        <w:gridCol w:w="2790"/>
      </w:tblGrid>
      <w:tr w:rsidR="00F016DD" w:rsidRPr="0078105B" w:rsidTr="00414367">
        <w:tc>
          <w:tcPr>
            <w:tcW w:w="2835" w:type="dxa"/>
          </w:tcPr>
          <w:p w:rsidR="00F016DD" w:rsidRPr="00C30CFF" w:rsidRDefault="00F016DD" w:rsidP="00E205AA">
            <w:pPr>
              <w:adjustRightInd w:val="0"/>
              <w:spacing w:before="29" w:line="360" w:lineRule="auto"/>
              <w:ind w:left="17"/>
              <w:jc w:val="left"/>
              <w:rPr>
                <w:kern w:val="0"/>
                <w:sz w:val="24"/>
              </w:rPr>
            </w:pPr>
            <w:r w:rsidRPr="00C30CFF">
              <w:rPr>
                <w:kern w:val="0"/>
                <w:sz w:val="24"/>
              </w:rPr>
              <w:t>基金简称</w:t>
            </w:r>
          </w:p>
        </w:tc>
        <w:tc>
          <w:tcPr>
            <w:tcW w:w="5529" w:type="dxa"/>
            <w:gridSpan w:val="2"/>
          </w:tcPr>
          <w:p w:rsidR="00F016DD" w:rsidRPr="00C30CFF" w:rsidRDefault="00F016DD" w:rsidP="00E205AA">
            <w:pPr>
              <w:adjustRightInd w:val="0"/>
              <w:spacing w:before="29" w:line="360" w:lineRule="auto"/>
              <w:ind w:left="17"/>
              <w:jc w:val="left"/>
              <w:rPr>
                <w:color w:val="000000"/>
                <w:kern w:val="0"/>
                <w:sz w:val="24"/>
              </w:rPr>
            </w:pPr>
            <w:r w:rsidRPr="00C30CFF">
              <w:rPr>
                <w:color w:val="000000"/>
                <w:kern w:val="0"/>
                <w:sz w:val="24"/>
              </w:rPr>
              <w:t>易方达高等级信用债债券</w:t>
            </w:r>
          </w:p>
        </w:tc>
      </w:tr>
      <w:tr w:rsidR="00F016DD" w:rsidRPr="0078105B" w:rsidTr="00414367">
        <w:tc>
          <w:tcPr>
            <w:tcW w:w="2835" w:type="dxa"/>
          </w:tcPr>
          <w:p w:rsidR="00F016DD" w:rsidRPr="00C30CFF" w:rsidRDefault="00F016DD" w:rsidP="00E205AA">
            <w:pPr>
              <w:adjustRightInd w:val="0"/>
              <w:spacing w:before="29" w:line="360" w:lineRule="auto"/>
              <w:ind w:left="17"/>
              <w:jc w:val="left"/>
              <w:rPr>
                <w:kern w:val="0"/>
                <w:sz w:val="24"/>
              </w:rPr>
            </w:pPr>
            <w:r w:rsidRPr="00C30CFF">
              <w:rPr>
                <w:kern w:val="0"/>
                <w:sz w:val="24"/>
              </w:rPr>
              <w:t>基金主代码</w:t>
            </w:r>
          </w:p>
        </w:tc>
        <w:tc>
          <w:tcPr>
            <w:tcW w:w="5529" w:type="dxa"/>
            <w:gridSpan w:val="2"/>
          </w:tcPr>
          <w:p w:rsidR="00F016DD" w:rsidRPr="00C30CFF" w:rsidRDefault="00F016DD" w:rsidP="00E205AA">
            <w:pPr>
              <w:adjustRightInd w:val="0"/>
              <w:spacing w:before="29" w:line="360" w:lineRule="auto"/>
              <w:ind w:left="17"/>
              <w:jc w:val="left"/>
              <w:rPr>
                <w:color w:val="000000"/>
                <w:kern w:val="0"/>
                <w:sz w:val="24"/>
              </w:rPr>
            </w:pPr>
            <w:r w:rsidRPr="00C30CFF">
              <w:rPr>
                <w:color w:val="000000"/>
                <w:kern w:val="0"/>
                <w:sz w:val="24"/>
              </w:rPr>
              <w:t>000147</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基金运作方式</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契约型开放式</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基金合同生效日</w:t>
            </w:r>
          </w:p>
        </w:tc>
        <w:tc>
          <w:tcPr>
            <w:tcW w:w="5529" w:type="dxa"/>
            <w:gridSpan w:val="2"/>
          </w:tcPr>
          <w:p w:rsidR="00F016DD" w:rsidRPr="00C30CFF" w:rsidRDefault="00F016DD" w:rsidP="00121533">
            <w:pPr>
              <w:adjustRightInd w:val="0"/>
              <w:spacing w:before="29" w:line="360" w:lineRule="auto"/>
              <w:ind w:left="17"/>
              <w:jc w:val="left"/>
              <w:rPr>
                <w:color w:val="000000"/>
                <w:kern w:val="0"/>
                <w:sz w:val="24"/>
              </w:rPr>
            </w:pPr>
            <w:r w:rsidRPr="00C30CFF">
              <w:rPr>
                <w:color w:val="000000"/>
                <w:kern w:val="0"/>
                <w:sz w:val="24"/>
              </w:rPr>
              <w:t>2013</w:t>
            </w:r>
            <w:r w:rsidRPr="00C30CFF">
              <w:rPr>
                <w:color w:val="000000"/>
                <w:kern w:val="0"/>
                <w:sz w:val="24"/>
              </w:rPr>
              <w:t>年</w:t>
            </w:r>
            <w:r w:rsidRPr="00C30CFF">
              <w:rPr>
                <w:color w:val="000000"/>
                <w:kern w:val="0"/>
                <w:sz w:val="24"/>
              </w:rPr>
              <w:t>8</w:t>
            </w:r>
            <w:r w:rsidRPr="00C30CFF">
              <w:rPr>
                <w:color w:val="000000"/>
                <w:kern w:val="0"/>
                <w:sz w:val="24"/>
              </w:rPr>
              <w:t>月</w:t>
            </w:r>
            <w:r w:rsidRPr="00C30CFF">
              <w:rPr>
                <w:color w:val="000000"/>
                <w:kern w:val="0"/>
                <w:sz w:val="24"/>
              </w:rPr>
              <w:t>23</w:t>
            </w:r>
            <w:r w:rsidRPr="00C30CFF">
              <w:rPr>
                <w:color w:val="000000"/>
                <w:kern w:val="0"/>
                <w:sz w:val="24"/>
              </w:rPr>
              <w:t>日</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报告期末基金份额总额</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13,870,022,576.20</w:t>
            </w:r>
            <w:r w:rsidRPr="00C30CFF">
              <w:rPr>
                <w:color w:val="000000"/>
                <w:kern w:val="0"/>
                <w:sz w:val="24"/>
              </w:rPr>
              <w:t>份</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投资目标</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本基金主要投资于高等级信用债券，力争获得高于业绩比较基准的投资收益。</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投资策略</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采取积极管理的投资策略，在分析和判断宏观经济运行状况和金融市场运行趋势的基础上，确定和动态调整高等级信用债券、中低等级信用债券、利率债券和银行存款等资产类别的配置比例；自上而下地决定债券组合久期及类属配置；同时在严谨深入的信用分析的基础上，自下而上地精选个券，</w:t>
            </w:r>
            <w:r w:rsidRPr="00C30CFF">
              <w:rPr>
                <w:color w:val="000000"/>
                <w:kern w:val="0"/>
                <w:sz w:val="24"/>
              </w:rPr>
              <w:lastRenderedPageBreak/>
              <w:t>力争获得超越业绩比较基准的投资回报。</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lastRenderedPageBreak/>
              <w:t>业绩比较基准</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中债高信用等级债券财富指数</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风险收益特征</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本基金为债券型基金，其长期平均风险和预期收益率理论上低于股票型基金、混合型基金，高于货币市场基金。</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基金管理人</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易方达基金管理有限公司</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基金托管人</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中国建设银行股份有限公司</w:t>
            </w:r>
          </w:p>
        </w:tc>
      </w:tr>
      <w:tr w:rsidR="00F016DD" w:rsidRPr="0078105B" w:rsidTr="00414367">
        <w:tc>
          <w:tcPr>
            <w:tcW w:w="2835" w:type="dxa"/>
          </w:tcPr>
          <w:p w:rsidR="00F016DD" w:rsidRPr="00C30CFF" w:rsidRDefault="00F016DD" w:rsidP="003F13CD">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w="2739" w:type="dxa"/>
            <w:vAlign w:val="center"/>
          </w:tcPr>
          <w:p w:rsidR="00F016DD" w:rsidRPr="00C30CFF" w:rsidRDefault="00F016DD" w:rsidP="00950413">
            <w:pPr>
              <w:jc w:val="left"/>
              <w:rPr>
                <w:sz w:val="24"/>
              </w:rPr>
            </w:pPr>
            <w:r w:rsidRPr="00C30CFF">
              <w:rPr>
                <w:sz w:val="24"/>
              </w:rPr>
              <w:t>易方达高等级信用债债券</w:t>
            </w:r>
            <w:r w:rsidRPr="00C30CFF">
              <w:rPr>
                <w:sz w:val="24"/>
              </w:rPr>
              <w:t>A</w:t>
            </w:r>
          </w:p>
        </w:tc>
        <w:tc>
          <w:tcPr>
            <w:tcW w:w="2790" w:type="dxa"/>
            <w:vAlign w:val="center"/>
          </w:tcPr>
          <w:p w:rsidR="00F016DD" w:rsidRPr="00C30CFF" w:rsidRDefault="00F016DD" w:rsidP="00950413">
            <w:pPr>
              <w:jc w:val="left"/>
              <w:rPr>
                <w:sz w:val="24"/>
              </w:rPr>
            </w:pPr>
            <w:r w:rsidRPr="00C30CFF">
              <w:rPr>
                <w:sz w:val="24"/>
              </w:rPr>
              <w:t>易方达高等级信用债债券</w:t>
            </w:r>
            <w:r w:rsidRPr="00C30CFF">
              <w:rPr>
                <w:sz w:val="24"/>
              </w:rPr>
              <w:t>C</w:t>
            </w:r>
          </w:p>
        </w:tc>
      </w:tr>
      <w:tr w:rsidR="00F016DD" w:rsidRPr="004D29A9" w:rsidTr="00414367">
        <w:tc>
          <w:tcPr>
            <w:tcW w:w="2835" w:type="dxa"/>
          </w:tcPr>
          <w:p w:rsidR="00F016DD" w:rsidRPr="00C30CFF" w:rsidRDefault="00F016DD" w:rsidP="003F13CD">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级基金的交易代码</w:t>
            </w:r>
          </w:p>
        </w:tc>
        <w:tc>
          <w:tcPr>
            <w:tcW w:w="2739" w:type="dxa"/>
            <w:vAlign w:val="center"/>
          </w:tcPr>
          <w:p w:rsidR="00F016DD" w:rsidRPr="00C30CFF" w:rsidRDefault="00F016DD" w:rsidP="00950413">
            <w:pPr>
              <w:jc w:val="left"/>
              <w:rPr>
                <w:color w:val="000000"/>
                <w:sz w:val="24"/>
              </w:rPr>
            </w:pPr>
            <w:r w:rsidRPr="00C30CFF">
              <w:rPr>
                <w:color w:val="000000"/>
                <w:sz w:val="24"/>
              </w:rPr>
              <w:t>000147</w:t>
            </w:r>
          </w:p>
        </w:tc>
        <w:tc>
          <w:tcPr>
            <w:tcW w:w="2790" w:type="dxa"/>
            <w:vAlign w:val="center"/>
          </w:tcPr>
          <w:p w:rsidR="00F016DD" w:rsidRPr="00C30CFF" w:rsidRDefault="00F016DD" w:rsidP="00950413">
            <w:pPr>
              <w:jc w:val="left"/>
              <w:rPr>
                <w:color w:val="000000"/>
                <w:sz w:val="24"/>
              </w:rPr>
            </w:pPr>
            <w:r w:rsidRPr="00C30CFF">
              <w:rPr>
                <w:color w:val="000000"/>
                <w:sz w:val="24"/>
              </w:rPr>
              <w:t>000148</w:t>
            </w:r>
          </w:p>
        </w:tc>
      </w:tr>
      <w:tr w:rsidR="00F016DD" w:rsidRPr="0078105B" w:rsidTr="00414367">
        <w:tc>
          <w:tcPr>
            <w:tcW w:w="2835" w:type="dxa"/>
          </w:tcPr>
          <w:p w:rsidR="00F016DD" w:rsidRPr="00C30CFF" w:rsidRDefault="00F016DD" w:rsidP="00162D92">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w="2739" w:type="dxa"/>
            <w:vAlign w:val="center"/>
          </w:tcPr>
          <w:p w:rsidR="00F016DD" w:rsidRPr="00C30CFF" w:rsidRDefault="00F016DD" w:rsidP="00950413">
            <w:pPr>
              <w:jc w:val="left"/>
              <w:rPr>
                <w:sz w:val="24"/>
              </w:rPr>
            </w:pPr>
            <w:r w:rsidRPr="00C30CFF">
              <w:rPr>
                <w:sz w:val="24"/>
              </w:rPr>
              <w:t>10,667,004,320.16</w:t>
            </w:r>
            <w:r w:rsidRPr="00C30CFF">
              <w:rPr>
                <w:color w:val="000000"/>
                <w:kern w:val="0"/>
                <w:sz w:val="24"/>
              </w:rPr>
              <w:t>份</w:t>
            </w:r>
          </w:p>
        </w:tc>
        <w:tc>
          <w:tcPr>
            <w:tcW w:w="2790" w:type="dxa"/>
            <w:vAlign w:val="center"/>
          </w:tcPr>
          <w:p w:rsidR="00F016DD" w:rsidRPr="00C30CFF" w:rsidRDefault="00F016DD" w:rsidP="00950413">
            <w:pPr>
              <w:jc w:val="left"/>
              <w:rPr>
                <w:sz w:val="24"/>
              </w:rPr>
            </w:pPr>
            <w:r w:rsidRPr="00C30CFF">
              <w:rPr>
                <w:sz w:val="24"/>
              </w:rPr>
              <w:t>3,203,018,256.04</w:t>
            </w:r>
            <w:r w:rsidRPr="00C30CFF">
              <w:rPr>
                <w:color w:val="000000"/>
                <w:kern w:val="0"/>
                <w:sz w:val="24"/>
              </w:rPr>
              <w:t>份</w:t>
            </w:r>
          </w:p>
        </w:tc>
      </w:tr>
    </w:tbl>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3  </w:t>
      </w:r>
      <w:r w:rsidRPr="0078105B">
        <w:rPr>
          <w:rFonts w:ascii="宋体" w:hAnsi="宋体" w:cs="Arial" w:hint="eastAsia"/>
          <w:color w:val="000000"/>
          <w:kern w:val="0"/>
          <w:sz w:val="24"/>
          <w:szCs w:val="24"/>
        </w:rPr>
        <w:t>主要财务指标和基金净值表现</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3.1 </w:t>
      </w:r>
      <w:r w:rsidRPr="0078105B">
        <w:rPr>
          <w:rFonts w:ascii="宋体" w:hAnsi="宋体" w:cs="Arial" w:hint="eastAsia"/>
          <w:b/>
          <w:color w:val="000000"/>
          <w:kern w:val="0"/>
          <w:sz w:val="24"/>
        </w:rPr>
        <w:t>主要财务指标</w:t>
      </w:r>
    </w:p>
    <w:p w:rsidR="00F016DD" w:rsidRPr="00FA472B" w:rsidRDefault="00F016DD" w:rsidP="00E27360">
      <w:pPr>
        <w:autoSpaceDE w:val="0"/>
        <w:autoSpaceDN w:val="0"/>
        <w:adjustRightInd w:val="0"/>
        <w:spacing w:before="29" w:line="288" w:lineRule="auto"/>
        <w:ind w:left="15" w:right="480"/>
        <w:jc w:val="right"/>
        <w:rPr>
          <w:rFonts w:ascii="宋体" w:hAnsi="宋体" w:cs="Arial"/>
          <w:color w:val="000000"/>
          <w:kern w:val="0"/>
          <w:sz w:val="24"/>
        </w:rPr>
      </w:pPr>
      <w:r w:rsidRPr="00FA472B">
        <w:rPr>
          <w:rFonts w:ascii="宋体" w:hAnsi="宋体" w:cs="Arial" w:hint="eastAsia"/>
          <w:color w:val="000000"/>
          <w:kern w:val="0"/>
          <w:sz w:val="24"/>
        </w:rPr>
        <w:t>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2481"/>
        <w:gridCol w:w="2481"/>
      </w:tblGrid>
      <w:tr w:rsidR="00F016DD" w:rsidRPr="00FA472B" w:rsidTr="008B5312">
        <w:tc>
          <w:tcPr>
            <w:tcW w:w="3402" w:type="dxa"/>
            <w:vMerge w:val="restart"/>
            <w:vAlign w:val="center"/>
          </w:tcPr>
          <w:p w:rsidR="00F016DD" w:rsidRPr="00FA472B" w:rsidRDefault="00F016DD" w:rsidP="00E205AA">
            <w:pPr>
              <w:adjustRightInd w:val="0"/>
              <w:spacing w:before="29" w:line="360" w:lineRule="auto"/>
              <w:ind w:left="17"/>
              <w:jc w:val="center"/>
              <w:rPr>
                <w:kern w:val="0"/>
                <w:sz w:val="24"/>
              </w:rPr>
            </w:pPr>
            <w:r w:rsidRPr="00FA472B">
              <w:rPr>
                <w:kern w:val="0"/>
                <w:sz w:val="24"/>
              </w:rPr>
              <w:t>主要财务指标</w:t>
            </w:r>
          </w:p>
        </w:tc>
        <w:tc>
          <w:tcPr>
            <w:tcW w:w="4962" w:type="dxa"/>
            <w:gridSpan w:val="2"/>
            <w:vAlign w:val="center"/>
          </w:tcPr>
          <w:p w:rsidR="00F016DD" w:rsidRPr="00FA472B" w:rsidRDefault="00F016DD" w:rsidP="00E205AA">
            <w:pPr>
              <w:adjustRightInd w:val="0"/>
              <w:spacing w:before="29" w:line="360" w:lineRule="auto"/>
              <w:ind w:left="17"/>
              <w:jc w:val="center"/>
              <w:rPr>
                <w:color w:val="000000"/>
                <w:sz w:val="24"/>
              </w:rPr>
            </w:pPr>
            <w:r w:rsidRPr="00FA472B">
              <w:rPr>
                <w:color w:val="000000"/>
                <w:sz w:val="24"/>
              </w:rPr>
              <w:t>报告期</w:t>
            </w:r>
          </w:p>
          <w:p w:rsidR="00F016DD" w:rsidRPr="00FA472B" w:rsidRDefault="00F016DD" w:rsidP="00E205AA">
            <w:pPr>
              <w:adjustRightInd w:val="0"/>
              <w:spacing w:before="29" w:line="360" w:lineRule="auto"/>
              <w:ind w:left="17"/>
              <w:jc w:val="center"/>
              <w:rPr>
                <w:color w:val="000000"/>
                <w:sz w:val="24"/>
              </w:rPr>
            </w:pPr>
            <w:r w:rsidRPr="00FA472B">
              <w:rPr>
                <w:color w:val="000000"/>
                <w:sz w:val="24"/>
              </w:rPr>
              <w:t>(2020</w:t>
            </w:r>
            <w:r w:rsidRPr="00FA472B">
              <w:rPr>
                <w:color w:val="000000"/>
                <w:sz w:val="24"/>
              </w:rPr>
              <w:t>年</w:t>
            </w:r>
            <w:r w:rsidRPr="00FA472B">
              <w:rPr>
                <w:color w:val="000000"/>
                <w:sz w:val="24"/>
              </w:rPr>
              <w:t>4</w:t>
            </w:r>
            <w:r w:rsidRPr="00FA472B">
              <w:rPr>
                <w:color w:val="000000"/>
                <w:sz w:val="24"/>
              </w:rPr>
              <w:t>月</w:t>
            </w:r>
            <w:r w:rsidRPr="00FA472B">
              <w:rPr>
                <w:color w:val="000000"/>
                <w:sz w:val="24"/>
              </w:rPr>
              <w:t>1</w:t>
            </w:r>
            <w:r w:rsidRPr="00FA472B">
              <w:rPr>
                <w:color w:val="000000"/>
                <w:sz w:val="24"/>
              </w:rPr>
              <w:t>日</w:t>
            </w:r>
            <w:r w:rsidRPr="00FA472B">
              <w:rPr>
                <w:color w:val="000000"/>
                <w:sz w:val="24"/>
              </w:rPr>
              <w:t>-2020</w:t>
            </w:r>
            <w:r w:rsidRPr="00FA472B">
              <w:rPr>
                <w:color w:val="000000"/>
                <w:sz w:val="24"/>
              </w:rPr>
              <w:t>年</w:t>
            </w:r>
            <w:r w:rsidRPr="00FA472B">
              <w:rPr>
                <w:color w:val="000000"/>
                <w:sz w:val="24"/>
              </w:rPr>
              <w:t>6</w:t>
            </w:r>
            <w:r w:rsidRPr="00FA472B">
              <w:rPr>
                <w:color w:val="000000"/>
                <w:sz w:val="24"/>
              </w:rPr>
              <w:t>月</w:t>
            </w:r>
            <w:r w:rsidRPr="00FA472B">
              <w:rPr>
                <w:color w:val="000000"/>
                <w:sz w:val="24"/>
              </w:rPr>
              <w:t>30</w:t>
            </w:r>
            <w:r w:rsidRPr="00FA472B">
              <w:rPr>
                <w:color w:val="000000"/>
                <w:sz w:val="24"/>
              </w:rPr>
              <w:t>日</w:t>
            </w:r>
            <w:r w:rsidRPr="00FA472B">
              <w:rPr>
                <w:color w:val="000000"/>
                <w:sz w:val="24"/>
              </w:rPr>
              <w:t>)</w:t>
            </w:r>
          </w:p>
        </w:tc>
      </w:tr>
      <w:tr w:rsidR="00F016DD" w:rsidRPr="00FA472B" w:rsidTr="008B5312">
        <w:tc>
          <w:tcPr>
            <w:tcW w:w="3402" w:type="dxa"/>
            <w:vMerge/>
            <w:vAlign w:val="center"/>
          </w:tcPr>
          <w:p w:rsidR="00F016DD" w:rsidRPr="00FA472B" w:rsidRDefault="00F016DD" w:rsidP="00E205AA">
            <w:pPr>
              <w:adjustRightInd w:val="0"/>
              <w:spacing w:before="29" w:line="360" w:lineRule="auto"/>
              <w:ind w:left="17"/>
              <w:jc w:val="center"/>
              <w:rPr>
                <w:kern w:val="0"/>
                <w:sz w:val="24"/>
              </w:rPr>
            </w:pPr>
          </w:p>
        </w:tc>
        <w:tc>
          <w:tcPr>
            <w:tcW w:w="2481" w:type="dxa"/>
            <w:vAlign w:val="center"/>
          </w:tcPr>
          <w:p w:rsidR="00F016DD" w:rsidRPr="00FA472B" w:rsidRDefault="00F016DD" w:rsidP="00E205AA">
            <w:pPr>
              <w:adjustRightInd w:val="0"/>
              <w:spacing w:before="29" w:line="360" w:lineRule="auto"/>
              <w:ind w:left="17"/>
              <w:jc w:val="center"/>
              <w:rPr>
                <w:color w:val="000000"/>
                <w:sz w:val="24"/>
              </w:rPr>
            </w:pPr>
            <w:r w:rsidRPr="00FA472B">
              <w:rPr>
                <w:sz w:val="24"/>
              </w:rPr>
              <w:t>易方达高等级信用债债券</w:t>
            </w:r>
            <w:r w:rsidRPr="00FA472B">
              <w:rPr>
                <w:sz w:val="24"/>
              </w:rPr>
              <w:t>A</w:t>
            </w:r>
          </w:p>
        </w:tc>
        <w:tc>
          <w:tcPr>
            <w:tcW w:w="2481" w:type="dxa"/>
            <w:vAlign w:val="center"/>
          </w:tcPr>
          <w:p w:rsidR="00F016DD" w:rsidRPr="00FA472B" w:rsidRDefault="00F016DD" w:rsidP="00E205AA">
            <w:pPr>
              <w:adjustRightInd w:val="0"/>
              <w:spacing w:before="29" w:line="360" w:lineRule="auto"/>
              <w:ind w:left="17"/>
              <w:jc w:val="center"/>
              <w:rPr>
                <w:color w:val="000000"/>
                <w:sz w:val="24"/>
              </w:rPr>
            </w:pPr>
            <w:r w:rsidRPr="00FA472B">
              <w:rPr>
                <w:sz w:val="24"/>
              </w:rPr>
              <w:t>易方达高等级信用债债券</w:t>
            </w:r>
            <w:r w:rsidRPr="00FA472B">
              <w:rPr>
                <w:sz w:val="24"/>
              </w:rPr>
              <w:t>C</w:t>
            </w:r>
          </w:p>
        </w:tc>
      </w:tr>
      <w:tr w:rsidR="00F016DD" w:rsidRPr="00FA472B" w:rsidTr="00973B57">
        <w:tc>
          <w:tcPr>
            <w:tcW w:w="3402" w:type="dxa"/>
          </w:tcPr>
          <w:p w:rsidR="00F016DD" w:rsidRPr="00FA472B" w:rsidRDefault="00F016DD" w:rsidP="00973B57">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w="2481" w:type="dxa"/>
            <w:vAlign w:val="bottom"/>
          </w:tcPr>
          <w:p w:rsidR="00F016DD" w:rsidRPr="00FA472B" w:rsidRDefault="00F016DD" w:rsidP="00973B57">
            <w:pPr>
              <w:adjustRightInd w:val="0"/>
              <w:spacing w:before="29" w:line="360" w:lineRule="auto"/>
              <w:ind w:left="17"/>
              <w:jc w:val="right"/>
              <w:rPr>
                <w:color w:val="000000"/>
                <w:sz w:val="24"/>
              </w:rPr>
            </w:pPr>
            <w:r w:rsidRPr="00FA472B">
              <w:rPr>
                <w:color w:val="000000"/>
                <w:sz w:val="24"/>
              </w:rPr>
              <w:t>105,901,023.81</w:t>
            </w:r>
          </w:p>
        </w:tc>
        <w:tc>
          <w:tcPr>
            <w:tcW w:w="2481" w:type="dxa"/>
            <w:vAlign w:val="bottom"/>
          </w:tcPr>
          <w:p w:rsidR="00F016DD" w:rsidRPr="00FA472B" w:rsidRDefault="00F016DD" w:rsidP="0037768B">
            <w:pPr>
              <w:adjustRightInd w:val="0"/>
              <w:spacing w:before="29" w:line="360" w:lineRule="auto"/>
              <w:ind w:left="17"/>
              <w:jc w:val="right"/>
              <w:rPr>
                <w:color w:val="000000"/>
                <w:sz w:val="24"/>
              </w:rPr>
            </w:pPr>
            <w:r w:rsidRPr="00FA472B">
              <w:rPr>
                <w:color w:val="000000"/>
                <w:sz w:val="24"/>
              </w:rPr>
              <w:t>42,419,962.96</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2.</w:t>
            </w:r>
            <w:r w:rsidRPr="00FA472B">
              <w:rPr>
                <w:kern w:val="0"/>
                <w:sz w:val="24"/>
              </w:rPr>
              <w:t>本期利润</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-66,911,103.05</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-68,898,661.40</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-0.0066</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-0.0155</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11,881,570,116.97</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3,564,300,339.70</w:t>
            </w:r>
          </w:p>
        </w:tc>
      </w:tr>
      <w:tr w:rsidR="00F016DD" w:rsidRPr="00FA472B" w:rsidTr="009A5C1D">
        <w:trPr>
          <w:trHeight w:val="158"/>
        </w:trPr>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5.</w:t>
            </w:r>
            <w:r w:rsidRPr="00FA472B">
              <w:rPr>
                <w:kern w:val="0"/>
                <w:sz w:val="24"/>
              </w:rPr>
              <w:t>期末基金份额净值</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1.114</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1.113</w:t>
            </w:r>
          </w:p>
        </w:tc>
      </w:tr>
    </w:tbl>
    <w:p w:rsidR="00AB3007" w:rsidRDefault="00EC4743">
      <w:pPr>
        <w:spacing w:line="360" w:lineRule="auto"/>
        <w:ind w:firstLineChars="200" w:firstLine="480"/>
        <w:rPr>
          <w:color w:val="000000"/>
          <w:sz w:val="24"/>
        </w:rPr>
      </w:pPr>
      <w:r>
        <w:rPr>
          <w:color w:val="000000"/>
          <w:sz w:val="24"/>
        </w:rPr>
        <w:t>注：</w:t>
      </w:r>
      <w:r>
        <w:rPr>
          <w:color w:val="000000"/>
          <w:sz w:val="24"/>
        </w:rPr>
        <w:t>1.</w:t>
      </w:r>
      <w:r>
        <w:rPr>
          <w:color w:val="000000"/>
          <w:sz w:val="24"/>
        </w:rPr>
        <w:t>所述基金业绩指标不包括持有人认购或交易基金的各项费用，计入费用后实际收益水平要低于所列数字。</w:t>
      </w:r>
    </w:p>
    <w:p w:rsidR="00F016DD" w:rsidRPr="00C30CFF" w:rsidRDefault="00F016DD" w:rsidP="00C30CFF">
      <w:pPr>
        <w:spacing w:line="360" w:lineRule="auto"/>
        <w:ind w:firstLineChars="200" w:firstLine="480"/>
        <w:rPr>
          <w:color w:val="000000"/>
          <w:sz w:val="24"/>
        </w:rPr>
      </w:pPr>
      <w:r w:rsidRPr="00C30CFF">
        <w:rPr>
          <w:color w:val="000000"/>
          <w:sz w:val="24"/>
        </w:rPr>
        <w:lastRenderedPageBreak/>
        <w:t>2.</w:t>
      </w:r>
      <w:r w:rsidRPr="00C30CFF">
        <w:rPr>
          <w:color w:val="000000"/>
          <w:sz w:val="24"/>
        </w:rPr>
        <w:t>本期已实现收益指基金本期利息收入、投资收益、其他收入（不含公允价值变动收益）扣除相关费用后的余额，本期利润为本期已实现收益加上本期公允价值变动收益。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3.2 </w:t>
      </w:r>
      <w:r w:rsidRPr="0078105B">
        <w:rPr>
          <w:rFonts w:ascii="宋体" w:hAnsi="宋体" w:cs="Arial" w:hint="eastAsia"/>
          <w:b/>
          <w:color w:val="000000"/>
          <w:kern w:val="0"/>
          <w:sz w:val="24"/>
        </w:rPr>
        <w:t>基金净值表现</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3.2.1</w:t>
      </w:r>
      <w:r w:rsidRPr="0078105B">
        <w:rPr>
          <w:rFonts w:ascii="宋体" w:hAnsi="宋体" w:cs="Arial" w:hint="eastAsia"/>
          <w:b/>
          <w:color w:val="000000"/>
          <w:kern w:val="0"/>
          <w:sz w:val="24"/>
        </w:rPr>
        <w:t>本报告期基金份额净值增长率及其与同期业绩比较基准收益率的比较</w:t>
      </w:r>
    </w:p>
    <w:p w:rsidR="00F016DD" w:rsidRPr="0078105B" w:rsidRDefault="00F016DD" w:rsidP="00174038">
      <w:pPr>
        <w:spacing w:line="360" w:lineRule="auto"/>
        <w:ind w:firstLineChars="150" w:firstLine="361"/>
        <w:rPr>
          <w:rFonts w:ascii="宋体"/>
          <w:b/>
          <w:sz w:val="24"/>
        </w:rPr>
      </w:pPr>
      <w:r w:rsidRPr="0078105B">
        <w:rPr>
          <w:rFonts w:ascii="宋体" w:hAnsi="宋体" w:cs="Arial"/>
          <w:b/>
          <w:color w:val="000000"/>
          <w:kern w:val="0"/>
          <w:sz w:val="24"/>
        </w:rPr>
        <w:t>易方达高等级信用债债券A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F016DD" w:rsidRPr="0078105B" w:rsidTr="00414367">
        <w:tc>
          <w:tcPr>
            <w:tcW w:w="1290"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阶段</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净值增长率</w:t>
            </w:r>
            <w:r w:rsidRPr="00414367">
              <w:rPr>
                <w:rFonts w:ascii="宋体" w:hAnsi="宋体" w:cs="宋体" w:hint="eastAsia"/>
                <w:color w:val="000000"/>
                <w:sz w:val="24"/>
              </w:rPr>
              <w:t>①</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净值增长率标准差</w:t>
            </w:r>
            <w:r w:rsidRPr="00414367">
              <w:rPr>
                <w:rFonts w:ascii="宋体" w:hAnsi="宋体" w:cs="宋体" w:hint="eastAsia"/>
                <w:color w:val="000000"/>
                <w:sz w:val="24"/>
              </w:rPr>
              <w:t>②</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业绩比较基准收益率标准差</w:t>
            </w:r>
            <w:r w:rsidRPr="00414367">
              <w:rPr>
                <w:rFonts w:ascii="宋体" w:hAnsi="宋体" w:cs="宋体" w:hint="eastAsia"/>
                <w:color w:val="000000"/>
                <w:sz w:val="24"/>
              </w:rPr>
              <w:t>④</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AB3007">
        <w:tc>
          <w:tcPr>
            <w:tcW w:w="1290" w:type="dxa"/>
            <w:vAlign w:val="center"/>
          </w:tcPr>
          <w:p w:rsidR="00AB3007" w:rsidRDefault="00EC4743">
            <w:pPr>
              <w:jc w:val="left"/>
            </w:pPr>
            <w:r>
              <w:rPr>
                <w:color w:val="000000"/>
                <w:sz w:val="24"/>
              </w:rPr>
              <w:t>过去三个月</w:t>
            </w:r>
          </w:p>
        </w:tc>
        <w:tc>
          <w:tcPr>
            <w:tcW w:w="1291" w:type="dxa"/>
            <w:vAlign w:val="center"/>
          </w:tcPr>
          <w:p w:rsidR="00AB3007" w:rsidRDefault="00EC4743">
            <w:pPr>
              <w:jc w:val="center"/>
            </w:pPr>
            <w:r>
              <w:rPr>
                <w:color w:val="000000"/>
                <w:sz w:val="24"/>
              </w:rPr>
              <w:t>-0.47%</w:t>
            </w:r>
          </w:p>
        </w:tc>
        <w:tc>
          <w:tcPr>
            <w:tcW w:w="1291" w:type="dxa"/>
            <w:vAlign w:val="center"/>
          </w:tcPr>
          <w:p w:rsidR="00AB3007" w:rsidRDefault="00EC4743">
            <w:pPr>
              <w:jc w:val="center"/>
            </w:pPr>
            <w:r>
              <w:rPr>
                <w:color w:val="000000"/>
                <w:sz w:val="24"/>
              </w:rPr>
              <w:t>0.12%</w:t>
            </w:r>
          </w:p>
        </w:tc>
        <w:tc>
          <w:tcPr>
            <w:tcW w:w="1291" w:type="dxa"/>
            <w:vAlign w:val="center"/>
          </w:tcPr>
          <w:p w:rsidR="00AB3007" w:rsidRDefault="00EC4743">
            <w:pPr>
              <w:jc w:val="center"/>
            </w:pPr>
            <w:r>
              <w:rPr>
                <w:color w:val="000000"/>
                <w:sz w:val="24"/>
              </w:rPr>
              <w:t>0.28%</w:t>
            </w:r>
          </w:p>
        </w:tc>
        <w:tc>
          <w:tcPr>
            <w:tcW w:w="1291" w:type="dxa"/>
            <w:vAlign w:val="center"/>
          </w:tcPr>
          <w:p w:rsidR="00AB3007" w:rsidRDefault="00EC4743">
            <w:pPr>
              <w:jc w:val="center"/>
            </w:pPr>
            <w:r>
              <w:rPr>
                <w:color w:val="000000"/>
                <w:sz w:val="24"/>
              </w:rPr>
              <w:t>0.07%</w:t>
            </w:r>
          </w:p>
        </w:tc>
        <w:tc>
          <w:tcPr>
            <w:tcW w:w="1291" w:type="dxa"/>
            <w:vAlign w:val="center"/>
          </w:tcPr>
          <w:p w:rsidR="00AB3007" w:rsidRDefault="00EC4743">
            <w:pPr>
              <w:jc w:val="center"/>
            </w:pPr>
            <w:r>
              <w:rPr>
                <w:color w:val="000000"/>
                <w:sz w:val="24"/>
              </w:rPr>
              <w:t>-0.75%</w:t>
            </w:r>
          </w:p>
        </w:tc>
        <w:tc>
          <w:tcPr>
            <w:tcW w:w="1291" w:type="dxa"/>
            <w:vAlign w:val="center"/>
          </w:tcPr>
          <w:p w:rsidR="00AB3007" w:rsidRDefault="00EC4743">
            <w:pPr>
              <w:jc w:val="center"/>
            </w:pPr>
            <w:r>
              <w:rPr>
                <w:color w:val="000000"/>
                <w:sz w:val="24"/>
              </w:rPr>
              <w:t>0.05%</w:t>
            </w:r>
          </w:p>
        </w:tc>
      </w:tr>
      <w:tr w:rsidR="00AB3007">
        <w:tc>
          <w:tcPr>
            <w:tcW w:w="1290" w:type="dxa"/>
            <w:vAlign w:val="center"/>
          </w:tcPr>
          <w:p w:rsidR="00AB3007" w:rsidRDefault="00EC4743">
            <w:pPr>
              <w:jc w:val="left"/>
            </w:pPr>
            <w:r>
              <w:rPr>
                <w:color w:val="000000"/>
                <w:sz w:val="24"/>
              </w:rPr>
              <w:t>过去六个月</w:t>
            </w:r>
          </w:p>
        </w:tc>
        <w:tc>
          <w:tcPr>
            <w:tcW w:w="1291" w:type="dxa"/>
            <w:vAlign w:val="center"/>
          </w:tcPr>
          <w:p w:rsidR="00AB3007" w:rsidRDefault="00EC4743">
            <w:pPr>
              <w:jc w:val="center"/>
            </w:pPr>
            <w:r>
              <w:rPr>
                <w:color w:val="000000"/>
                <w:sz w:val="24"/>
              </w:rPr>
              <w:t>1.92%</w:t>
            </w:r>
          </w:p>
        </w:tc>
        <w:tc>
          <w:tcPr>
            <w:tcW w:w="1291" w:type="dxa"/>
            <w:vAlign w:val="center"/>
          </w:tcPr>
          <w:p w:rsidR="00AB3007" w:rsidRDefault="00EC4743">
            <w:pPr>
              <w:jc w:val="center"/>
            </w:pPr>
            <w:r>
              <w:rPr>
                <w:color w:val="000000"/>
                <w:sz w:val="24"/>
              </w:rPr>
              <w:t>0.11%</w:t>
            </w:r>
          </w:p>
        </w:tc>
        <w:tc>
          <w:tcPr>
            <w:tcW w:w="1291" w:type="dxa"/>
            <w:vAlign w:val="center"/>
          </w:tcPr>
          <w:p w:rsidR="00AB3007" w:rsidRDefault="00EC4743">
            <w:pPr>
              <w:jc w:val="center"/>
            </w:pPr>
            <w:r>
              <w:rPr>
                <w:color w:val="000000"/>
                <w:sz w:val="24"/>
              </w:rPr>
              <w:t>2.23%</w:t>
            </w:r>
          </w:p>
        </w:tc>
        <w:tc>
          <w:tcPr>
            <w:tcW w:w="1291" w:type="dxa"/>
            <w:vAlign w:val="center"/>
          </w:tcPr>
          <w:p w:rsidR="00AB3007" w:rsidRDefault="00EC4743">
            <w:pPr>
              <w:jc w:val="center"/>
            </w:pPr>
            <w:r>
              <w:rPr>
                <w:color w:val="000000"/>
                <w:sz w:val="24"/>
              </w:rPr>
              <w:t>0.07%</w:t>
            </w:r>
          </w:p>
        </w:tc>
        <w:tc>
          <w:tcPr>
            <w:tcW w:w="1291" w:type="dxa"/>
            <w:vAlign w:val="center"/>
          </w:tcPr>
          <w:p w:rsidR="00AB3007" w:rsidRDefault="00EC4743">
            <w:pPr>
              <w:jc w:val="center"/>
            </w:pPr>
            <w:r>
              <w:rPr>
                <w:color w:val="000000"/>
                <w:sz w:val="24"/>
              </w:rPr>
              <w:t>-0.31%</w:t>
            </w:r>
          </w:p>
        </w:tc>
        <w:tc>
          <w:tcPr>
            <w:tcW w:w="1291" w:type="dxa"/>
            <w:vAlign w:val="center"/>
          </w:tcPr>
          <w:p w:rsidR="00AB3007" w:rsidRDefault="00EC4743">
            <w:pPr>
              <w:jc w:val="center"/>
            </w:pPr>
            <w:r>
              <w:rPr>
                <w:color w:val="000000"/>
                <w:sz w:val="24"/>
              </w:rPr>
              <w:t>0.04%</w:t>
            </w:r>
          </w:p>
        </w:tc>
      </w:tr>
      <w:tr w:rsidR="00AB3007">
        <w:tc>
          <w:tcPr>
            <w:tcW w:w="1290" w:type="dxa"/>
            <w:vAlign w:val="center"/>
          </w:tcPr>
          <w:p w:rsidR="00AB3007" w:rsidRDefault="00EC4743">
            <w:pPr>
              <w:jc w:val="left"/>
            </w:pPr>
            <w:r>
              <w:rPr>
                <w:color w:val="000000"/>
                <w:sz w:val="24"/>
              </w:rPr>
              <w:t>过去一年</w:t>
            </w:r>
          </w:p>
        </w:tc>
        <w:tc>
          <w:tcPr>
            <w:tcW w:w="1291" w:type="dxa"/>
            <w:vAlign w:val="center"/>
          </w:tcPr>
          <w:p w:rsidR="00AB3007" w:rsidRDefault="00EC4743">
            <w:pPr>
              <w:jc w:val="center"/>
            </w:pPr>
            <w:r>
              <w:rPr>
                <w:color w:val="000000"/>
                <w:sz w:val="24"/>
              </w:rPr>
              <w:t>4.79%</w:t>
            </w:r>
          </w:p>
        </w:tc>
        <w:tc>
          <w:tcPr>
            <w:tcW w:w="1291" w:type="dxa"/>
            <w:vAlign w:val="center"/>
          </w:tcPr>
          <w:p w:rsidR="00AB3007" w:rsidRDefault="00EC4743">
            <w:pPr>
              <w:jc w:val="center"/>
            </w:pPr>
            <w:r>
              <w:rPr>
                <w:color w:val="000000"/>
                <w:sz w:val="24"/>
              </w:rPr>
              <w:t>0.08%</w:t>
            </w:r>
          </w:p>
        </w:tc>
        <w:tc>
          <w:tcPr>
            <w:tcW w:w="1291" w:type="dxa"/>
            <w:vAlign w:val="center"/>
          </w:tcPr>
          <w:p w:rsidR="00AB3007" w:rsidRDefault="00EC4743">
            <w:pPr>
              <w:jc w:val="center"/>
            </w:pPr>
            <w:r>
              <w:rPr>
                <w:color w:val="000000"/>
                <w:sz w:val="24"/>
              </w:rPr>
              <w:t>4.91%</w:t>
            </w:r>
          </w:p>
        </w:tc>
        <w:tc>
          <w:tcPr>
            <w:tcW w:w="1291" w:type="dxa"/>
            <w:vAlign w:val="center"/>
          </w:tcPr>
          <w:p w:rsidR="00AB3007" w:rsidRDefault="00EC4743">
            <w:pPr>
              <w:jc w:val="center"/>
            </w:pPr>
            <w:r>
              <w:rPr>
                <w:color w:val="000000"/>
                <w:sz w:val="24"/>
              </w:rPr>
              <w:t>0.05%</w:t>
            </w:r>
          </w:p>
        </w:tc>
        <w:tc>
          <w:tcPr>
            <w:tcW w:w="1291" w:type="dxa"/>
            <w:vAlign w:val="center"/>
          </w:tcPr>
          <w:p w:rsidR="00AB3007" w:rsidRDefault="00EC4743">
            <w:pPr>
              <w:jc w:val="center"/>
            </w:pPr>
            <w:r>
              <w:rPr>
                <w:color w:val="000000"/>
                <w:sz w:val="24"/>
              </w:rPr>
              <w:t>-0.12%</w:t>
            </w:r>
          </w:p>
        </w:tc>
        <w:tc>
          <w:tcPr>
            <w:tcW w:w="1291" w:type="dxa"/>
            <w:vAlign w:val="center"/>
          </w:tcPr>
          <w:p w:rsidR="00AB3007" w:rsidRDefault="00EC4743">
            <w:pPr>
              <w:jc w:val="center"/>
            </w:pPr>
            <w:r>
              <w:rPr>
                <w:color w:val="000000"/>
                <w:sz w:val="24"/>
              </w:rPr>
              <w:t>0.03%</w:t>
            </w:r>
          </w:p>
        </w:tc>
      </w:tr>
      <w:tr w:rsidR="00AB3007">
        <w:tc>
          <w:tcPr>
            <w:tcW w:w="1290" w:type="dxa"/>
            <w:vAlign w:val="center"/>
          </w:tcPr>
          <w:p w:rsidR="00AB3007" w:rsidRDefault="00EC4743">
            <w:pPr>
              <w:jc w:val="left"/>
            </w:pPr>
            <w:r>
              <w:rPr>
                <w:color w:val="000000"/>
                <w:sz w:val="24"/>
              </w:rPr>
              <w:t>过去三年</w:t>
            </w:r>
          </w:p>
        </w:tc>
        <w:tc>
          <w:tcPr>
            <w:tcW w:w="1291" w:type="dxa"/>
            <w:vAlign w:val="center"/>
          </w:tcPr>
          <w:p w:rsidR="00AB3007" w:rsidRDefault="00EC4743">
            <w:pPr>
              <w:jc w:val="center"/>
            </w:pPr>
            <w:r>
              <w:rPr>
                <w:color w:val="000000"/>
                <w:sz w:val="24"/>
              </w:rPr>
              <w:t>17.16%</w:t>
            </w:r>
          </w:p>
        </w:tc>
        <w:tc>
          <w:tcPr>
            <w:tcW w:w="1291" w:type="dxa"/>
            <w:vAlign w:val="center"/>
          </w:tcPr>
          <w:p w:rsidR="00AB3007" w:rsidRDefault="00EC4743">
            <w:pPr>
              <w:jc w:val="center"/>
            </w:pPr>
            <w:r>
              <w:rPr>
                <w:color w:val="000000"/>
                <w:sz w:val="24"/>
              </w:rPr>
              <w:t>0.07%</w:t>
            </w:r>
          </w:p>
        </w:tc>
        <w:tc>
          <w:tcPr>
            <w:tcW w:w="1291" w:type="dxa"/>
            <w:vAlign w:val="center"/>
          </w:tcPr>
          <w:p w:rsidR="00AB3007" w:rsidRDefault="00EC4743">
            <w:pPr>
              <w:jc w:val="center"/>
            </w:pPr>
            <w:r>
              <w:rPr>
                <w:color w:val="000000"/>
                <w:sz w:val="24"/>
              </w:rPr>
              <w:t>17.09%</w:t>
            </w:r>
          </w:p>
        </w:tc>
        <w:tc>
          <w:tcPr>
            <w:tcW w:w="1291" w:type="dxa"/>
            <w:vAlign w:val="center"/>
          </w:tcPr>
          <w:p w:rsidR="00AB3007" w:rsidRDefault="00EC4743">
            <w:pPr>
              <w:jc w:val="center"/>
            </w:pPr>
            <w:r>
              <w:rPr>
                <w:color w:val="000000"/>
                <w:sz w:val="24"/>
              </w:rPr>
              <w:t>0.05%</w:t>
            </w:r>
          </w:p>
        </w:tc>
        <w:tc>
          <w:tcPr>
            <w:tcW w:w="1291" w:type="dxa"/>
            <w:vAlign w:val="center"/>
          </w:tcPr>
          <w:p w:rsidR="00AB3007" w:rsidRDefault="00EC4743">
            <w:pPr>
              <w:jc w:val="center"/>
            </w:pPr>
            <w:r>
              <w:rPr>
                <w:color w:val="000000"/>
                <w:sz w:val="24"/>
              </w:rPr>
              <w:t>0.07%</w:t>
            </w:r>
          </w:p>
        </w:tc>
        <w:tc>
          <w:tcPr>
            <w:tcW w:w="1291" w:type="dxa"/>
            <w:vAlign w:val="center"/>
          </w:tcPr>
          <w:p w:rsidR="00AB3007" w:rsidRDefault="00EC4743">
            <w:pPr>
              <w:jc w:val="center"/>
            </w:pPr>
            <w:r>
              <w:rPr>
                <w:color w:val="000000"/>
                <w:sz w:val="24"/>
              </w:rPr>
              <w:t>0.02%</w:t>
            </w:r>
          </w:p>
        </w:tc>
      </w:tr>
      <w:tr w:rsidR="00AB3007">
        <w:tc>
          <w:tcPr>
            <w:tcW w:w="1290" w:type="dxa"/>
            <w:vAlign w:val="center"/>
          </w:tcPr>
          <w:p w:rsidR="00AB3007" w:rsidRDefault="00EC4743">
            <w:pPr>
              <w:jc w:val="left"/>
            </w:pPr>
            <w:r>
              <w:rPr>
                <w:color w:val="000000"/>
                <w:sz w:val="24"/>
              </w:rPr>
              <w:t>过去五年</w:t>
            </w:r>
          </w:p>
        </w:tc>
        <w:tc>
          <w:tcPr>
            <w:tcW w:w="1291" w:type="dxa"/>
            <w:vAlign w:val="center"/>
          </w:tcPr>
          <w:p w:rsidR="00AB3007" w:rsidRDefault="00EC4743">
            <w:pPr>
              <w:jc w:val="center"/>
            </w:pPr>
            <w:r>
              <w:rPr>
                <w:color w:val="000000"/>
                <w:sz w:val="24"/>
              </w:rPr>
              <w:t>25.54%</w:t>
            </w:r>
          </w:p>
        </w:tc>
        <w:tc>
          <w:tcPr>
            <w:tcW w:w="1291" w:type="dxa"/>
            <w:vAlign w:val="center"/>
          </w:tcPr>
          <w:p w:rsidR="00AB3007" w:rsidRDefault="00EC4743">
            <w:pPr>
              <w:jc w:val="center"/>
            </w:pPr>
            <w:r>
              <w:rPr>
                <w:color w:val="000000"/>
                <w:sz w:val="24"/>
              </w:rPr>
              <w:t>0.08%</w:t>
            </w:r>
          </w:p>
        </w:tc>
        <w:tc>
          <w:tcPr>
            <w:tcW w:w="1291" w:type="dxa"/>
            <w:vAlign w:val="center"/>
          </w:tcPr>
          <w:p w:rsidR="00AB3007" w:rsidRDefault="00EC4743">
            <w:pPr>
              <w:jc w:val="center"/>
            </w:pPr>
            <w:r>
              <w:rPr>
                <w:color w:val="000000"/>
                <w:sz w:val="24"/>
              </w:rPr>
              <w:t>27.66%</w:t>
            </w:r>
          </w:p>
        </w:tc>
        <w:tc>
          <w:tcPr>
            <w:tcW w:w="1291" w:type="dxa"/>
            <w:vAlign w:val="center"/>
          </w:tcPr>
          <w:p w:rsidR="00AB3007" w:rsidRDefault="00EC4743">
            <w:pPr>
              <w:jc w:val="center"/>
            </w:pPr>
            <w:r>
              <w:rPr>
                <w:color w:val="000000"/>
                <w:sz w:val="24"/>
              </w:rPr>
              <w:t>0.06%</w:t>
            </w:r>
          </w:p>
        </w:tc>
        <w:tc>
          <w:tcPr>
            <w:tcW w:w="1291" w:type="dxa"/>
            <w:vAlign w:val="center"/>
          </w:tcPr>
          <w:p w:rsidR="00AB3007" w:rsidRDefault="00EC4743">
            <w:pPr>
              <w:jc w:val="center"/>
            </w:pPr>
            <w:r>
              <w:rPr>
                <w:color w:val="000000"/>
                <w:sz w:val="24"/>
              </w:rPr>
              <w:t>-2.12%</w:t>
            </w:r>
          </w:p>
        </w:tc>
        <w:tc>
          <w:tcPr>
            <w:tcW w:w="1291" w:type="dxa"/>
            <w:vAlign w:val="center"/>
          </w:tcPr>
          <w:p w:rsidR="00AB3007" w:rsidRDefault="00EC4743">
            <w:pPr>
              <w:jc w:val="center"/>
            </w:pPr>
            <w:r>
              <w:rPr>
                <w:color w:val="000000"/>
                <w:sz w:val="24"/>
              </w:rPr>
              <w:t>0.02%</w:t>
            </w:r>
          </w:p>
        </w:tc>
      </w:tr>
      <w:tr w:rsidR="00AB3007">
        <w:tc>
          <w:tcPr>
            <w:tcW w:w="1290" w:type="dxa"/>
            <w:vAlign w:val="center"/>
          </w:tcPr>
          <w:p w:rsidR="00AB3007" w:rsidRDefault="00EC4743">
            <w:pPr>
              <w:jc w:val="left"/>
            </w:pPr>
            <w:r>
              <w:rPr>
                <w:color w:val="000000"/>
                <w:sz w:val="24"/>
              </w:rPr>
              <w:t>自基金合同生效起至今</w:t>
            </w:r>
          </w:p>
        </w:tc>
        <w:tc>
          <w:tcPr>
            <w:tcW w:w="1291" w:type="dxa"/>
            <w:vAlign w:val="center"/>
          </w:tcPr>
          <w:p w:rsidR="00AB3007" w:rsidRDefault="00EC4743">
            <w:pPr>
              <w:jc w:val="center"/>
            </w:pPr>
            <w:r>
              <w:rPr>
                <w:color w:val="000000"/>
                <w:sz w:val="24"/>
              </w:rPr>
              <w:t>42.86%</w:t>
            </w:r>
          </w:p>
        </w:tc>
        <w:tc>
          <w:tcPr>
            <w:tcW w:w="1291" w:type="dxa"/>
            <w:vAlign w:val="center"/>
          </w:tcPr>
          <w:p w:rsidR="00AB3007" w:rsidRDefault="00EC4743">
            <w:pPr>
              <w:jc w:val="center"/>
            </w:pPr>
            <w:r>
              <w:rPr>
                <w:color w:val="000000"/>
                <w:sz w:val="24"/>
              </w:rPr>
              <w:t>0.10%</w:t>
            </w:r>
          </w:p>
        </w:tc>
        <w:tc>
          <w:tcPr>
            <w:tcW w:w="1291" w:type="dxa"/>
            <w:vAlign w:val="center"/>
          </w:tcPr>
          <w:p w:rsidR="00AB3007" w:rsidRDefault="00EC4743">
            <w:pPr>
              <w:jc w:val="center"/>
            </w:pPr>
            <w:r>
              <w:rPr>
                <w:color w:val="000000"/>
                <w:sz w:val="24"/>
              </w:rPr>
              <w:t>44.65%</w:t>
            </w:r>
          </w:p>
        </w:tc>
        <w:tc>
          <w:tcPr>
            <w:tcW w:w="1291" w:type="dxa"/>
            <w:vAlign w:val="center"/>
          </w:tcPr>
          <w:p w:rsidR="00AB3007" w:rsidRDefault="00EC4743">
            <w:pPr>
              <w:jc w:val="center"/>
            </w:pPr>
            <w:r>
              <w:rPr>
                <w:color w:val="000000"/>
                <w:sz w:val="24"/>
              </w:rPr>
              <w:t>0.07%</w:t>
            </w:r>
          </w:p>
        </w:tc>
        <w:tc>
          <w:tcPr>
            <w:tcW w:w="1291" w:type="dxa"/>
            <w:vAlign w:val="center"/>
          </w:tcPr>
          <w:p w:rsidR="00AB3007" w:rsidRDefault="00EC4743">
            <w:pPr>
              <w:jc w:val="center"/>
            </w:pPr>
            <w:r>
              <w:rPr>
                <w:color w:val="000000"/>
                <w:sz w:val="24"/>
              </w:rPr>
              <w:t>-1.79%</w:t>
            </w:r>
          </w:p>
        </w:tc>
        <w:tc>
          <w:tcPr>
            <w:tcW w:w="1291" w:type="dxa"/>
            <w:vAlign w:val="center"/>
          </w:tcPr>
          <w:p w:rsidR="00AB3007" w:rsidRDefault="00EC4743">
            <w:pPr>
              <w:jc w:val="center"/>
            </w:pPr>
            <w:r>
              <w:rPr>
                <w:color w:val="000000"/>
                <w:sz w:val="24"/>
              </w:rPr>
              <w:t>0.03%</w:t>
            </w:r>
          </w:p>
        </w:tc>
      </w:tr>
    </w:tbl>
    <w:p w:rsidR="00F016DD" w:rsidRPr="0078105B" w:rsidRDefault="00F016DD" w:rsidP="00174038">
      <w:pPr>
        <w:adjustRightInd w:val="0"/>
        <w:spacing w:line="360" w:lineRule="auto"/>
        <w:ind w:firstLineChars="150" w:firstLine="361"/>
        <w:rPr>
          <w:rFonts w:ascii="宋体" w:cs="Arial"/>
          <w:b/>
          <w:color w:val="000000"/>
          <w:kern w:val="0"/>
          <w:sz w:val="24"/>
        </w:rPr>
      </w:pPr>
      <w:r w:rsidRPr="0078105B">
        <w:rPr>
          <w:rFonts w:ascii="宋体" w:hAnsi="宋体" w:cs="Arial"/>
          <w:b/>
          <w:color w:val="000000"/>
          <w:kern w:val="0"/>
          <w:sz w:val="24"/>
        </w:rPr>
        <w:t>易方达高等级信用债债券C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F016DD" w:rsidRPr="0078105B" w:rsidTr="00F4518C">
        <w:tc>
          <w:tcPr>
            <w:tcW w:w="1290"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阶段</w:t>
            </w:r>
          </w:p>
        </w:tc>
        <w:tc>
          <w:tcPr>
            <w:tcW w:w="1291" w:type="dxa"/>
            <w:vAlign w:val="center"/>
          </w:tcPr>
          <w:p w:rsidR="00F016DD" w:rsidRPr="00FA472B" w:rsidRDefault="00F016DD" w:rsidP="00F4518C">
            <w:pPr>
              <w:snapToGrid w:val="0"/>
              <w:spacing w:line="288" w:lineRule="auto"/>
              <w:jc w:val="center"/>
              <w:rPr>
                <w:color w:val="000000"/>
                <w:sz w:val="24"/>
                <w:highlight w:val="green"/>
              </w:rPr>
            </w:pPr>
            <w:r w:rsidRPr="00FA472B">
              <w:rPr>
                <w:color w:val="000000"/>
                <w:sz w:val="24"/>
              </w:rPr>
              <w:t>净值增长率</w:t>
            </w:r>
            <w:r w:rsidRPr="00414367">
              <w:rPr>
                <w:rFonts w:ascii="宋体" w:hAnsi="宋体" w:cs="宋体" w:hint="eastAsia"/>
                <w:color w:val="000000"/>
                <w:sz w:val="24"/>
              </w:rPr>
              <w:t>①</w:t>
            </w:r>
          </w:p>
        </w:tc>
        <w:tc>
          <w:tcPr>
            <w:tcW w:w="1291" w:type="dxa"/>
            <w:vAlign w:val="center"/>
          </w:tcPr>
          <w:p w:rsidR="00F016DD" w:rsidRPr="00FA472B" w:rsidRDefault="00F016DD" w:rsidP="00F4518C">
            <w:pPr>
              <w:snapToGrid w:val="0"/>
              <w:spacing w:line="288" w:lineRule="auto"/>
              <w:jc w:val="center"/>
              <w:rPr>
                <w:color w:val="000000"/>
                <w:sz w:val="24"/>
                <w:highlight w:val="green"/>
              </w:rPr>
            </w:pPr>
            <w:r w:rsidRPr="00FA472B">
              <w:rPr>
                <w:color w:val="000000"/>
                <w:sz w:val="24"/>
              </w:rPr>
              <w:t>净值增长率标准差</w:t>
            </w:r>
            <w:r w:rsidRPr="00414367">
              <w:rPr>
                <w:rFonts w:ascii="宋体" w:hAnsi="宋体" w:cs="宋体" w:hint="eastAsia"/>
                <w:color w:val="000000"/>
                <w:sz w:val="24"/>
              </w:rPr>
              <w:t>②</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业绩比较基准收益率标准差</w:t>
            </w:r>
            <w:r w:rsidRPr="00414367">
              <w:rPr>
                <w:rFonts w:ascii="宋体" w:hAnsi="宋体" w:cs="宋体" w:hint="eastAsia"/>
                <w:color w:val="000000"/>
                <w:sz w:val="24"/>
              </w:rPr>
              <w:t>④</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AB3007">
        <w:tc>
          <w:tcPr>
            <w:tcW w:w="1290" w:type="dxa"/>
            <w:vAlign w:val="center"/>
          </w:tcPr>
          <w:p w:rsidR="00AB3007" w:rsidRDefault="00EC4743">
            <w:pPr>
              <w:jc w:val="left"/>
            </w:pPr>
            <w:r>
              <w:rPr>
                <w:color w:val="000000"/>
                <w:sz w:val="24"/>
              </w:rPr>
              <w:t>过去三个月</w:t>
            </w:r>
          </w:p>
        </w:tc>
        <w:tc>
          <w:tcPr>
            <w:tcW w:w="1291" w:type="dxa"/>
            <w:vAlign w:val="center"/>
          </w:tcPr>
          <w:p w:rsidR="00AB3007" w:rsidRDefault="00EC4743">
            <w:pPr>
              <w:jc w:val="center"/>
            </w:pPr>
            <w:r>
              <w:rPr>
                <w:color w:val="000000"/>
                <w:sz w:val="24"/>
              </w:rPr>
              <w:t>-0.56%</w:t>
            </w:r>
          </w:p>
        </w:tc>
        <w:tc>
          <w:tcPr>
            <w:tcW w:w="1291" w:type="dxa"/>
            <w:vAlign w:val="center"/>
          </w:tcPr>
          <w:p w:rsidR="00AB3007" w:rsidRDefault="00EC4743">
            <w:pPr>
              <w:jc w:val="center"/>
            </w:pPr>
            <w:r>
              <w:rPr>
                <w:color w:val="000000"/>
                <w:sz w:val="24"/>
              </w:rPr>
              <w:t>0.13%</w:t>
            </w:r>
          </w:p>
        </w:tc>
        <w:tc>
          <w:tcPr>
            <w:tcW w:w="1291" w:type="dxa"/>
            <w:vAlign w:val="center"/>
          </w:tcPr>
          <w:p w:rsidR="00AB3007" w:rsidRDefault="00EC4743">
            <w:pPr>
              <w:jc w:val="center"/>
            </w:pPr>
            <w:r>
              <w:rPr>
                <w:color w:val="000000"/>
                <w:sz w:val="24"/>
              </w:rPr>
              <w:t>0.28%</w:t>
            </w:r>
          </w:p>
        </w:tc>
        <w:tc>
          <w:tcPr>
            <w:tcW w:w="1291" w:type="dxa"/>
            <w:vAlign w:val="center"/>
          </w:tcPr>
          <w:p w:rsidR="00AB3007" w:rsidRDefault="00EC4743">
            <w:pPr>
              <w:jc w:val="center"/>
            </w:pPr>
            <w:r>
              <w:rPr>
                <w:color w:val="000000"/>
                <w:sz w:val="24"/>
              </w:rPr>
              <w:t>0.07%</w:t>
            </w:r>
          </w:p>
        </w:tc>
        <w:tc>
          <w:tcPr>
            <w:tcW w:w="1291" w:type="dxa"/>
            <w:vAlign w:val="center"/>
          </w:tcPr>
          <w:p w:rsidR="00AB3007" w:rsidRDefault="00EC4743">
            <w:pPr>
              <w:jc w:val="center"/>
            </w:pPr>
            <w:r>
              <w:rPr>
                <w:color w:val="000000"/>
                <w:sz w:val="24"/>
              </w:rPr>
              <w:t>-0.84%</w:t>
            </w:r>
          </w:p>
        </w:tc>
        <w:tc>
          <w:tcPr>
            <w:tcW w:w="1291" w:type="dxa"/>
            <w:vAlign w:val="center"/>
          </w:tcPr>
          <w:p w:rsidR="00AB3007" w:rsidRDefault="00EC4743">
            <w:pPr>
              <w:jc w:val="center"/>
            </w:pPr>
            <w:r>
              <w:rPr>
                <w:color w:val="000000"/>
                <w:sz w:val="24"/>
              </w:rPr>
              <w:t>0.06%</w:t>
            </w:r>
          </w:p>
        </w:tc>
      </w:tr>
      <w:tr w:rsidR="00AB3007">
        <w:tc>
          <w:tcPr>
            <w:tcW w:w="1290" w:type="dxa"/>
            <w:vAlign w:val="center"/>
          </w:tcPr>
          <w:p w:rsidR="00AB3007" w:rsidRDefault="00EC4743">
            <w:pPr>
              <w:jc w:val="left"/>
            </w:pPr>
            <w:r>
              <w:rPr>
                <w:color w:val="000000"/>
                <w:sz w:val="24"/>
              </w:rPr>
              <w:t>过去六个月</w:t>
            </w:r>
          </w:p>
        </w:tc>
        <w:tc>
          <w:tcPr>
            <w:tcW w:w="1291" w:type="dxa"/>
            <w:vAlign w:val="center"/>
          </w:tcPr>
          <w:p w:rsidR="00AB3007" w:rsidRDefault="00EC4743">
            <w:pPr>
              <w:jc w:val="center"/>
            </w:pPr>
            <w:r>
              <w:rPr>
                <w:color w:val="000000"/>
                <w:sz w:val="24"/>
              </w:rPr>
              <w:t>1.65%</w:t>
            </w:r>
          </w:p>
        </w:tc>
        <w:tc>
          <w:tcPr>
            <w:tcW w:w="1291" w:type="dxa"/>
            <w:vAlign w:val="center"/>
          </w:tcPr>
          <w:p w:rsidR="00AB3007" w:rsidRDefault="00EC4743">
            <w:pPr>
              <w:jc w:val="center"/>
            </w:pPr>
            <w:r>
              <w:rPr>
                <w:color w:val="000000"/>
                <w:sz w:val="24"/>
              </w:rPr>
              <w:t>0.11%</w:t>
            </w:r>
          </w:p>
        </w:tc>
        <w:tc>
          <w:tcPr>
            <w:tcW w:w="1291" w:type="dxa"/>
            <w:vAlign w:val="center"/>
          </w:tcPr>
          <w:p w:rsidR="00AB3007" w:rsidRDefault="00EC4743">
            <w:pPr>
              <w:jc w:val="center"/>
            </w:pPr>
            <w:r>
              <w:rPr>
                <w:color w:val="000000"/>
                <w:sz w:val="24"/>
              </w:rPr>
              <w:t>2.23%</w:t>
            </w:r>
          </w:p>
        </w:tc>
        <w:tc>
          <w:tcPr>
            <w:tcW w:w="1291" w:type="dxa"/>
            <w:vAlign w:val="center"/>
          </w:tcPr>
          <w:p w:rsidR="00AB3007" w:rsidRDefault="00EC4743">
            <w:pPr>
              <w:jc w:val="center"/>
            </w:pPr>
            <w:r>
              <w:rPr>
                <w:color w:val="000000"/>
                <w:sz w:val="24"/>
              </w:rPr>
              <w:t>0.07%</w:t>
            </w:r>
          </w:p>
        </w:tc>
        <w:tc>
          <w:tcPr>
            <w:tcW w:w="1291" w:type="dxa"/>
            <w:vAlign w:val="center"/>
          </w:tcPr>
          <w:p w:rsidR="00AB3007" w:rsidRDefault="00EC4743">
            <w:pPr>
              <w:jc w:val="center"/>
            </w:pPr>
            <w:r>
              <w:rPr>
                <w:color w:val="000000"/>
                <w:sz w:val="24"/>
              </w:rPr>
              <w:t>-0.58%</w:t>
            </w:r>
          </w:p>
        </w:tc>
        <w:tc>
          <w:tcPr>
            <w:tcW w:w="1291" w:type="dxa"/>
            <w:vAlign w:val="center"/>
          </w:tcPr>
          <w:p w:rsidR="00AB3007" w:rsidRDefault="00EC4743">
            <w:pPr>
              <w:jc w:val="center"/>
            </w:pPr>
            <w:r>
              <w:rPr>
                <w:color w:val="000000"/>
                <w:sz w:val="24"/>
              </w:rPr>
              <w:t>0.04%</w:t>
            </w:r>
          </w:p>
        </w:tc>
      </w:tr>
      <w:tr w:rsidR="00AB3007">
        <w:tc>
          <w:tcPr>
            <w:tcW w:w="1290" w:type="dxa"/>
            <w:vAlign w:val="center"/>
          </w:tcPr>
          <w:p w:rsidR="00AB3007" w:rsidRDefault="00EC4743">
            <w:pPr>
              <w:jc w:val="left"/>
            </w:pPr>
            <w:r>
              <w:rPr>
                <w:color w:val="000000"/>
                <w:sz w:val="24"/>
              </w:rPr>
              <w:t>过去一年</w:t>
            </w:r>
          </w:p>
        </w:tc>
        <w:tc>
          <w:tcPr>
            <w:tcW w:w="1291" w:type="dxa"/>
            <w:vAlign w:val="center"/>
          </w:tcPr>
          <w:p w:rsidR="00AB3007" w:rsidRDefault="00EC4743">
            <w:pPr>
              <w:jc w:val="center"/>
            </w:pPr>
            <w:r>
              <w:rPr>
                <w:color w:val="000000"/>
                <w:sz w:val="24"/>
              </w:rPr>
              <w:t>4.43%</w:t>
            </w:r>
          </w:p>
        </w:tc>
        <w:tc>
          <w:tcPr>
            <w:tcW w:w="1291" w:type="dxa"/>
            <w:vAlign w:val="center"/>
          </w:tcPr>
          <w:p w:rsidR="00AB3007" w:rsidRDefault="00EC4743">
            <w:pPr>
              <w:jc w:val="center"/>
            </w:pPr>
            <w:r>
              <w:rPr>
                <w:color w:val="000000"/>
                <w:sz w:val="24"/>
              </w:rPr>
              <w:t>0.08%</w:t>
            </w:r>
          </w:p>
        </w:tc>
        <w:tc>
          <w:tcPr>
            <w:tcW w:w="1291" w:type="dxa"/>
            <w:vAlign w:val="center"/>
          </w:tcPr>
          <w:p w:rsidR="00AB3007" w:rsidRDefault="00EC4743">
            <w:pPr>
              <w:jc w:val="center"/>
            </w:pPr>
            <w:r>
              <w:rPr>
                <w:color w:val="000000"/>
                <w:sz w:val="24"/>
              </w:rPr>
              <w:t>4.91%</w:t>
            </w:r>
          </w:p>
        </w:tc>
        <w:tc>
          <w:tcPr>
            <w:tcW w:w="1291" w:type="dxa"/>
            <w:vAlign w:val="center"/>
          </w:tcPr>
          <w:p w:rsidR="00AB3007" w:rsidRDefault="00EC4743">
            <w:pPr>
              <w:jc w:val="center"/>
            </w:pPr>
            <w:r>
              <w:rPr>
                <w:color w:val="000000"/>
                <w:sz w:val="24"/>
              </w:rPr>
              <w:t>0.05%</w:t>
            </w:r>
          </w:p>
        </w:tc>
        <w:tc>
          <w:tcPr>
            <w:tcW w:w="1291" w:type="dxa"/>
            <w:vAlign w:val="center"/>
          </w:tcPr>
          <w:p w:rsidR="00AB3007" w:rsidRDefault="00EC4743">
            <w:pPr>
              <w:jc w:val="center"/>
            </w:pPr>
            <w:r>
              <w:rPr>
                <w:color w:val="000000"/>
                <w:sz w:val="24"/>
              </w:rPr>
              <w:t>-0.48%</w:t>
            </w:r>
          </w:p>
        </w:tc>
        <w:tc>
          <w:tcPr>
            <w:tcW w:w="1291" w:type="dxa"/>
            <w:vAlign w:val="center"/>
          </w:tcPr>
          <w:p w:rsidR="00AB3007" w:rsidRDefault="00EC4743">
            <w:pPr>
              <w:jc w:val="center"/>
            </w:pPr>
            <w:r>
              <w:rPr>
                <w:color w:val="000000"/>
                <w:sz w:val="24"/>
              </w:rPr>
              <w:t>0.03%</w:t>
            </w:r>
          </w:p>
        </w:tc>
      </w:tr>
      <w:tr w:rsidR="00AB3007">
        <w:tc>
          <w:tcPr>
            <w:tcW w:w="1290" w:type="dxa"/>
            <w:vAlign w:val="center"/>
          </w:tcPr>
          <w:p w:rsidR="00AB3007" w:rsidRDefault="00EC4743">
            <w:pPr>
              <w:jc w:val="left"/>
            </w:pPr>
            <w:r>
              <w:rPr>
                <w:color w:val="000000"/>
                <w:sz w:val="24"/>
              </w:rPr>
              <w:t>过去三年</w:t>
            </w:r>
          </w:p>
        </w:tc>
        <w:tc>
          <w:tcPr>
            <w:tcW w:w="1291" w:type="dxa"/>
            <w:vAlign w:val="center"/>
          </w:tcPr>
          <w:p w:rsidR="00AB3007" w:rsidRDefault="00EC4743">
            <w:pPr>
              <w:jc w:val="center"/>
            </w:pPr>
            <w:r>
              <w:rPr>
                <w:color w:val="000000"/>
                <w:sz w:val="24"/>
              </w:rPr>
              <w:t>18.17%</w:t>
            </w:r>
          </w:p>
        </w:tc>
        <w:tc>
          <w:tcPr>
            <w:tcW w:w="1291" w:type="dxa"/>
            <w:vAlign w:val="center"/>
          </w:tcPr>
          <w:p w:rsidR="00AB3007" w:rsidRDefault="00EC4743">
            <w:pPr>
              <w:jc w:val="center"/>
            </w:pPr>
            <w:r>
              <w:rPr>
                <w:color w:val="000000"/>
                <w:sz w:val="24"/>
              </w:rPr>
              <w:t>0.10%</w:t>
            </w:r>
          </w:p>
        </w:tc>
        <w:tc>
          <w:tcPr>
            <w:tcW w:w="1291" w:type="dxa"/>
            <w:vAlign w:val="center"/>
          </w:tcPr>
          <w:p w:rsidR="00AB3007" w:rsidRDefault="00EC4743">
            <w:pPr>
              <w:jc w:val="center"/>
            </w:pPr>
            <w:r>
              <w:rPr>
                <w:color w:val="000000"/>
                <w:sz w:val="24"/>
              </w:rPr>
              <w:t>17.09%</w:t>
            </w:r>
          </w:p>
        </w:tc>
        <w:tc>
          <w:tcPr>
            <w:tcW w:w="1291" w:type="dxa"/>
            <w:vAlign w:val="center"/>
          </w:tcPr>
          <w:p w:rsidR="00AB3007" w:rsidRDefault="00EC4743">
            <w:pPr>
              <w:jc w:val="center"/>
            </w:pPr>
            <w:r>
              <w:rPr>
                <w:color w:val="000000"/>
                <w:sz w:val="24"/>
              </w:rPr>
              <w:t>0.05%</w:t>
            </w:r>
          </w:p>
        </w:tc>
        <w:tc>
          <w:tcPr>
            <w:tcW w:w="1291" w:type="dxa"/>
            <w:vAlign w:val="center"/>
          </w:tcPr>
          <w:p w:rsidR="00AB3007" w:rsidRDefault="00EC4743">
            <w:pPr>
              <w:jc w:val="center"/>
            </w:pPr>
            <w:r>
              <w:rPr>
                <w:color w:val="000000"/>
                <w:sz w:val="24"/>
              </w:rPr>
              <w:t>1.08%</w:t>
            </w:r>
          </w:p>
        </w:tc>
        <w:tc>
          <w:tcPr>
            <w:tcW w:w="1291" w:type="dxa"/>
            <w:vAlign w:val="center"/>
          </w:tcPr>
          <w:p w:rsidR="00AB3007" w:rsidRDefault="00EC4743">
            <w:pPr>
              <w:jc w:val="center"/>
            </w:pPr>
            <w:r>
              <w:rPr>
                <w:color w:val="000000"/>
                <w:sz w:val="24"/>
              </w:rPr>
              <w:t>0.05%</w:t>
            </w:r>
          </w:p>
        </w:tc>
      </w:tr>
      <w:tr w:rsidR="00AB3007">
        <w:tc>
          <w:tcPr>
            <w:tcW w:w="1290" w:type="dxa"/>
            <w:vAlign w:val="center"/>
          </w:tcPr>
          <w:p w:rsidR="00AB3007" w:rsidRDefault="00EC4743">
            <w:pPr>
              <w:jc w:val="left"/>
            </w:pPr>
            <w:r>
              <w:rPr>
                <w:color w:val="000000"/>
                <w:sz w:val="24"/>
              </w:rPr>
              <w:t>过去五年</w:t>
            </w:r>
          </w:p>
        </w:tc>
        <w:tc>
          <w:tcPr>
            <w:tcW w:w="1291" w:type="dxa"/>
            <w:vAlign w:val="center"/>
          </w:tcPr>
          <w:p w:rsidR="00AB3007" w:rsidRDefault="00EC4743">
            <w:pPr>
              <w:jc w:val="center"/>
            </w:pPr>
            <w:r>
              <w:rPr>
                <w:color w:val="000000"/>
                <w:sz w:val="24"/>
              </w:rPr>
              <w:t>25.71%</w:t>
            </w:r>
          </w:p>
        </w:tc>
        <w:tc>
          <w:tcPr>
            <w:tcW w:w="1291" w:type="dxa"/>
            <w:vAlign w:val="center"/>
          </w:tcPr>
          <w:p w:rsidR="00AB3007" w:rsidRDefault="00EC4743">
            <w:pPr>
              <w:jc w:val="center"/>
            </w:pPr>
            <w:r>
              <w:rPr>
                <w:color w:val="000000"/>
                <w:sz w:val="24"/>
              </w:rPr>
              <w:t>0.10%</w:t>
            </w:r>
          </w:p>
        </w:tc>
        <w:tc>
          <w:tcPr>
            <w:tcW w:w="1291" w:type="dxa"/>
            <w:vAlign w:val="center"/>
          </w:tcPr>
          <w:p w:rsidR="00AB3007" w:rsidRDefault="00EC4743">
            <w:pPr>
              <w:jc w:val="center"/>
            </w:pPr>
            <w:r>
              <w:rPr>
                <w:color w:val="000000"/>
                <w:sz w:val="24"/>
              </w:rPr>
              <w:t>27.66%</w:t>
            </w:r>
          </w:p>
        </w:tc>
        <w:tc>
          <w:tcPr>
            <w:tcW w:w="1291" w:type="dxa"/>
            <w:vAlign w:val="center"/>
          </w:tcPr>
          <w:p w:rsidR="00AB3007" w:rsidRDefault="00EC4743">
            <w:pPr>
              <w:jc w:val="center"/>
            </w:pPr>
            <w:r>
              <w:rPr>
                <w:color w:val="000000"/>
                <w:sz w:val="24"/>
              </w:rPr>
              <w:t>0.06%</w:t>
            </w:r>
          </w:p>
        </w:tc>
        <w:tc>
          <w:tcPr>
            <w:tcW w:w="1291" w:type="dxa"/>
            <w:vAlign w:val="center"/>
          </w:tcPr>
          <w:p w:rsidR="00AB3007" w:rsidRDefault="00EC4743">
            <w:pPr>
              <w:jc w:val="center"/>
            </w:pPr>
            <w:r>
              <w:rPr>
                <w:color w:val="000000"/>
                <w:sz w:val="24"/>
              </w:rPr>
              <w:t>-1.95%</w:t>
            </w:r>
          </w:p>
        </w:tc>
        <w:tc>
          <w:tcPr>
            <w:tcW w:w="1291" w:type="dxa"/>
            <w:vAlign w:val="center"/>
          </w:tcPr>
          <w:p w:rsidR="00AB3007" w:rsidRDefault="00EC4743">
            <w:pPr>
              <w:jc w:val="center"/>
            </w:pPr>
            <w:r>
              <w:rPr>
                <w:color w:val="000000"/>
                <w:sz w:val="24"/>
              </w:rPr>
              <w:t>0.04%</w:t>
            </w:r>
          </w:p>
        </w:tc>
      </w:tr>
      <w:tr w:rsidR="00AB3007">
        <w:tc>
          <w:tcPr>
            <w:tcW w:w="1290" w:type="dxa"/>
            <w:vAlign w:val="center"/>
          </w:tcPr>
          <w:p w:rsidR="00AB3007" w:rsidRDefault="00EC4743">
            <w:pPr>
              <w:jc w:val="left"/>
            </w:pPr>
            <w:r>
              <w:rPr>
                <w:color w:val="000000"/>
                <w:sz w:val="24"/>
              </w:rPr>
              <w:t>自基金合同生效起至今</w:t>
            </w:r>
          </w:p>
        </w:tc>
        <w:tc>
          <w:tcPr>
            <w:tcW w:w="1291" w:type="dxa"/>
            <w:vAlign w:val="center"/>
          </w:tcPr>
          <w:p w:rsidR="00AB3007" w:rsidRDefault="00EC4743">
            <w:pPr>
              <w:jc w:val="center"/>
            </w:pPr>
            <w:r>
              <w:rPr>
                <w:color w:val="000000"/>
                <w:sz w:val="24"/>
              </w:rPr>
              <w:t>41.67%</w:t>
            </w:r>
          </w:p>
        </w:tc>
        <w:tc>
          <w:tcPr>
            <w:tcW w:w="1291" w:type="dxa"/>
            <w:vAlign w:val="center"/>
          </w:tcPr>
          <w:p w:rsidR="00AB3007" w:rsidRDefault="00EC4743">
            <w:pPr>
              <w:jc w:val="center"/>
            </w:pPr>
            <w:r>
              <w:rPr>
                <w:color w:val="000000"/>
                <w:sz w:val="24"/>
              </w:rPr>
              <w:t>0.11%</w:t>
            </w:r>
          </w:p>
        </w:tc>
        <w:tc>
          <w:tcPr>
            <w:tcW w:w="1291" w:type="dxa"/>
            <w:vAlign w:val="center"/>
          </w:tcPr>
          <w:p w:rsidR="00AB3007" w:rsidRDefault="00EC4743">
            <w:pPr>
              <w:jc w:val="center"/>
            </w:pPr>
            <w:r>
              <w:rPr>
                <w:color w:val="000000"/>
                <w:sz w:val="24"/>
              </w:rPr>
              <w:t>44.65%</w:t>
            </w:r>
          </w:p>
        </w:tc>
        <w:tc>
          <w:tcPr>
            <w:tcW w:w="1291" w:type="dxa"/>
            <w:vAlign w:val="center"/>
          </w:tcPr>
          <w:p w:rsidR="00AB3007" w:rsidRDefault="00EC4743">
            <w:pPr>
              <w:jc w:val="center"/>
            </w:pPr>
            <w:r>
              <w:rPr>
                <w:color w:val="000000"/>
                <w:sz w:val="24"/>
              </w:rPr>
              <w:t>0.07%</w:t>
            </w:r>
          </w:p>
        </w:tc>
        <w:tc>
          <w:tcPr>
            <w:tcW w:w="1291" w:type="dxa"/>
            <w:vAlign w:val="center"/>
          </w:tcPr>
          <w:p w:rsidR="00AB3007" w:rsidRDefault="00EC4743">
            <w:pPr>
              <w:jc w:val="center"/>
            </w:pPr>
            <w:r>
              <w:rPr>
                <w:color w:val="000000"/>
                <w:sz w:val="24"/>
              </w:rPr>
              <w:t>-2.98%</w:t>
            </w:r>
          </w:p>
        </w:tc>
        <w:tc>
          <w:tcPr>
            <w:tcW w:w="1291" w:type="dxa"/>
            <w:vAlign w:val="center"/>
          </w:tcPr>
          <w:p w:rsidR="00AB3007" w:rsidRDefault="00EC4743">
            <w:pPr>
              <w:jc w:val="center"/>
            </w:pPr>
            <w:r>
              <w:rPr>
                <w:color w:val="000000"/>
                <w:sz w:val="24"/>
              </w:rPr>
              <w:t>0.04%</w:t>
            </w:r>
          </w:p>
        </w:tc>
      </w:tr>
    </w:tbl>
    <w:p w:rsidR="00F016DD" w:rsidRPr="0078105B" w:rsidRDefault="00F016DD" w:rsidP="00FC13C8">
      <w:pPr>
        <w:spacing w:line="360" w:lineRule="auto"/>
        <w:rPr>
          <w:rFonts w:ascii="宋体" w:cs="Arial"/>
          <w:b/>
          <w:color w:val="000000"/>
          <w:kern w:val="0"/>
          <w:sz w:val="24"/>
        </w:rPr>
      </w:pPr>
      <w:r w:rsidRPr="0078105B">
        <w:rPr>
          <w:rFonts w:ascii="宋体" w:hAnsi="宋体" w:cs="Arial"/>
          <w:b/>
          <w:color w:val="000000"/>
          <w:kern w:val="0"/>
          <w:sz w:val="24"/>
        </w:rPr>
        <w:t>3.2.2</w:t>
      </w:r>
      <w:r w:rsidRPr="0078105B">
        <w:rPr>
          <w:rFonts w:ascii="宋体" w:hAnsi="宋体" w:cs="Arial" w:hint="eastAsia"/>
          <w:b/>
          <w:color w:val="000000"/>
          <w:kern w:val="0"/>
          <w:sz w:val="24"/>
        </w:rPr>
        <w:t xml:space="preserve">　</w:t>
      </w:r>
      <w:r w:rsidR="00AE2480" w:rsidRPr="00370BEA">
        <w:rPr>
          <w:rStyle w:val="af6"/>
          <w:rFonts w:hint="eastAsia"/>
          <w:color w:val="000000"/>
          <w:sz w:val="24"/>
          <w:shd w:val="clear" w:color="auto" w:fill="FFFFFF"/>
        </w:rPr>
        <w:t>自基金合同生效以来</w:t>
      </w:r>
      <w:r w:rsidRPr="0078105B">
        <w:rPr>
          <w:rFonts w:ascii="宋体" w:hAnsi="宋体" w:hint="eastAsia"/>
          <w:b/>
          <w:color w:val="000000"/>
          <w:sz w:val="24"/>
        </w:rPr>
        <w:t>基金累计净值增长率变动及其与同期业绩比较基准收益率变动的比较</w:t>
      </w:r>
    </w:p>
    <w:p w:rsidR="00F016DD" w:rsidRPr="00FA472B" w:rsidRDefault="00F016DD" w:rsidP="00FC13C8">
      <w:pPr>
        <w:spacing w:line="360" w:lineRule="auto"/>
        <w:jc w:val="center"/>
        <w:rPr>
          <w:color w:val="000000"/>
          <w:sz w:val="24"/>
        </w:rPr>
      </w:pPr>
      <w:r w:rsidRPr="00FA472B">
        <w:rPr>
          <w:color w:val="000000"/>
          <w:sz w:val="24"/>
        </w:rPr>
        <w:lastRenderedPageBreak/>
        <w:t>易方达高等级信用债债券型证券投资基金</w:t>
      </w:r>
    </w:p>
    <w:p w:rsidR="00526282" w:rsidRDefault="00F016DD" w:rsidP="00526282">
      <w:pPr>
        <w:pStyle w:val="a5"/>
        <w:snapToGrid w:val="0"/>
        <w:spacing w:line="360" w:lineRule="auto"/>
        <w:jc w:val="center"/>
        <w:rPr>
          <w:rFonts w:ascii="Times New Roman" w:eastAsiaTheme="minorEastAsia" w:hAnsi="Times New Roman"/>
          <w:color w:val="000000" w:themeColor="text1"/>
          <w:sz w:val="24"/>
          <w:szCs w:val="24"/>
        </w:rPr>
      </w:pPr>
      <w:r w:rsidRPr="00FA472B">
        <w:rPr>
          <w:rFonts w:ascii="Times New Roman" w:hAnsi="Times New Roman"/>
          <w:color w:val="000000"/>
          <w:sz w:val="24"/>
          <w:szCs w:val="24"/>
        </w:rPr>
        <w:t>累计净值增长率与业绩比较基准收益率的历史走势对比图</w:t>
      </w:r>
    </w:p>
    <w:p w:rsidR="00F016DD" w:rsidRPr="00FA472B" w:rsidRDefault="00526282" w:rsidP="00D477D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w:t>
      </w:r>
      <w:r w:rsidRPr="00526282">
        <w:rPr>
          <w:rFonts w:ascii="Times New Roman" w:hAnsi="Times New Roman"/>
          <w:sz w:val="24"/>
          <w:szCs w:val="24"/>
        </w:rPr>
        <w:t>2013</w:t>
      </w:r>
      <w:r w:rsidRPr="00526282">
        <w:rPr>
          <w:rFonts w:ascii="Times New Roman" w:hAnsi="Times New Roman"/>
          <w:sz w:val="24"/>
          <w:szCs w:val="24"/>
        </w:rPr>
        <w:t>年</w:t>
      </w:r>
      <w:r w:rsidRPr="00526282">
        <w:rPr>
          <w:rFonts w:ascii="Times New Roman" w:hAnsi="Times New Roman"/>
          <w:sz w:val="24"/>
          <w:szCs w:val="24"/>
        </w:rPr>
        <w:t>8</w:t>
      </w:r>
      <w:r w:rsidRPr="00526282">
        <w:rPr>
          <w:rFonts w:ascii="Times New Roman" w:hAnsi="Times New Roman"/>
          <w:sz w:val="24"/>
          <w:szCs w:val="24"/>
        </w:rPr>
        <w:t>月</w:t>
      </w:r>
      <w:r w:rsidRPr="00526282">
        <w:rPr>
          <w:rFonts w:ascii="Times New Roman" w:hAnsi="Times New Roman"/>
          <w:sz w:val="24"/>
          <w:szCs w:val="24"/>
        </w:rPr>
        <w:t>23</w:t>
      </w:r>
      <w:r w:rsidRPr="00526282">
        <w:rPr>
          <w:rFonts w:ascii="Times New Roman" w:hAnsi="Times New Roman"/>
          <w:sz w:val="24"/>
          <w:szCs w:val="24"/>
        </w:rPr>
        <w:t>日至</w:t>
      </w:r>
      <w:r w:rsidRPr="00526282">
        <w:rPr>
          <w:rFonts w:ascii="Times New Roman" w:hAnsi="Times New Roman"/>
          <w:sz w:val="24"/>
          <w:szCs w:val="24"/>
        </w:rPr>
        <w:t>2020</w:t>
      </w:r>
      <w:r w:rsidRPr="00526282">
        <w:rPr>
          <w:rFonts w:ascii="Times New Roman" w:hAnsi="Times New Roman"/>
          <w:sz w:val="24"/>
          <w:szCs w:val="24"/>
        </w:rPr>
        <w:t>年</w:t>
      </w:r>
      <w:r w:rsidRPr="00526282">
        <w:rPr>
          <w:rFonts w:ascii="Times New Roman" w:hAnsi="Times New Roman"/>
          <w:sz w:val="24"/>
          <w:szCs w:val="24"/>
        </w:rPr>
        <w:t>6</w:t>
      </w:r>
      <w:r w:rsidRPr="00526282">
        <w:rPr>
          <w:rFonts w:ascii="Times New Roman" w:hAnsi="Times New Roman"/>
          <w:sz w:val="24"/>
          <w:szCs w:val="24"/>
        </w:rPr>
        <w:t>月</w:t>
      </w:r>
      <w:r w:rsidRPr="00526282">
        <w:rPr>
          <w:rFonts w:ascii="Times New Roman" w:hAnsi="Times New Roman"/>
          <w:sz w:val="24"/>
          <w:szCs w:val="24"/>
        </w:rPr>
        <w:t>30</w:t>
      </w:r>
      <w:r w:rsidRPr="00526282">
        <w:rPr>
          <w:rFonts w:ascii="Times New Roman" w:hAnsi="Times New Roman"/>
          <w:sz w:val="24"/>
          <w:szCs w:val="24"/>
        </w:rPr>
        <w:t>日）</w:t>
      </w:r>
    </w:p>
    <w:p w:rsidR="00526282" w:rsidRDefault="00F016DD" w:rsidP="00526282">
      <w:pPr>
        <w:snapToGrid w:val="0"/>
        <w:spacing w:line="360" w:lineRule="auto"/>
        <w:rPr>
          <w:rFonts w:eastAsiaTheme="minorEastAsia" w:hAnsiTheme="minorEastAsia"/>
          <w:color w:val="000000" w:themeColor="text1"/>
          <w:sz w:val="24"/>
        </w:rPr>
      </w:pPr>
      <w:r w:rsidRPr="00611CB2">
        <w:rPr>
          <w:color w:val="000000"/>
          <w:sz w:val="24"/>
        </w:rPr>
        <w:t>易方达高等级信用债债券</w:t>
      </w:r>
      <w:r w:rsidRPr="00611CB2">
        <w:rPr>
          <w:color w:val="000000"/>
          <w:sz w:val="24"/>
        </w:rPr>
        <w:t>A</w:t>
      </w:r>
    </w:p>
    <w:p w:rsidR="00F016DD" w:rsidRPr="0078105B" w:rsidRDefault="00F55ED9" w:rsidP="00FC7F43">
      <w:pPr>
        <w:pStyle w:val="20"/>
        <w:spacing w:line="288" w:lineRule="auto"/>
        <w:ind w:firstLineChars="0" w:firstLine="0"/>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style="width:435.75pt;height:257.95pt;visibility:visible">
            <v:imagedata r:id="rId9" o:title=""/>
          </v:shape>
        </w:pict>
      </w:r>
    </w:p>
    <w:p w:rsidR="00526282" w:rsidRDefault="00F016DD" w:rsidP="00526282">
      <w:pPr>
        <w:snapToGrid w:val="0"/>
        <w:spacing w:beforeLines="100" w:before="312" w:line="360" w:lineRule="auto"/>
        <w:rPr>
          <w:rFonts w:eastAsiaTheme="minorEastAsia" w:hAnsiTheme="minorEastAsia"/>
          <w:color w:val="000000" w:themeColor="text1"/>
          <w:sz w:val="24"/>
        </w:rPr>
      </w:pPr>
      <w:r w:rsidRPr="00611CB2">
        <w:rPr>
          <w:color w:val="000000"/>
          <w:sz w:val="24"/>
        </w:rPr>
        <w:t>易方达高等级信用债债券</w:t>
      </w:r>
      <w:r w:rsidRPr="00611CB2">
        <w:rPr>
          <w:color w:val="000000"/>
          <w:sz w:val="24"/>
        </w:rPr>
        <w:t>C</w:t>
      </w:r>
    </w:p>
    <w:p w:rsidR="00F016DD" w:rsidRPr="0078105B" w:rsidRDefault="00F55ED9" w:rsidP="00FC7F43">
      <w:pPr>
        <w:pStyle w:val="20"/>
        <w:spacing w:line="288" w:lineRule="auto"/>
        <w:ind w:firstLineChars="0" w:firstLine="0"/>
        <w:jc w:val="center"/>
        <w:rPr>
          <w:color w:val="000000"/>
        </w:rPr>
      </w:pPr>
      <w:r>
        <w:rPr>
          <w:noProof/>
          <w:color w:val="000000"/>
        </w:rPr>
        <w:pict>
          <v:shape id="图片 3" o:spid="_x0000_i1026" type="#_x0000_t75" style="width:435.75pt;height:257.95pt;visibility:visible">
            <v:imagedata r:id="rId10" o:title=""/>
          </v:shape>
        </w:pict>
      </w:r>
    </w:p>
    <w:p w:rsidR="00F016DD" w:rsidRPr="00DF18FE" w:rsidRDefault="00F016DD" w:rsidP="00DF18FE">
      <w:pPr>
        <w:spacing w:line="360" w:lineRule="auto"/>
        <w:ind w:firstLineChars="200" w:firstLine="480"/>
        <w:rPr>
          <w:color w:val="000000"/>
          <w:sz w:val="24"/>
        </w:rPr>
      </w:pPr>
      <w:r w:rsidRPr="00DF18FE">
        <w:rPr>
          <w:color w:val="000000"/>
          <w:sz w:val="24"/>
        </w:rPr>
        <w:t>注：自基金合同生效至报告期末，</w:t>
      </w:r>
      <w:r w:rsidRPr="00DF18FE">
        <w:rPr>
          <w:color w:val="000000"/>
          <w:sz w:val="24"/>
        </w:rPr>
        <w:t>A</w:t>
      </w:r>
      <w:r w:rsidRPr="00DF18FE">
        <w:rPr>
          <w:color w:val="000000"/>
          <w:sz w:val="24"/>
        </w:rPr>
        <w:t>类基金份额净值增长率为</w:t>
      </w:r>
      <w:r w:rsidRPr="00DF18FE">
        <w:rPr>
          <w:color w:val="000000"/>
          <w:sz w:val="24"/>
        </w:rPr>
        <w:t>42.86%</w:t>
      </w:r>
      <w:r w:rsidRPr="00DF18FE">
        <w:rPr>
          <w:color w:val="000000"/>
          <w:sz w:val="24"/>
        </w:rPr>
        <w:t>，</w:t>
      </w:r>
      <w:r w:rsidRPr="00DF18FE">
        <w:rPr>
          <w:color w:val="000000"/>
          <w:sz w:val="24"/>
        </w:rPr>
        <w:t>C</w:t>
      </w:r>
      <w:r w:rsidRPr="00DF18FE">
        <w:rPr>
          <w:color w:val="000000"/>
          <w:sz w:val="24"/>
        </w:rPr>
        <w:t>类基金</w:t>
      </w:r>
      <w:r w:rsidRPr="00DF18FE">
        <w:rPr>
          <w:color w:val="000000"/>
          <w:sz w:val="24"/>
        </w:rPr>
        <w:lastRenderedPageBreak/>
        <w:t>份额净值增长率为</w:t>
      </w:r>
      <w:r w:rsidRPr="00DF18FE">
        <w:rPr>
          <w:color w:val="000000"/>
          <w:sz w:val="24"/>
        </w:rPr>
        <w:t>41.67%</w:t>
      </w:r>
      <w:r w:rsidRPr="00DF18FE">
        <w:rPr>
          <w:color w:val="000000"/>
          <w:sz w:val="24"/>
        </w:rPr>
        <w:t>，同期业绩比较基准收益率为</w:t>
      </w:r>
      <w:r w:rsidRPr="00DF18FE">
        <w:rPr>
          <w:color w:val="000000"/>
          <w:sz w:val="24"/>
        </w:rPr>
        <w:t>44.65%</w:t>
      </w:r>
      <w:r w:rsidRPr="00DF18FE">
        <w:rPr>
          <w:color w:val="000000"/>
          <w:sz w:val="24"/>
        </w:rPr>
        <w:t>。</w:t>
      </w:r>
    </w:p>
    <w:p w:rsidR="00F016DD" w:rsidRPr="00FA472B" w:rsidRDefault="00F016DD" w:rsidP="006C5BC9">
      <w:pPr>
        <w:tabs>
          <w:tab w:val="left" w:pos="1800"/>
        </w:tabs>
        <w:spacing w:line="288" w:lineRule="auto"/>
        <w:rPr>
          <w:color w:val="000000"/>
          <w:sz w:val="24"/>
        </w:rPr>
      </w:pP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4  </w:t>
      </w:r>
      <w:r w:rsidRPr="0078105B">
        <w:rPr>
          <w:rFonts w:ascii="宋体" w:hAnsi="宋体" w:cs="Arial" w:hint="eastAsia"/>
          <w:color w:val="000000"/>
          <w:kern w:val="0"/>
          <w:sz w:val="24"/>
          <w:szCs w:val="24"/>
        </w:rPr>
        <w:t>管理人报告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4.1 </w:t>
      </w:r>
      <w:r w:rsidRPr="0078105B">
        <w:rPr>
          <w:rFonts w:ascii="宋体" w:hAnsi="宋体" w:cs="Arial" w:hint="eastAsia"/>
          <w:b/>
          <w:color w:val="000000"/>
          <w:kern w:val="0"/>
          <w:sz w:val="24"/>
        </w:rPr>
        <w:t>基金经理（或基金经理小组）简介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851"/>
        <w:gridCol w:w="850"/>
        <w:gridCol w:w="851"/>
        <w:gridCol w:w="2977"/>
      </w:tblGrid>
      <w:tr w:rsidR="00F016DD" w:rsidRPr="0078105B" w:rsidTr="00B54884">
        <w:trPr>
          <w:cantSplit/>
        </w:trPr>
        <w:tc>
          <w:tcPr>
            <w:tcW w:w="567"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w="2835"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w="1701" w:type="dxa"/>
            <w:gridSpan w:val="2"/>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w="851"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w="2977"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w="567"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2835" w:type="dxa"/>
            <w:vMerge/>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851" w:type="dxa"/>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w="850" w:type="dxa"/>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w="851"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2977"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r>
      <w:tr w:rsidR="00AB3007">
        <w:tc>
          <w:tcPr>
            <w:tcW w:w="567" w:type="dxa"/>
            <w:vAlign w:val="center"/>
          </w:tcPr>
          <w:p w:rsidR="00AB3007" w:rsidRDefault="00EC4743">
            <w:pPr>
              <w:jc w:val="center"/>
            </w:pPr>
            <w:r>
              <w:rPr>
                <w:color w:val="000000"/>
                <w:sz w:val="24"/>
              </w:rPr>
              <w:t>林森</w:t>
            </w:r>
          </w:p>
        </w:tc>
        <w:tc>
          <w:tcPr>
            <w:tcW w:w="2835" w:type="dxa"/>
            <w:vAlign w:val="center"/>
          </w:tcPr>
          <w:p w:rsidR="00AB3007" w:rsidRDefault="00EC4743">
            <w:pPr>
              <w:jc w:val="left"/>
            </w:pPr>
            <w:r>
              <w:rPr>
                <w:color w:val="000000"/>
                <w:sz w:val="24"/>
              </w:rPr>
              <w:t>本基金的基金经理、易方达安心回馈混合型证券投资基金的基金经理、易方达瑞程灵活配置混合型证券投资基金的基金经理、易方达瑞通灵活配置混合型证券投资基金的基金经理、易方达瑞弘灵活配置混合型证券投资基金的基金经理、易方达裕祥回报债券型证券投资基金的基金经理、易方达裕景添利</w:t>
            </w:r>
            <w:r>
              <w:rPr>
                <w:color w:val="000000"/>
                <w:sz w:val="24"/>
              </w:rPr>
              <w:t>6</w:t>
            </w:r>
            <w:r>
              <w:rPr>
                <w:color w:val="000000"/>
                <w:sz w:val="24"/>
              </w:rPr>
              <w:t>个月定期开放债券型证券投资基金的基金经理、固定收益投资部总经理助理、投资经理</w:t>
            </w:r>
          </w:p>
        </w:tc>
        <w:tc>
          <w:tcPr>
            <w:tcW w:w="851" w:type="dxa"/>
            <w:vAlign w:val="center"/>
          </w:tcPr>
          <w:p w:rsidR="00AB3007" w:rsidRDefault="00EC4743">
            <w:pPr>
              <w:jc w:val="center"/>
            </w:pPr>
            <w:r>
              <w:rPr>
                <w:color w:val="000000"/>
                <w:sz w:val="24"/>
              </w:rPr>
              <w:t>2018-03-24</w:t>
            </w:r>
          </w:p>
        </w:tc>
        <w:tc>
          <w:tcPr>
            <w:tcW w:w="850" w:type="dxa"/>
            <w:vAlign w:val="center"/>
          </w:tcPr>
          <w:p w:rsidR="00AB3007" w:rsidRDefault="00EC4743">
            <w:pPr>
              <w:jc w:val="center"/>
            </w:pPr>
            <w:r>
              <w:rPr>
                <w:color w:val="000000"/>
                <w:sz w:val="24"/>
              </w:rPr>
              <w:t>-</w:t>
            </w:r>
          </w:p>
        </w:tc>
        <w:tc>
          <w:tcPr>
            <w:tcW w:w="851" w:type="dxa"/>
            <w:vAlign w:val="center"/>
          </w:tcPr>
          <w:p w:rsidR="00AB3007" w:rsidRDefault="00EC4743">
            <w:pPr>
              <w:jc w:val="center"/>
            </w:pPr>
            <w:r>
              <w:rPr>
                <w:color w:val="000000"/>
                <w:sz w:val="24"/>
              </w:rPr>
              <w:t>10</w:t>
            </w:r>
            <w:r>
              <w:rPr>
                <w:color w:val="000000"/>
                <w:sz w:val="24"/>
              </w:rPr>
              <w:t>年</w:t>
            </w:r>
          </w:p>
        </w:tc>
        <w:tc>
          <w:tcPr>
            <w:tcW w:w="2977" w:type="dxa"/>
            <w:vAlign w:val="center"/>
          </w:tcPr>
          <w:p w:rsidR="00AB3007" w:rsidRDefault="00EC4743">
            <w:r>
              <w:rPr>
                <w:color w:val="000000"/>
                <w:sz w:val="24"/>
              </w:rPr>
              <w:t>硕士研究生，具有基金从业资格。曾任道富银行风险管理部风险管理经理、外汇利率交易部利率交易员，太平洋资产管理公司基金管理部基金经理，易方达新收益灵活配置混合型证券投资基金基金经理、易方达新益灵活配置混合型证券投资基金基金经理、易方达瑞选灵活配置混合型证券投资基金基金经理、易方达安心回馈混合型证券投资基金基金经理助理、易方达瑞通灵活配置混合型证券投资基金基金经理助理、易方达裕祥回报债券型证券投资基金基金经理助理、易方达新收益灵活配置混合型证券投资基金基金经理助理、易方达瑞选灵活配置混合型证券投资基金基金经理助理、易方达裕景添利</w:t>
            </w:r>
            <w:r>
              <w:rPr>
                <w:color w:val="000000"/>
                <w:sz w:val="24"/>
              </w:rPr>
              <w:t>6</w:t>
            </w:r>
            <w:r>
              <w:rPr>
                <w:color w:val="000000"/>
                <w:sz w:val="24"/>
              </w:rPr>
              <w:t>个月定期开放债券型证券投资基金基金经理助理、易方达高等级信用债债券型证券投资基金基金经理助理。</w:t>
            </w:r>
          </w:p>
        </w:tc>
      </w:tr>
    </w:tbl>
    <w:p w:rsidR="002E13A0" w:rsidRDefault="00F55ED9" w:rsidP="002E13A0">
      <w:pPr>
        <w:spacing w:line="360" w:lineRule="auto"/>
        <w:rPr>
          <w:color w:val="000000"/>
          <w:sz w:val="24"/>
        </w:rPr>
      </w:pPr>
      <w:bookmarkStart w:id="0" w:name="_GoBack"/>
      <w:r w:rsidRPr="00F55ED9">
        <w:rPr>
          <w:noProof/>
          <w:color w:val="000000"/>
          <w:sz w:val="24"/>
        </w:rPr>
        <w:lastRenderedPageBreak/>
        <w:drawing>
          <wp:inline distT="0" distB="0" distL="0" distR="0">
            <wp:extent cx="5600700" cy="3752297"/>
            <wp:effectExtent l="0" t="0" r="0" b="0"/>
            <wp:docPr id="2" name="图片 2" descr="d:\Users\wenxueqian\Desktop\20200716-截图更新\林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wenxueqian\Desktop\20200716-截图更新\林森.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0700" cy="3752297"/>
                    </a:xfrm>
                    <a:prstGeom prst="rect">
                      <a:avLst/>
                    </a:prstGeom>
                    <a:noFill/>
                    <a:ln>
                      <a:noFill/>
                    </a:ln>
                  </pic:spPr>
                </pic:pic>
              </a:graphicData>
            </a:graphic>
          </wp:inline>
        </w:drawing>
      </w:r>
      <w:bookmarkEnd w:id="0"/>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R="00F016DD" w:rsidRPr="00DF18FE" w:rsidRDefault="00F016DD" w:rsidP="00DF18FE">
      <w:pPr>
        <w:spacing w:line="360" w:lineRule="auto"/>
        <w:ind w:firstLineChars="200" w:firstLine="480"/>
        <w:rPr>
          <w:color w:val="000000"/>
          <w:sz w:val="24"/>
        </w:rPr>
      </w:pPr>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4.3 </w:t>
      </w:r>
      <w:r w:rsidRPr="0078105B">
        <w:rPr>
          <w:rFonts w:ascii="宋体" w:hAnsi="宋体" w:cs="Arial" w:hint="eastAsia"/>
          <w:b/>
          <w:color w:val="000000"/>
          <w:kern w:val="0"/>
          <w:sz w:val="24"/>
        </w:rPr>
        <w:t>公平交易专项说明</w:t>
      </w:r>
    </w:p>
    <w:p w:rsidR="00F016DD" w:rsidRPr="00FA472B" w:rsidRDefault="00F016DD" w:rsidP="00FC13C8">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R="00F016DD" w:rsidRPr="00EA6415" w:rsidRDefault="00F016DD" w:rsidP="00DF18FE">
      <w:pPr>
        <w:spacing w:line="360" w:lineRule="auto"/>
        <w:ind w:firstLineChars="200" w:firstLine="480"/>
        <w:rPr>
          <w:color w:val="000000"/>
          <w:sz w:val="24"/>
        </w:rPr>
      </w:pPr>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w:t>
      </w:r>
      <w:r w:rsidRPr="00DF18FE">
        <w:rPr>
          <w:color w:val="000000"/>
          <w:sz w:val="24"/>
        </w:rPr>
        <w:t>“</w:t>
      </w:r>
      <w:r w:rsidRPr="00DF18FE">
        <w:rPr>
          <w:color w:val="000000"/>
          <w:sz w:val="24"/>
        </w:rPr>
        <w:t>时间优先、价格优先</w:t>
      </w:r>
      <w:r w:rsidRPr="00DF18FE">
        <w:rPr>
          <w:color w:val="000000"/>
          <w:sz w:val="24"/>
        </w:rPr>
        <w:t>”</w:t>
      </w:r>
      <w:r w:rsidRPr="00DF18FE">
        <w:rPr>
          <w:color w:val="000000"/>
          <w:sz w:val="24"/>
        </w:rPr>
        <w:t>作为执行指令的基本原则，通过投资交易系统中的公平交易模块，以尽可能确保公平对待各投资组合。本报告期内，公平交易制度总体执行情况良好。</w:t>
      </w:r>
    </w:p>
    <w:p w:rsidR="00F016DD" w:rsidRPr="00FA472B" w:rsidRDefault="00F016DD" w:rsidP="00FC13C8">
      <w:pPr>
        <w:spacing w:line="360" w:lineRule="auto"/>
        <w:rPr>
          <w:rFonts w:ascii="宋体" w:hAnsi="宋体"/>
          <w:sz w:val="24"/>
        </w:rPr>
      </w:pPr>
      <w:r w:rsidRPr="00FA472B">
        <w:rPr>
          <w:rFonts w:ascii="宋体" w:hAnsi="宋体"/>
          <w:sz w:val="24"/>
        </w:rPr>
        <w:t xml:space="preserve">4.3.2 </w:t>
      </w:r>
      <w:r w:rsidRPr="00FA472B">
        <w:rPr>
          <w:rFonts w:ascii="宋体" w:hAnsi="宋体" w:hint="eastAsia"/>
          <w:sz w:val="24"/>
        </w:rPr>
        <w:t>异常交易行为的专项说明</w:t>
      </w:r>
    </w:p>
    <w:p w:rsidR="00AB3007" w:rsidRDefault="00EC4743">
      <w:pPr>
        <w:spacing w:line="360" w:lineRule="auto"/>
        <w:ind w:firstLineChars="200" w:firstLine="480"/>
        <w:rPr>
          <w:color w:val="000000"/>
          <w:sz w:val="24"/>
        </w:rPr>
      </w:pPr>
      <w:r>
        <w:rPr>
          <w:color w:val="000000"/>
          <w:sz w:val="24"/>
        </w:rPr>
        <w:t>本报告期内，公司旗下所有投资组合参与的交易所公开竞价交易中，同日反向交易成交较少的单边交易量超过该证券当日成交量的</w:t>
      </w:r>
      <w:r>
        <w:rPr>
          <w:color w:val="000000"/>
          <w:sz w:val="24"/>
        </w:rPr>
        <w:t>5%</w:t>
      </w:r>
      <w:r>
        <w:rPr>
          <w:color w:val="000000"/>
          <w:sz w:val="24"/>
        </w:rPr>
        <w:t>的交易共</w:t>
      </w:r>
      <w:r>
        <w:rPr>
          <w:color w:val="000000"/>
          <w:sz w:val="24"/>
        </w:rPr>
        <w:t>42</w:t>
      </w:r>
      <w:r>
        <w:rPr>
          <w:color w:val="000000"/>
          <w:sz w:val="24"/>
        </w:rPr>
        <w:t>次，均为指数量化</w:t>
      </w:r>
      <w:r>
        <w:rPr>
          <w:color w:val="000000"/>
          <w:sz w:val="24"/>
        </w:rPr>
        <w:lastRenderedPageBreak/>
        <w:t>投资组合因投资策略需要和其他组合发生的反向交易。</w:t>
      </w:r>
    </w:p>
    <w:p w:rsidR="00F016DD" w:rsidRPr="00DF18FE" w:rsidRDefault="00F016DD" w:rsidP="00DF18FE">
      <w:pPr>
        <w:spacing w:line="360" w:lineRule="auto"/>
        <w:ind w:firstLineChars="200" w:firstLine="480"/>
        <w:rPr>
          <w:color w:val="000000"/>
          <w:sz w:val="24"/>
        </w:rPr>
      </w:pPr>
      <w:r w:rsidRPr="00DF18FE">
        <w:rPr>
          <w:color w:val="000000"/>
          <w:sz w:val="24"/>
        </w:rPr>
        <w:t>本报告期内，未发现本基金有可能导致不公平交易和利益输送的异常交易。</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4.4 </w:t>
      </w:r>
      <w:r w:rsidRPr="0078105B">
        <w:rPr>
          <w:rFonts w:ascii="宋体" w:hAnsi="宋体" w:cs="Arial" w:hint="eastAsia"/>
          <w:b/>
          <w:color w:val="000000"/>
          <w:kern w:val="0"/>
          <w:sz w:val="24"/>
        </w:rPr>
        <w:t>报告期内基金的投资策略和业绩表现说明</w:t>
      </w:r>
    </w:p>
    <w:p w:rsidR="00F016DD" w:rsidRPr="0078105B" w:rsidRDefault="00F016DD" w:rsidP="00FC13C8">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rsidR="00AB3007" w:rsidRDefault="00EC4743">
      <w:pPr>
        <w:spacing w:line="360" w:lineRule="auto"/>
        <w:ind w:firstLineChars="200" w:firstLine="48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w:t>
      </w:r>
      <w:r>
        <w:rPr>
          <w:color w:val="000000"/>
          <w:sz w:val="24"/>
        </w:rPr>
        <w:t>5</w:t>
      </w:r>
      <w:r>
        <w:rPr>
          <w:color w:val="000000"/>
          <w:sz w:val="24"/>
        </w:rPr>
        <w:t>月上旬，货币政策进一步宽松不及预期叠加五一消费复苏经济修复延续，长端收益率开始上行。随后，社融放量强化经济修复预期，收益率进一步大幅上行，且短端上行幅度更大，曲线呈现出熊平趋势。进入</w:t>
      </w:r>
      <w:r>
        <w:rPr>
          <w:color w:val="000000"/>
          <w:sz w:val="24"/>
        </w:rPr>
        <w:t>6</w:t>
      </w:r>
      <w:r>
        <w:rPr>
          <w:color w:val="000000"/>
          <w:sz w:val="24"/>
        </w:rPr>
        <w:t>月，货币环境仍未好转，叠加首批</w:t>
      </w:r>
      <w:r>
        <w:rPr>
          <w:color w:val="000000"/>
          <w:sz w:val="24"/>
        </w:rPr>
        <w:t>1000</w:t>
      </w:r>
      <w:r>
        <w:rPr>
          <w:color w:val="000000"/>
          <w:sz w:val="24"/>
        </w:rPr>
        <w:t>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整体走阔。</w:t>
      </w:r>
    </w:p>
    <w:p w:rsidR="00F016DD" w:rsidRPr="00DF18FE" w:rsidRDefault="00F016DD" w:rsidP="00DF18FE">
      <w:pPr>
        <w:spacing w:line="360" w:lineRule="auto"/>
        <w:ind w:firstLineChars="200" w:firstLine="480"/>
        <w:rPr>
          <w:color w:val="000000"/>
          <w:sz w:val="24"/>
        </w:rPr>
      </w:pPr>
      <w:r w:rsidRPr="00DF18FE">
        <w:rPr>
          <w:color w:val="000000"/>
          <w:sz w:val="24"/>
        </w:rPr>
        <w:t>操作上，组合维持了较高的杠杆和中性略高的久期，以及自下而上精选信用债个券的策略。</w:t>
      </w:r>
    </w:p>
    <w:p w:rsidR="00F016DD" w:rsidRPr="0078105B" w:rsidRDefault="00F016DD" w:rsidP="00FC13C8">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R="00F016DD" w:rsidRPr="00DF18FE" w:rsidRDefault="00F016DD" w:rsidP="00DF18FE">
      <w:pPr>
        <w:spacing w:line="360" w:lineRule="auto"/>
        <w:ind w:firstLineChars="200" w:firstLine="480"/>
        <w:rPr>
          <w:color w:val="000000"/>
          <w:sz w:val="24"/>
        </w:rPr>
      </w:pPr>
      <w:r w:rsidRPr="00DF18FE">
        <w:rPr>
          <w:color w:val="000000"/>
          <w:sz w:val="24"/>
        </w:rPr>
        <w:t>截至报告期末，本基金</w:t>
      </w:r>
      <w:r w:rsidRPr="00DF18FE">
        <w:rPr>
          <w:color w:val="000000"/>
          <w:sz w:val="24"/>
        </w:rPr>
        <w:t>A</w:t>
      </w:r>
      <w:r w:rsidRPr="00DF18FE">
        <w:rPr>
          <w:color w:val="000000"/>
          <w:sz w:val="24"/>
        </w:rPr>
        <w:t>类基金份额净值为</w:t>
      </w:r>
      <w:r w:rsidRPr="00DF18FE">
        <w:rPr>
          <w:color w:val="000000"/>
          <w:sz w:val="24"/>
        </w:rPr>
        <w:t>1.114</w:t>
      </w:r>
      <w:r w:rsidRPr="00DF18FE">
        <w:rPr>
          <w:color w:val="000000"/>
          <w:sz w:val="24"/>
        </w:rPr>
        <w:t>元，本报告期份额净值增长率为</w:t>
      </w:r>
      <w:r w:rsidRPr="00DF18FE">
        <w:rPr>
          <w:color w:val="000000"/>
          <w:sz w:val="24"/>
        </w:rPr>
        <w:t>-0.47%</w:t>
      </w:r>
      <w:r w:rsidRPr="00DF18FE">
        <w:rPr>
          <w:color w:val="000000"/>
          <w:sz w:val="24"/>
        </w:rPr>
        <w:t>，同期业绩比较基准收益率为</w:t>
      </w:r>
      <w:r w:rsidRPr="00DF18FE">
        <w:rPr>
          <w:color w:val="000000"/>
          <w:sz w:val="24"/>
        </w:rPr>
        <w:t>0.28%</w:t>
      </w:r>
      <w:r w:rsidRPr="00DF18FE">
        <w:rPr>
          <w:color w:val="000000"/>
          <w:sz w:val="24"/>
        </w:rPr>
        <w:t>；</w:t>
      </w:r>
      <w:r w:rsidRPr="00DF18FE">
        <w:rPr>
          <w:color w:val="000000"/>
          <w:sz w:val="24"/>
        </w:rPr>
        <w:t>C</w:t>
      </w:r>
      <w:r w:rsidRPr="00DF18FE">
        <w:rPr>
          <w:color w:val="000000"/>
          <w:sz w:val="24"/>
        </w:rPr>
        <w:t>类基金份额净值为</w:t>
      </w:r>
      <w:r w:rsidRPr="00DF18FE">
        <w:rPr>
          <w:color w:val="000000"/>
          <w:sz w:val="24"/>
        </w:rPr>
        <w:t>1.113</w:t>
      </w:r>
      <w:r w:rsidRPr="00DF18FE">
        <w:rPr>
          <w:color w:val="000000"/>
          <w:sz w:val="24"/>
        </w:rPr>
        <w:t>元，本报告期份额净值增长率为</w:t>
      </w:r>
      <w:r w:rsidRPr="00DF18FE">
        <w:rPr>
          <w:color w:val="000000"/>
          <w:sz w:val="24"/>
        </w:rPr>
        <w:t>-0.56%</w:t>
      </w:r>
      <w:r w:rsidRPr="00DF18FE">
        <w:rPr>
          <w:color w:val="000000"/>
          <w:sz w:val="24"/>
        </w:rPr>
        <w:t>，同期业绩比较基准收益率为</w:t>
      </w:r>
      <w:r w:rsidRPr="00DF18FE">
        <w:rPr>
          <w:color w:val="000000"/>
          <w:sz w:val="24"/>
        </w:rPr>
        <w:t>0.28%</w:t>
      </w:r>
      <w:r w:rsidRPr="00DF18FE">
        <w:rPr>
          <w:color w:val="000000"/>
          <w:sz w:val="24"/>
        </w:rPr>
        <w:t>。</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5  </w:t>
      </w:r>
      <w:r w:rsidRPr="0078105B">
        <w:rPr>
          <w:rFonts w:ascii="宋体" w:hAnsi="宋体" w:cs="Arial" w:hint="eastAsia"/>
          <w:color w:val="000000"/>
          <w:kern w:val="0"/>
          <w:sz w:val="24"/>
          <w:szCs w:val="24"/>
        </w:rPr>
        <w:t>投资组合报告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5.1 </w:t>
      </w:r>
      <w:r w:rsidRPr="0078105B">
        <w:rPr>
          <w:rFonts w:ascii="宋体" w:hAnsi="宋体" w:cs="Arial" w:hint="eastAsia"/>
          <w:b/>
          <w:color w:val="000000"/>
          <w:kern w:val="0"/>
          <w:sz w:val="24"/>
        </w:rPr>
        <w:t>报告期末基金资产组合情况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357"/>
        <w:gridCol w:w="2977"/>
        <w:gridCol w:w="1843"/>
      </w:tblGrid>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序号</w:t>
            </w:r>
          </w:p>
        </w:tc>
        <w:tc>
          <w:tcPr>
            <w:tcW w:w="335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项目</w:t>
            </w:r>
          </w:p>
        </w:tc>
        <w:tc>
          <w:tcPr>
            <w:tcW w:w="297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w="1843"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1</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权益投资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其中：股票</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2</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固定收益投资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20,538,937,444.42</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96.36</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其中：债券</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20,221,268,944.42</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94.87</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317,668,500.00</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1.49</w:t>
            </w:r>
          </w:p>
        </w:tc>
      </w:tr>
      <w:tr w:rsidR="00F016DD" w:rsidRPr="00264E55" w:rsidTr="00F4518C">
        <w:trPr>
          <w:jc w:val="center"/>
        </w:trPr>
        <w:tc>
          <w:tcPr>
            <w:tcW w:w="720" w:type="dxa"/>
          </w:tcPr>
          <w:p w:rsidR="00F016DD" w:rsidRPr="00FA472B" w:rsidRDefault="00F016DD" w:rsidP="00F4518C">
            <w:pPr>
              <w:spacing w:before="29" w:line="360" w:lineRule="auto"/>
              <w:ind w:left="17"/>
              <w:jc w:val="center"/>
              <w:rPr>
                <w:color w:val="000000"/>
                <w:sz w:val="24"/>
              </w:rPr>
            </w:pPr>
            <w:r w:rsidRPr="00FA472B">
              <w:rPr>
                <w:color w:val="000000"/>
                <w:sz w:val="24"/>
              </w:rPr>
              <w:t>3</w:t>
            </w:r>
          </w:p>
        </w:tc>
        <w:tc>
          <w:tcPr>
            <w:tcW w:w="3357" w:type="dxa"/>
          </w:tcPr>
          <w:p w:rsidR="00F016DD" w:rsidRPr="00FA472B" w:rsidRDefault="00F016DD" w:rsidP="00174038">
            <w:pPr>
              <w:spacing w:before="29" w:line="360" w:lineRule="auto"/>
              <w:ind w:leftChars="50" w:left="105"/>
              <w:rPr>
                <w:color w:val="000000"/>
                <w:sz w:val="24"/>
              </w:rPr>
            </w:pPr>
            <w:r w:rsidRPr="00FA472B">
              <w:rPr>
                <w:color w:val="000000"/>
                <w:sz w:val="24"/>
              </w:rPr>
              <w:t>贵金属投资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4</w:t>
            </w:r>
          </w:p>
        </w:tc>
        <w:tc>
          <w:tcPr>
            <w:tcW w:w="3357" w:type="dxa"/>
            <w:vAlign w:val="center"/>
          </w:tcPr>
          <w:p w:rsidR="00F016DD" w:rsidRPr="00FA472B" w:rsidRDefault="00F016DD" w:rsidP="00F4518C">
            <w:pPr>
              <w:spacing w:before="29" w:line="360" w:lineRule="auto"/>
              <w:ind w:left="17"/>
              <w:jc w:val="left"/>
              <w:rPr>
                <w:color w:val="000000"/>
                <w:sz w:val="24"/>
              </w:rPr>
            </w:pPr>
            <w:r w:rsidRPr="00FA472B">
              <w:rPr>
                <w:color w:val="000000"/>
                <w:sz w:val="24"/>
              </w:rPr>
              <w:t>金融衍生品投资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5</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买入返售金融资产</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其中：买断式回购的买入返售金融资产</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6</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银行存款和结算备付金合计</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383,991,625.38</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1.80</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7</w:t>
            </w:r>
          </w:p>
        </w:tc>
        <w:tc>
          <w:tcPr>
            <w:tcW w:w="3357" w:type="dxa"/>
            <w:vAlign w:val="center"/>
          </w:tcPr>
          <w:p w:rsidR="00F016DD" w:rsidRPr="00FA472B" w:rsidRDefault="00F016DD" w:rsidP="00F4518C">
            <w:pPr>
              <w:jc w:val="left"/>
              <w:rPr>
                <w:sz w:val="24"/>
              </w:rPr>
            </w:pPr>
            <w:r w:rsidRPr="00FA472B">
              <w:rPr>
                <w:color w:val="000000"/>
                <w:sz w:val="24"/>
              </w:rPr>
              <w:t>其他资产</w:t>
            </w:r>
          </w:p>
        </w:tc>
        <w:tc>
          <w:tcPr>
            <w:tcW w:w="2977" w:type="dxa"/>
            <w:vAlign w:val="center"/>
          </w:tcPr>
          <w:p w:rsidR="00F016DD" w:rsidRPr="00FA472B" w:rsidRDefault="00F016DD" w:rsidP="00F4518C">
            <w:pPr>
              <w:jc w:val="right"/>
              <w:rPr>
                <w:color w:val="000000"/>
                <w:sz w:val="24"/>
              </w:rPr>
            </w:pPr>
            <w:r w:rsidRPr="00FA472B">
              <w:rPr>
                <w:color w:val="000000"/>
                <w:sz w:val="24"/>
              </w:rPr>
              <w:t>391,496,248.34</w:t>
            </w:r>
          </w:p>
        </w:tc>
        <w:tc>
          <w:tcPr>
            <w:tcW w:w="1843" w:type="dxa"/>
            <w:vAlign w:val="center"/>
          </w:tcPr>
          <w:p w:rsidR="00F016DD" w:rsidRPr="00FA472B" w:rsidRDefault="00F016DD" w:rsidP="00F4518C">
            <w:pPr>
              <w:jc w:val="right"/>
              <w:rPr>
                <w:color w:val="000000"/>
                <w:sz w:val="24"/>
              </w:rPr>
            </w:pPr>
            <w:r w:rsidRPr="00FA472B">
              <w:rPr>
                <w:color w:val="000000"/>
                <w:sz w:val="24"/>
              </w:rPr>
              <w:t>1.84</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8</w:t>
            </w:r>
          </w:p>
        </w:tc>
        <w:tc>
          <w:tcPr>
            <w:tcW w:w="3357" w:type="dxa"/>
            <w:vAlign w:val="center"/>
          </w:tcPr>
          <w:p w:rsidR="00F016DD" w:rsidRPr="00FA472B" w:rsidRDefault="00F016DD" w:rsidP="00F4518C">
            <w:pPr>
              <w:jc w:val="left"/>
              <w:rPr>
                <w:sz w:val="24"/>
              </w:rPr>
            </w:pPr>
            <w:r w:rsidRPr="00FA472B">
              <w:rPr>
                <w:color w:val="000000"/>
                <w:sz w:val="24"/>
              </w:rPr>
              <w:t>合计</w:t>
            </w:r>
          </w:p>
        </w:tc>
        <w:tc>
          <w:tcPr>
            <w:tcW w:w="2977" w:type="dxa"/>
            <w:vAlign w:val="center"/>
          </w:tcPr>
          <w:p w:rsidR="00F016DD" w:rsidRPr="00FA472B" w:rsidRDefault="00F016DD" w:rsidP="00F4518C">
            <w:pPr>
              <w:jc w:val="right"/>
              <w:rPr>
                <w:color w:val="000000"/>
                <w:sz w:val="24"/>
              </w:rPr>
            </w:pPr>
            <w:r w:rsidRPr="00FA472B">
              <w:rPr>
                <w:color w:val="000000"/>
                <w:sz w:val="24"/>
              </w:rPr>
              <w:t>21,314,425,318.14</w:t>
            </w:r>
          </w:p>
        </w:tc>
        <w:tc>
          <w:tcPr>
            <w:tcW w:w="1843" w:type="dxa"/>
            <w:vAlign w:val="center"/>
          </w:tcPr>
          <w:p w:rsidR="00F016DD" w:rsidRPr="00FA472B" w:rsidRDefault="00F016DD" w:rsidP="00F4518C">
            <w:pPr>
              <w:jc w:val="right"/>
              <w:rPr>
                <w:color w:val="000000"/>
                <w:sz w:val="24"/>
              </w:rPr>
            </w:pPr>
            <w:r w:rsidRPr="00FA472B">
              <w:rPr>
                <w:color w:val="000000"/>
                <w:sz w:val="24"/>
              </w:rPr>
              <w:t>100.00</w:t>
            </w:r>
          </w:p>
        </w:tc>
      </w:tr>
    </w:tbl>
    <w:p w:rsidR="00874AA3" w:rsidRPr="00C70969" w:rsidRDefault="00874AA3" w:rsidP="00B54884">
      <w:pPr>
        <w:autoSpaceDE w:val="0"/>
        <w:autoSpaceDN w:val="0"/>
        <w:adjustRightInd w:val="0"/>
        <w:spacing w:beforeLines="100" w:before="312" w:line="360" w:lineRule="auto"/>
        <w:jc w:val="left"/>
        <w:rPr>
          <w:rFonts w:eastAsiaTheme="minorEastAsia"/>
          <w:b/>
          <w:color w:val="000000" w:themeColor="text1"/>
          <w:kern w:val="0"/>
          <w:sz w:val="24"/>
        </w:rPr>
      </w:pPr>
      <w:r w:rsidRPr="00C70969">
        <w:rPr>
          <w:rFonts w:eastAsiaTheme="minorEastAsia"/>
          <w:b/>
          <w:color w:val="000000" w:themeColor="text1"/>
          <w:kern w:val="0"/>
          <w:sz w:val="24"/>
        </w:rPr>
        <w:t xml:space="preserve">5.2 </w:t>
      </w:r>
      <w:r w:rsidRPr="00C70969">
        <w:rPr>
          <w:rFonts w:eastAsiaTheme="minorEastAsia"/>
          <w:b/>
          <w:color w:val="000000" w:themeColor="text1"/>
          <w:kern w:val="0"/>
          <w:sz w:val="24"/>
        </w:rPr>
        <w:t>报告期末按行业分类的股票投资组合</w:t>
      </w:r>
    </w:p>
    <w:p w:rsidR="00874AA3" w:rsidRPr="00C70969" w:rsidRDefault="00874AA3" w:rsidP="00874AA3">
      <w:pPr>
        <w:rPr>
          <w:b/>
          <w:sz w:val="24"/>
        </w:rPr>
      </w:pPr>
      <w:r w:rsidRPr="00C70969">
        <w:rPr>
          <w:b/>
          <w:sz w:val="24"/>
        </w:rPr>
        <w:t xml:space="preserve"> </w:t>
      </w:r>
      <w:r w:rsidRPr="00C70969">
        <w:rPr>
          <w:rFonts w:eastAsiaTheme="minorEastAsia"/>
          <w:b/>
          <w:color w:val="000000" w:themeColor="text1"/>
          <w:kern w:val="0"/>
          <w:sz w:val="24"/>
        </w:rPr>
        <w:t>5.2.1</w:t>
      </w:r>
      <w:r w:rsidRPr="00C70969">
        <w:rPr>
          <w:rFonts w:eastAsiaTheme="minorEastAsia"/>
          <w:b/>
          <w:color w:val="000000" w:themeColor="text1"/>
          <w:kern w:val="0"/>
          <w:sz w:val="24"/>
        </w:rPr>
        <w:t>报告期末按行业分类的境内股票投资组合</w:t>
      </w:r>
    </w:p>
    <w:p w:rsidR="00874AA3" w:rsidRPr="00EA6415" w:rsidRDefault="00874AA3" w:rsidP="00EA6415">
      <w:pPr>
        <w:spacing w:line="360" w:lineRule="auto"/>
        <w:ind w:firstLineChars="200" w:firstLine="480"/>
        <w:rPr>
          <w:color w:val="000000"/>
          <w:sz w:val="24"/>
        </w:rPr>
      </w:pPr>
      <w:r w:rsidRPr="00EA6415">
        <w:rPr>
          <w:color w:val="000000"/>
          <w:sz w:val="24"/>
        </w:rPr>
        <w:t>本基金本报告期末未持有境内股票。</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5.3 </w:t>
      </w:r>
      <w:r w:rsidRPr="0078105B">
        <w:rPr>
          <w:rFonts w:ascii="宋体" w:hAnsi="宋体" w:cs="Arial" w:hint="eastAsia"/>
          <w:b/>
          <w:color w:val="000000"/>
          <w:kern w:val="0"/>
          <w:sz w:val="24"/>
        </w:rPr>
        <w:t>报告期末按公允价值占基金资产净值比例大小排序的前十名股票投资明细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本基金本报告期末未持有股票。</w:t>
      </w:r>
    </w:p>
    <w:p w:rsidR="006A1153" w:rsidRPr="006A1153" w:rsidRDefault="00F016DD" w:rsidP="00B54884">
      <w:pPr>
        <w:autoSpaceDE w:val="0"/>
        <w:autoSpaceDN w:val="0"/>
        <w:adjustRightInd w:val="0"/>
        <w:spacing w:beforeLines="100" w:before="312" w:line="360" w:lineRule="auto"/>
        <w:jc w:val="left"/>
        <w:rPr>
          <w:rFonts w:eastAsiaTheme="minorEastAsia"/>
          <w:b/>
          <w:color w:val="000000" w:themeColor="text1"/>
          <w:kern w:val="0"/>
          <w:sz w:val="24"/>
        </w:rPr>
      </w:pPr>
      <w:r w:rsidRPr="0078105B">
        <w:rPr>
          <w:rFonts w:ascii="宋体" w:hAnsi="宋体" w:cs="Arial"/>
          <w:b/>
          <w:color w:val="000000"/>
          <w:kern w:val="0"/>
          <w:sz w:val="24"/>
        </w:rPr>
        <w:t xml:space="preserve">5.4 </w:t>
      </w:r>
      <w:r w:rsidRPr="0078105B">
        <w:rPr>
          <w:rFonts w:ascii="宋体" w:hAnsi="宋体" w:cs="Arial" w:hint="eastAsia"/>
          <w:b/>
          <w:color w:val="000000"/>
          <w:kern w:val="0"/>
          <w:sz w:val="24"/>
        </w:rPr>
        <w:t>报告期末按债券品种分类的债券投资组合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2835"/>
        <w:gridCol w:w="1616"/>
      </w:tblGrid>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序号</w:t>
            </w:r>
          </w:p>
        </w:tc>
        <w:tc>
          <w:tcPr>
            <w:tcW w:w="3260"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债券品种</w:t>
            </w:r>
          </w:p>
        </w:tc>
        <w:tc>
          <w:tcPr>
            <w:tcW w:w="2835"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公允价值</w:t>
            </w:r>
            <w:r w:rsidRPr="006A1153">
              <w:rPr>
                <w:rFonts w:eastAsiaTheme="minorEastAsia"/>
                <w:color w:val="000000" w:themeColor="text1"/>
                <w:sz w:val="24"/>
              </w:rPr>
              <w:t>(</w:t>
            </w:r>
            <w:r w:rsidRPr="006A1153">
              <w:rPr>
                <w:rFonts w:eastAsiaTheme="minorEastAsia"/>
                <w:color w:val="000000" w:themeColor="text1"/>
                <w:sz w:val="24"/>
              </w:rPr>
              <w:t>元</w:t>
            </w: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占基金资产净值比例</w:t>
            </w:r>
            <w:r w:rsidRPr="006A1153">
              <w:rPr>
                <w:rFonts w:eastAsiaTheme="minorEastAsia"/>
                <w:color w:val="000000" w:themeColor="text1"/>
                <w:sz w:val="24"/>
              </w:rPr>
              <w:t>(</w:t>
            </w:r>
            <w:r w:rsidRPr="006A1153">
              <w:rPr>
                <w:rFonts w:eastAsiaTheme="minorEastAsia"/>
                <w:color w:val="000000" w:themeColor="text1"/>
                <w:sz w:val="24"/>
              </w:rPr>
              <w:t>％</w:t>
            </w: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1</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国家债券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2</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央行票据</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3</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金融债券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976,117,000.00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6.32</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其中：政策性金融债</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976,117,000.00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6.32</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4</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企业债券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8,422,207,544.42</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54.53</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5</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企业短期融资券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249,470,000.00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1.62</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6</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中期票据</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10,573,474,400.00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68.46</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7</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可转债</w:t>
            </w:r>
            <w:r w:rsidR="00524368" w:rsidRPr="00524368">
              <w:rPr>
                <w:rFonts w:eastAsiaTheme="minorEastAsia" w:hint="eastAsia"/>
                <w:color w:val="000000" w:themeColor="text1"/>
                <w:sz w:val="24"/>
              </w:rPr>
              <w:t>（可交换债）</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8</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同业存单</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9</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其他</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lastRenderedPageBreak/>
              <w:t>10</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合计</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20,221,268,944.42</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130.92</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5.5 </w:t>
      </w:r>
      <w:r w:rsidRPr="0078105B">
        <w:rPr>
          <w:rFonts w:ascii="宋体" w:hAnsi="宋体" w:cs="Arial" w:hint="eastAsia"/>
          <w:b/>
          <w:color w:val="000000"/>
          <w:kern w:val="0"/>
          <w:sz w:val="24"/>
        </w:rPr>
        <w:t>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的前五名债券投资明细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2"/>
        <w:gridCol w:w="1559"/>
        <w:gridCol w:w="1985"/>
        <w:gridCol w:w="1559"/>
        <w:gridCol w:w="2126"/>
        <w:gridCol w:w="990"/>
      </w:tblGrid>
      <w:tr w:rsidR="00F016DD" w:rsidRPr="0078105B" w:rsidTr="00CA7FF7">
        <w:tc>
          <w:tcPr>
            <w:tcW w:w="802"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w="155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w="1985"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w="155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w="2126"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w="990"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rsidR="00AB3007">
        <w:tc>
          <w:tcPr>
            <w:tcW w:w="802" w:type="dxa"/>
            <w:vAlign w:val="center"/>
          </w:tcPr>
          <w:p w:rsidR="00AB3007" w:rsidRDefault="00EC4743">
            <w:pPr>
              <w:jc w:val="center"/>
            </w:pPr>
            <w:r>
              <w:rPr>
                <w:color w:val="000000"/>
                <w:sz w:val="24"/>
              </w:rPr>
              <w:t>1</w:t>
            </w:r>
          </w:p>
        </w:tc>
        <w:tc>
          <w:tcPr>
            <w:tcW w:w="1559" w:type="dxa"/>
            <w:vAlign w:val="center"/>
          </w:tcPr>
          <w:p w:rsidR="00AB3007" w:rsidRDefault="00EC4743">
            <w:pPr>
              <w:jc w:val="center"/>
            </w:pPr>
            <w:r>
              <w:rPr>
                <w:color w:val="000000"/>
                <w:sz w:val="24"/>
              </w:rPr>
              <w:t>180208</w:t>
            </w:r>
          </w:p>
        </w:tc>
        <w:tc>
          <w:tcPr>
            <w:tcW w:w="1985" w:type="dxa"/>
            <w:vAlign w:val="center"/>
          </w:tcPr>
          <w:p w:rsidR="00AB3007" w:rsidRDefault="00EC4743">
            <w:pPr>
              <w:jc w:val="center"/>
            </w:pPr>
            <w:r>
              <w:rPr>
                <w:color w:val="000000"/>
                <w:sz w:val="24"/>
              </w:rPr>
              <w:t>18</w:t>
            </w:r>
            <w:r>
              <w:rPr>
                <w:color w:val="000000"/>
                <w:sz w:val="24"/>
              </w:rPr>
              <w:t>国开</w:t>
            </w:r>
            <w:r>
              <w:rPr>
                <w:color w:val="000000"/>
                <w:sz w:val="24"/>
              </w:rPr>
              <w:t>08</w:t>
            </w:r>
          </w:p>
        </w:tc>
        <w:tc>
          <w:tcPr>
            <w:tcW w:w="1559" w:type="dxa"/>
            <w:vAlign w:val="center"/>
          </w:tcPr>
          <w:p w:rsidR="00AB3007" w:rsidRDefault="00EC4743">
            <w:pPr>
              <w:jc w:val="right"/>
            </w:pPr>
            <w:r>
              <w:rPr>
                <w:color w:val="000000"/>
                <w:sz w:val="24"/>
              </w:rPr>
              <w:t>3,300,000</w:t>
            </w:r>
          </w:p>
        </w:tc>
        <w:tc>
          <w:tcPr>
            <w:tcW w:w="2126" w:type="dxa"/>
            <w:vAlign w:val="center"/>
          </w:tcPr>
          <w:p w:rsidR="00AB3007" w:rsidRDefault="00EC4743">
            <w:pPr>
              <w:jc w:val="right"/>
            </w:pPr>
            <w:r>
              <w:rPr>
                <w:color w:val="000000"/>
                <w:sz w:val="24"/>
              </w:rPr>
              <w:t>334,983,000.00</w:t>
            </w:r>
          </w:p>
        </w:tc>
        <w:tc>
          <w:tcPr>
            <w:tcW w:w="990" w:type="dxa"/>
            <w:vAlign w:val="center"/>
          </w:tcPr>
          <w:p w:rsidR="00AB3007" w:rsidRDefault="00EC4743">
            <w:pPr>
              <w:jc w:val="right"/>
            </w:pPr>
            <w:r>
              <w:rPr>
                <w:color w:val="000000"/>
                <w:sz w:val="24"/>
              </w:rPr>
              <w:t>2.17</w:t>
            </w:r>
          </w:p>
        </w:tc>
      </w:tr>
      <w:tr w:rsidR="00AB3007">
        <w:tc>
          <w:tcPr>
            <w:tcW w:w="802" w:type="dxa"/>
            <w:vAlign w:val="center"/>
          </w:tcPr>
          <w:p w:rsidR="00AB3007" w:rsidRDefault="00EC4743">
            <w:pPr>
              <w:jc w:val="center"/>
            </w:pPr>
            <w:r>
              <w:rPr>
                <w:color w:val="000000"/>
                <w:sz w:val="24"/>
              </w:rPr>
              <w:t>2</w:t>
            </w:r>
          </w:p>
        </w:tc>
        <w:tc>
          <w:tcPr>
            <w:tcW w:w="1559" w:type="dxa"/>
            <w:vAlign w:val="center"/>
          </w:tcPr>
          <w:p w:rsidR="00AB3007" w:rsidRDefault="00EC4743">
            <w:pPr>
              <w:jc w:val="center"/>
            </w:pPr>
            <w:r>
              <w:rPr>
                <w:color w:val="000000"/>
                <w:sz w:val="24"/>
              </w:rPr>
              <w:t>101661023</w:t>
            </w:r>
          </w:p>
        </w:tc>
        <w:tc>
          <w:tcPr>
            <w:tcW w:w="1985" w:type="dxa"/>
            <w:vAlign w:val="center"/>
          </w:tcPr>
          <w:p w:rsidR="00AB3007" w:rsidRDefault="00EC4743">
            <w:pPr>
              <w:jc w:val="center"/>
            </w:pPr>
            <w:r>
              <w:rPr>
                <w:color w:val="000000"/>
                <w:sz w:val="24"/>
              </w:rPr>
              <w:t>16</w:t>
            </w:r>
            <w:r>
              <w:rPr>
                <w:color w:val="000000"/>
                <w:sz w:val="24"/>
              </w:rPr>
              <w:t>甘公投</w:t>
            </w:r>
            <w:r>
              <w:rPr>
                <w:color w:val="000000"/>
                <w:sz w:val="24"/>
              </w:rPr>
              <w:t>MTN002</w:t>
            </w:r>
          </w:p>
        </w:tc>
        <w:tc>
          <w:tcPr>
            <w:tcW w:w="1559" w:type="dxa"/>
            <w:vAlign w:val="center"/>
          </w:tcPr>
          <w:p w:rsidR="00AB3007" w:rsidRDefault="00EC4743">
            <w:pPr>
              <w:jc w:val="right"/>
            </w:pPr>
            <w:r>
              <w:rPr>
                <w:color w:val="000000"/>
                <w:sz w:val="24"/>
              </w:rPr>
              <w:t>2,450,000</w:t>
            </w:r>
          </w:p>
        </w:tc>
        <w:tc>
          <w:tcPr>
            <w:tcW w:w="2126" w:type="dxa"/>
            <w:vAlign w:val="center"/>
          </w:tcPr>
          <w:p w:rsidR="00AB3007" w:rsidRDefault="00EC4743">
            <w:pPr>
              <w:jc w:val="right"/>
            </w:pPr>
            <w:r>
              <w:rPr>
                <w:color w:val="000000"/>
                <w:sz w:val="24"/>
              </w:rPr>
              <w:t>247,695,000.00</w:t>
            </w:r>
          </w:p>
        </w:tc>
        <w:tc>
          <w:tcPr>
            <w:tcW w:w="990" w:type="dxa"/>
            <w:vAlign w:val="center"/>
          </w:tcPr>
          <w:p w:rsidR="00AB3007" w:rsidRDefault="00EC4743">
            <w:pPr>
              <w:jc w:val="right"/>
            </w:pPr>
            <w:r>
              <w:rPr>
                <w:color w:val="000000"/>
                <w:sz w:val="24"/>
              </w:rPr>
              <w:t>1.60</w:t>
            </w:r>
          </w:p>
        </w:tc>
      </w:tr>
      <w:tr w:rsidR="00AB3007">
        <w:tc>
          <w:tcPr>
            <w:tcW w:w="802" w:type="dxa"/>
            <w:vAlign w:val="center"/>
          </w:tcPr>
          <w:p w:rsidR="00AB3007" w:rsidRDefault="00EC4743">
            <w:pPr>
              <w:jc w:val="center"/>
            </w:pPr>
            <w:r>
              <w:rPr>
                <w:color w:val="000000"/>
                <w:sz w:val="24"/>
              </w:rPr>
              <w:t>3</w:t>
            </w:r>
          </w:p>
        </w:tc>
        <w:tc>
          <w:tcPr>
            <w:tcW w:w="1559" w:type="dxa"/>
            <w:vAlign w:val="center"/>
          </w:tcPr>
          <w:p w:rsidR="00AB3007" w:rsidRDefault="00EC4743">
            <w:pPr>
              <w:jc w:val="center"/>
            </w:pPr>
            <w:r>
              <w:rPr>
                <w:color w:val="000000"/>
                <w:sz w:val="24"/>
              </w:rPr>
              <w:t>160206</w:t>
            </w:r>
          </w:p>
        </w:tc>
        <w:tc>
          <w:tcPr>
            <w:tcW w:w="1985" w:type="dxa"/>
            <w:vAlign w:val="center"/>
          </w:tcPr>
          <w:p w:rsidR="00AB3007" w:rsidRDefault="00EC4743">
            <w:pPr>
              <w:jc w:val="center"/>
            </w:pPr>
            <w:r>
              <w:rPr>
                <w:color w:val="000000"/>
                <w:sz w:val="24"/>
              </w:rPr>
              <w:t>16</w:t>
            </w:r>
            <w:r>
              <w:rPr>
                <w:color w:val="000000"/>
                <w:sz w:val="24"/>
              </w:rPr>
              <w:t>国开</w:t>
            </w:r>
            <w:r>
              <w:rPr>
                <w:color w:val="000000"/>
                <w:sz w:val="24"/>
              </w:rPr>
              <w:t>06</w:t>
            </w:r>
          </w:p>
        </w:tc>
        <w:tc>
          <w:tcPr>
            <w:tcW w:w="1559" w:type="dxa"/>
            <w:vAlign w:val="center"/>
          </w:tcPr>
          <w:p w:rsidR="00AB3007" w:rsidRDefault="00EC4743">
            <w:pPr>
              <w:jc w:val="right"/>
            </w:pPr>
            <w:r>
              <w:rPr>
                <w:color w:val="000000"/>
                <w:sz w:val="24"/>
              </w:rPr>
              <w:t>2,200,000</w:t>
            </w:r>
          </w:p>
        </w:tc>
        <w:tc>
          <w:tcPr>
            <w:tcW w:w="2126" w:type="dxa"/>
            <w:vAlign w:val="center"/>
          </w:tcPr>
          <w:p w:rsidR="00AB3007" w:rsidRDefault="00EC4743">
            <w:pPr>
              <w:jc w:val="right"/>
            </w:pPr>
            <w:r>
              <w:rPr>
                <w:color w:val="000000"/>
                <w:sz w:val="24"/>
              </w:rPr>
              <w:t>221,078,000.00</w:t>
            </w:r>
          </w:p>
        </w:tc>
        <w:tc>
          <w:tcPr>
            <w:tcW w:w="990" w:type="dxa"/>
            <w:vAlign w:val="center"/>
          </w:tcPr>
          <w:p w:rsidR="00AB3007" w:rsidRDefault="00EC4743">
            <w:pPr>
              <w:jc w:val="right"/>
            </w:pPr>
            <w:r>
              <w:rPr>
                <w:color w:val="000000"/>
                <w:sz w:val="24"/>
              </w:rPr>
              <w:t>1.43</w:t>
            </w:r>
          </w:p>
        </w:tc>
      </w:tr>
      <w:tr w:rsidR="00AB3007">
        <w:tc>
          <w:tcPr>
            <w:tcW w:w="802" w:type="dxa"/>
            <w:vAlign w:val="center"/>
          </w:tcPr>
          <w:p w:rsidR="00AB3007" w:rsidRDefault="00EC4743">
            <w:pPr>
              <w:jc w:val="center"/>
            </w:pPr>
            <w:r>
              <w:rPr>
                <w:color w:val="000000"/>
                <w:sz w:val="24"/>
              </w:rPr>
              <w:t>4</w:t>
            </w:r>
          </w:p>
        </w:tc>
        <w:tc>
          <w:tcPr>
            <w:tcW w:w="1559" w:type="dxa"/>
            <w:vAlign w:val="center"/>
          </w:tcPr>
          <w:p w:rsidR="00AB3007" w:rsidRDefault="00EC4743">
            <w:pPr>
              <w:jc w:val="center"/>
            </w:pPr>
            <w:r>
              <w:rPr>
                <w:color w:val="000000"/>
                <w:sz w:val="24"/>
              </w:rPr>
              <w:t>152413</w:t>
            </w:r>
          </w:p>
        </w:tc>
        <w:tc>
          <w:tcPr>
            <w:tcW w:w="1985" w:type="dxa"/>
            <w:vAlign w:val="center"/>
          </w:tcPr>
          <w:p w:rsidR="00AB3007" w:rsidRDefault="00EC4743">
            <w:pPr>
              <w:jc w:val="center"/>
            </w:pPr>
            <w:r>
              <w:rPr>
                <w:color w:val="000000"/>
                <w:sz w:val="24"/>
              </w:rPr>
              <w:t>20</w:t>
            </w:r>
            <w:r>
              <w:rPr>
                <w:color w:val="000000"/>
                <w:sz w:val="24"/>
              </w:rPr>
              <w:t>陕煤一</w:t>
            </w:r>
          </w:p>
        </w:tc>
        <w:tc>
          <w:tcPr>
            <w:tcW w:w="1559" w:type="dxa"/>
            <w:vAlign w:val="center"/>
          </w:tcPr>
          <w:p w:rsidR="00AB3007" w:rsidRDefault="00EC4743">
            <w:pPr>
              <w:jc w:val="right"/>
            </w:pPr>
            <w:r>
              <w:rPr>
                <w:color w:val="000000"/>
                <w:sz w:val="24"/>
              </w:rPr>
              <w:t>2,000,000</w:t>
            </w:r>
          </w:p>
        </w:tc>
        <w:tc>
          <w:tcPr>
            <w:tcW w:w="2126" w:type="dxa"/>
            <w:vAlign w:val="center"/>
          </w:tcPr>
          <w:p w:rsidR="00AB3007" w:rsidRDefault="00EC4743">
            <w:pPr>
              <w:jc w:val="right"/>
            </w:pPr>
            <w:r>
              <w:rPr>
                <w:color w:val="000000"/>
                <w:sz w:val="24"/>
              </w:rPr>
              <w:t>196,160,000.00</w:t>
            </w:r>
          </w:p>
        </w:tc>
        <w:tc>
          <w:tcPr>
            <w:tcW w:w="990" w:type="dxa"/>
            <w:vAlign w:val="center"/>
          </w:tcPr>
          <w:p w:rsidR="00AB3007" w:rsidRDefault="00EC4743">
            <w:pPr>
              <w:jc w:val="right"/>
            </w:pPr>
            <w:r>
              <w:rPr>
                <w:color w:val="000000"/>
                <w:sz w:val="24"/>
              </w:rPr>
              <w:t>1.27</w:t>
            </w:r>
          </w:p>
        </w:tc>
      </w:tr>
      <w:tr w:rsidR="00AB3007">
        <w:tc>
          <w:tcPr>
            <w:tcW w:w="802" w:type="dxa"/>
            <w:vAlign w:val="center"/>
          </w:tcPr>
          <w:p w:rsidR="00AB3007" w:rsidRDefault="00EC4743">
            <w:pPr>
              <w:jc w:val="center"/>
            </w:pPr>
            <w:r>
              <w:rPr>
                <w:color w:val="000000"/>
                <w:sz w:val="24"/>
              </w:rPr>
              <w:t>5</w:t>
            </w:r>
          </w:p>
        </w:tc>
        <w:tc>
          <w:tcPr>
            <w:tcW w:w="1559" w:type="dxa"/>
            <w:vAlign w:val="center"/>
          </w:tcPr>
          <w:p w:rsidR="00AB3007" w:rsidRDefault="00EC4743">
            <w:pPr>
              <w:jc w:val="center"/>
            </w:pPr>
            <w:r>
              <w:rPr>
                <w:color w:val="000000"/>
                <w:sz w:val="24"/>
              </w:rPr>
              <w:t>101901052</w:t>
            </w:r>
          </w:p>
        </w:tc>
        <w:tc>
          <w:tcPr>
            <w:tcW w:w="1985" w:type="dxa"/>
            <w:vAlign w:val="center"/>
          </w:tcPr>
          <w:p w:rsidR="00AB3007" w:rsidRDefault="00EC4743">
            <w:pPr>
              <w:jc w:val="center"/>
            </w:pPr>
            <w:r>
              <w:rPr>
                <w:color w:val="000000"/>
                <w:sz w:val="24"/>
              </w:rPr>
              <w:t>19</w:t>
            </w:r>
            <w:r>
              <w:rPr>
                <w:color w:val="000000"/>
                <w:sz w:val="24"/>
              </w:rPr>
              <w:t>日照港</w:t>
            </w:r>
            <w:r>
              <w:rPr>
                <w:color w:val="000000"/>
                <w:sz w:val="24"/>
              </w:rPr>
              <w:t>MTN001</w:t>
            </w:r>
          </w:p>
        </w:tc>
        <w:tc>
          <w:tcPr>
            <w:tcW w:w="1559" w:type="dxa"/>
            <w:vAlign w:val="center"/>
          </w:tcPr>
          <w:p w:rsidR="00AB3007" w:rsidRDefault="00EC4743">
            <w:pPr>
              <w:jc w:val="right"/>
            </w:pPr>
            <w:r>
              <w:rPr>
                <w:color w:val="000000"/>
                <w:sz w:val="24"/>
              </w:rPr>
              <w:t>1,900,000</w:t>
            </w:r>
          </w:p>
        </w:tc>
        <w:tc>
          <w:tcPr>
            <w:tcW w:w="2126" w:type="dxa"/>
            <w:vAlign w:val="center"/>
          </w:tcPr>
          <w:p w:rsidR="00AB3007" w:rsidRDefault="00EC4743">
            <w:pPr>
              <w:jc w:val="right"/>
            </w:pPr>
            <w:r>
              <w:rPr>
                <w:color w:val="000000"/>
                <w:sz w:val="24"/>
              </w:rPr>
              <w:t>193,021,000.00</w:t>
            </w:r>
          </w:p>
        </w:tc>
        <w:tc>
          <w:tcPr>
            <w:tcW w:w="990" w:type="dxa"/>
            <w:vAlign w:val="center"/>
          </w:tcPr>
          <w:p w:rsidR="00AB3007" w:rsidRDefault="00EC4743">
            <w:pPr>
              <w:jc w:val="right"/>
            </w:pPr>
            <w:r>
              <w:rPr>
                <w:color w:val="000000"/>
                <w:sz w:val="24"/>
              </w:rPr>
              <w:t>1.25</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5.6</w:t>
      </w:r>
      <w:r w:rsidRPr="0078105B">
        <w:rPr>
          <w:rFonts w:ascii="宋体" w:hAnsi="宋体" w:cs="Arial" w:hint="eastAsia"/>
          <w:b/>
          <w:color w:val="000000"/>
          <w:kern w:val="0"/>
          <w:sz w:val="24"/>
        </w:rPr>
        <w:t xml:space="preserve">　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的前十名资产支持证券投资明细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0"/>
        <w:gridCol w:w="1322"/>
        <w:gridCol w:w="1332"/>
        <w:gridCol w:w="1794"/>
        <w:gridCol w:w="1695"/>
        <w:gridCol w:w="1708"/>
      </w:tblGrid>
      <w:tr w:rsidR="00F016DD" w:rsidRPr="0078105B" w:rsidTr="00174038">
        <w:tc>
          <w:tcPr>
            <w:tcW w:w="1187"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w="132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w="1263"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w="1815"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w="1698"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w="172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rsidR="00AB3007">
        <w:tc>
          <w:tcPr>
            <w:tcW w:w="0" w:type="auto"/>
            <w:vAlign w:val="center"/>
          </w:tcPr>
          <w:p w:rsidR="00AB3007" w:rsidRDefault="00EC4743">
            <w:pPr>
              <w:jc w:val="center"/>
            </w:pPr>
            <w:r>
              <w:rPr>
                <w:color w:val="000000"/>
                <w:sz w:val="24"/>
              </w:rPr>
              <w:t>1</w:t>
            </w:r>
          </w:p>
        </w:tc>
        <w:tc>
          <w:tcPr>
            <w:tcW w:w="0" w:type="auto"/>
            <w:vAlign w:val="center"/>
          </w:tcPr>
          <w:p w:rsidR="00AB3007" w:rsidRDefault="00EC4743">
            <w:pPr>
              <w:jc w:val="center"/>
            </w:pPr>
            <w:r>
              <w:rPr>
                <w:color w:val="000000"/>
                <w:sz w:val="24"/>
              </w:rPr>
              <w:t>168184</w:t>
            </w:r>
          </w:p>
        </w:tc>
        <w:tc>
          <w:tcPr>
            <w:tcW w:w="0" w:type="auto"/>
            <w:vAlign w:val="center"/>
          </w:tcPr>
          <w:p w:rsidR="00AB3007" w:rsidRDefault="00EC4743">
            <w:pPr>
              <w:jc w:val="center"/>
            </w:pPr>
            <w:r>
              <w:rPr>
                <w:color w:val="000000"/>
                <w:sz w:val="24"/>
              </w:rPr>
              <w:t>20</w:t>
            </w:r>
            <w:r>
              <w:rPr>
                <w:color w:val="000000"/>
                <w:sz w:val="24"/>
              </w:rPr>
              <w:t>京玺</w:t>
            </w:r>
            <w:r>
              <w:rPr>
                <w:color w:val="000000"/>
                <w:sz w:val="24"/>
              </w:rPr>
              <w:t>1A</w:t>
            </w:r>
          </w:p>
        </w:tc>
        <w:tc>
          <w:tcPr>
            <w:tcW w:w="0" w:type="auto"/>
            <w:vAlign w:val="center"/>
          </w:tcPr>
          <w:p w:rsidR="00AB3007" w:rsidRDefault="00EC4743">
            <w:pPr>
              <w:jc w:val="right"/>
            </w:pPr>
            <w:r>
              <w:rPr>
                <w:color w:val="000000"/>
                <w:sz w:val="24"/>
              </w:rPr>
              <w:t>600,000</w:t>
            </w:r>
          </w:p>
        </w:tc>
        <w:tc>
          <w:tcPr>
            <w:tcW w:w="0" w:type="auto"/>
            <w:vAlign w:val="center"/>
          </w:tcPr>
          <w:p w:rsidR="00AB3007" w:rsidRDefault="00EC4743">
            <w:pPr>
              <w:jc w:val="right"/>
            </w:pPr>
            <w:r>
              <w:rPr>
                <w:color w:val="000000"/>
                <w:sz w:val="24"/>
              </w:rPr>
              <w:t>59,874,000.00</w:t>
            </w:r>
          </w:p>
        </w:tc>
        <w:tc>
          <w:tcPr>
            <w:tcW w:w="0" w:type="auto"/>
            <w:vAlign w:val="center"/>
          </w:tcPr>
          <w:p w:rsidR="00AB3007" w:rsidRDefault="00EC4743">
            <w:pPr>
              <w:jc w:val="right"/>
            </w:pPr>
            <w:r>
              <w:rPr>
                <w:color w:val="000000"/>
                <w:sz w:val="24"/>
              </w:rPr>
              <w:t>0.39</w:t>
            </w:r>
          </w:p>
        </w:tc>
      </w:tr>
      <w:tr w:rsidR="00AB3007">
        <w:tc>
          <w:tcPr>
            <w:tcW w:w="0" w:type="auto"/>
            <w:vAlign w:val="center"/>
          </w:tcPr>
          <w:p w:rsidR="00AB3007" w:rsidRDefault="00EC4743">
            <w:pPr>
              <w:jc w:val="center"/>
            </w:pPr>
            <w:r>
              <w:rPr>
                <w:color w:val="000000"/>
                <w:sz w:val="24"/>
              </w:rPr>
              <w:t>2</w:t>
            </w:r>
          </w:p>
        </w:tc>
        <w:tc>
          <w:tcPr>
            <w:tcW w:w="0" w:type="auto"/>
            <w:vAlign w:val="center"/>
          </w:tcPr>
          <w:p w:rsidR="00AB3007" w:rsidRDefault="00EC4743">
            <w:pPr>
              <w:jc w:val="center"/>
            </w:pPr>
            <w:r>
              <w:rPr>
                <w:color w:val="000000"/>
                <w:sz w:val="24"/>
              </w:rPr>
              <w:t>138404</w:t>
            </w:r>
          </w:p>
        </w:tc>
        <w:tc>
          <w:tcPr>
            <w:tcW w:w="0" w:type="auto"/>
            <w:vAlign w:val="center"/>
          </w:tcPr>
          <w:p w:rsidR="00AB3007" w:rsidRDefault="00EC4743">
            <w:pPr>
              <w:jc w:val="center"/>
            </w:pPr>
            <w:r>
              <w:rPr>
                <w:color w:val="000000"/>
                <w:sz w:val="24"/>
              </w:rPr>
              <w:t>天著优</w:t>
            </w:r>
            <w:r>
              <w:rPr>
                <w:color w:val="000000"/>
                <w:sz w:val="24"/>
              </w:rPr>
              <w:t>08</w:t>
            </w:r>
          </w:p>
        </w:tc>
        <w:tc>
          <w:tcPr>
            <w:tcW w:w="0" w:type="auto"/>
            <w:vAlign w:val="center"/>
          </w:tcPr>
          <w:p w:rsidR="00AB3007" w:rsidRDefault="00EC4743">
            <w:pPr>
              <w:jc w:val="right"/>
            </w:pPr>
            <w:r>
              <w:rPr>
                <w:color w:val="000000"/>
                <w:sz w:val="24"/>
              </w:rPr>
              <w:t>400,000</w:t>
            </w:r>
          </w:p>
        </w:tc>
        <w:tc>
          <w:tcPr>
            <w:tcW w:w="0" w:type="auto"/>
            <w:vAlign w:val="center"/>
          </w:tcPr>
          <w:p w:rsidR="00AB3007" w:rsidRDefault="00EC4743">
            <w:pPr>
              <w:jc w:val="right"/>
            </w:pPr>
            <w:r>
              <w:rPr>
                <w:color w:val="000000"/>
                <w:sz w:val="24"/>
              </w:rPr>
              <w:t>40,188,000.00</w:t>
            </w:r>
          </w:p>
        </w:tc>
        <w:tc>
          <w:tcPr>
            <w:tcW w:w="0" w:type="auto"/>
            <w:vAlign w:val="center"/>
          </w:tcPr>
          <w:p w:rsidR="00AB3007" w:rsidRDefault="00EC4743">
            <w:pPr>
              <w:jc w:val="right"/>
            </w:pPr>
            <w:r>
              <w:rPr>
                <w:color w:val="000000"/>
                <w:sz w:val="24"/>
              </w:rPr>
              <w:t>0.26</w:t>
            </w:r>
          </w:p>
        </w:tc>
      </w:tr>
      <w:tr w:rsidR="00AB3007">
        <w:tc>
          <w:tcPr>
            <w:tcW w:w="0" w:type="auto"/>
            <w:vAlign w:val="center"/>
          </w:tcPr>
          <w:p w:rsidR="00AB3007" w:rsidRDefault="00EC4743">
            <w:pPr>
              <w:jc w:val="center"/>
            </w:pPr>
            <w:r>
              <w:rPr>
                <w:color w:val="000000"/>
                <w:sz w:val="24"/>
              </w:rPr>
              <w:t>3</w:t>
            </w:r>
          </w:p>
        </w:tc>
        <w:tc>
          <w:tcPr>
            <w:tcW w:w="0" w:type="auto"/>
            <w:vAlign w:val="center"/>
          </w:tcPr>
          <w:p w:rsidR="00AB3007" w:rsidRDefault="00EC4743">
            <w:pPr>
              <w:jc w:val="center"/>
            </w:pPr>
            <w:r>
              <w:rPr>
                <w:color w:val="000000"/>
                <w:sz w:val="24"/>
              </w:rPr>
              <w:t>2089001</w:t>
            </w:r>
          </w:p>
        </w:tc>
        <w:tc>
          <w:tcPr>
            <w:tcW w:w="0" w:type="auto"/>
            <w:vAlign w:val="center"/>
          </w:tcPr>
          <w:p w:rsidR="00AB3007" w:rsidRDefault="00EC4743">
            <w:pPr>
              <w:jc w:val="center"/>
            </w:pPr>
            <w:r>
              <w:rPr>
                <w:color w:val="000000"/>
                <w:sz w:val="24"/>
              </w:rPr>
              <w:t>20</w:t>
            </w:r>
            <w:r>
              <w:rPr>
                <w:color w:val="000000"/>
                <w:sz w:val="24"/>
              </w:rPr>
              <w:t>捷赢</w:t>
            </w:r>
            <w:r>
              <w:rPr>
                <w:color w:val="000000"/>
                <w:sz w:val="24"/>
              </w:rPr>
              <w:t>1A</w:t>
            </w:r>
          </w:p>
        </w:tc>
        <w:tc>
          <w:tcPr>
            <w:tcW w:w="0" w:type="auto"/>
            <w:vAlign w:val="center"/>
          </w:tcPr>
          <w:p w:rsidR="00AB3007" w:rsidRDefault="00EC4743">
            <w:pPr>
              <w:jc w:val="right"/>
            </w:pPr>
            <w:r>
              <w:rPr>
                <w:color w:val="000000"/>
                <w:sz w:val="24"/>
              </w:rPr>
              <w:t>400,000</w:t>
            </w:r>
          </w:p>
        </w:tc>
        <w:tc>
          <w:tcPr>
            <w:tcW w:w="0" w:type="auto"/>
            <w:vAlign w:val="center"/>
          </w:tcPr>
          <w:p w:rsidR="00AB3007" w:rsidRDefault="00EC4743">
            <w:pPr>
              <w:jc w:val="right"/>
            </w:pPr>
            <w:r>
              <w:rPr>
                <w:color w:val="000000"/>
                <w:sz w:val="24"/>
              </w:rPr>
              <w:t>40,064,000.00</w:t>
            </w:r>
          </w:p>
        </w:tc>
        <w:tc>
          <w:tcPr>
            <w:tcW w:w="0" w:type="auto"/>
            <w:vAlign w:val="center"/>
          </w:tcPr>
          <w:p w:rsidR="00AB3007" w:rsidRDefault="00EC4743">
            <w:pPr>
              <w:jc w:val="right"/>
            </w:pPr>
            <w:r>
              <w:rPr>
                <w:color w:val="000000"/>
                <w:sz w:val="24"/>
              </w:rPr>
              <w:t>0.26</w:t>
            </w:r>
          </w:p>
        </w:tc>
      </w:tr>
      <w:tr w:rsidR="00AB3007">
        <w:tc>
          <w:tcPr>
            <w:tcW w:w="0" w:type="auto"/>
            <w:vAlign w:val="center"/>
          </w:tcPr>
          <w:p w:rsidR="00AB3007" w:rsidRDefault="00EC4743">
            <w:pPr>
              <w:jc w:val="center"/>
            </w:pPr>
            <w:r>
              <w:rPr>
                <w:color w:val="000000"/>
                <w:sz w:val="24"/>
              </w:rPr>
              <w:t>4</w:t>
            </w:r>
          </w:p>
        </w:tc>
        <w:tc>
          <w:tcPr>
            <w:tcW w:w="0" w:type="auto"/>
            <w:vAlign w:val="center"/>
          </w:tcPr>
          <w:p w:rsidR="00AB3007" w:rsidRDefault="00EC4743">
            <w:pPr>
              <w:jc w:val="center"/>
            </w:pPr>
            <w:r>
              <w:rPr>
                <w:color w:val="000000"/>
                <w:sz w:val="24"/>
              </w:rPr>
              <w:t>168481</w:t>
            </w:r>
          </w:p>
        </w:tc>
        <w:tc>
          <w:tcPr>
            <w:tcW w:w="0" w:type="auto"/>
            <w:vAlign w:val="center"/>
          </w:tcPr>
          <w:p w:rsidR="00AB3007" w:rsidRDefault="00EC4743">
            <w:pPr>
              <w:jc w:val="center"/>
            </w:pPr>
            <w:r>
              <w:rPr>
                <w:color w:val="000000"/>
                <w:sz w:val="24"/>
              </w:rPr>
              <w:t>20</w:t>
            </w:r>
            <w:r>
              <w:rPr>
                <w:color w:val="000000"/>
                <w:sz w:val="24"/>
              </w:rPr>
              <w:t>致远优</w:t>
            </w:r>
          </w:p>
        </w:tc>
        <w:tc>
          <w:tcPr>
            <w:tcW w:w="0" w:type="auto"/>
            <w:vAlign w:val="center"/>
          </w:tcPr>
          <w:p w:rsidR="00AB3007" w:rsidRDefault="00EC4743">
            <w:pPr>
              <w:jc w:val="right"/>
            </w:pPr>
            <w:r>
              <w:rPr>
                <w:color w:val="000000"/>
                <w:sz w:val="24"/>
              </w:rPr>
              <w:t>170,000</w:t>
            </w:r>
          </w:p>
        </w:tc>
        <w:tc>
          <w:tcPr>
            <w:tcW w:w="0" w:type="auto"/>
            <w:vAlign w:val="center"/>
          </w:tcPr>
          <w:p w:rsidR="00AB3007" w:rsidRDefault="00EC4743">
            <w:pPr>
              <w:jc w:val="right"/>
            </w:pPr>
            <w:r>
              <w:rPr>
                <w:color w:val="000000"/>
                <w:sz w:val="24"/>
              </w:rPr>
              <w:t>16,838,500.00</w:t>
            </w:r>
          </w:p>
        </w:tc>
        <w:tc>
          <w:tcPr>
            <w:tcW w:w="0" w:type="auto"/>
            <w:vAlign w:val="center"/>
          </w:tcPr>
          <w:p w:rsidR="00AB3007" w:rsidRDefault="00EC4743">
            <w:pPr>
              <w:jc w:val="right"/>
            </w:pPr>
            <w:r>
              <w:rPr>
                <w:color w:val="000000"/>
                <w:sz w:val="24"/>
              </w:rPr>
              <w:t>0.11</w:t>
            </w:r>
          </w:p>
        </w:tc>
      </w:tr>
      <w:tr w:rsidR="00AB3007">
        <w:tc>
          <w:tcPr>
            <w:tcW w:w="0" w:type="auto"/>
            <w:vAlign w:val="center"/>
          </w:tcPr>
          <w:p w:rsidR="00AB3007" w:rsidRDefault="00EC4743">
            <w:pPr>
              <w:jc w:val="center"/>
            </w:pPr>
            <w:r>
              <w:rPr>
                <w:color w:val="000000"/>
                <w:sz w:val="24"/>
              </w:rPr>
              <w:t>5</w:t>
            </w:r>
          </w:p>
        </w:tc>
        <w:tc>
          <w:tcPr>
            <w:tcW w:w="0" w:type="auto"/>
            <w:vAlign w:val="center"/>
          </w:tcPr>
          <w:p w:rsidR="00AB3007" w:rsidRDefault="00EC4743">
            <w:pPr>
              <w:jc w:val="center"/>
            </w:pPr>
            <w:r>
              <w:rPr>
                <w:color w:val="000000"/>
                <w:sz w:val="24"/>
              </w:rPr>
              <w:t>165717</w:t>
            </w:r>
          </w:p>
        </w:tc>
        <w:tc>
          <w:tcPr>
            <w:tcW w:w="0" w:type="auto"/>
            <w:vAlign w:val="center"/>
          </w:tcPr>
          <w:p w:rsidR="00AB3007" w:rsidRDefault="00EC4743">
            <w:pPr>
              <w:jc w:val="center"/>
            </w:pPr>
            <w:r>
              <w:rPr>
                <w:color w:val="000000"/>
                <w:sz w:val="24"/>
              </w:rPr>
              <w:t>20</w:t>
            </w:r>
            <w:r>
              <w:rPr>
                <w:color w:val="000000"/>
                <w:sz w:val="24"/>
              </w:rPr>
              <w:t>六局</w:t>
            </w:r>
            <w:r>
              <w:rPr>
                <w:color w:val="000000"/>
                <w:sz w:val="24"/>
              </w:rPr>
              <w:t>2A</w:t>
            </w:r>
          </w:p>
        </w:tc>
        <w:tc>
          <w:tcPr>
            <w:tcW w:w="0" w:type="auto"/>
            <w:vAlign w:val="center"/>
          </w:tcPr>
          <w:p w:rsidR="00AB3007" w:rsidRDefault="00EC4743">
            <w:pPr>
              <w:jc w:val="right"/>
            </w:pPr>
            <w:r>
              <w:rPr>
                <w:color w:val="000000"/>
                <w:sz w:val="24"/>
              </w:rPr>
              <w:t>100,000</w:t>
            </w:r>
          </w:p>
        </w:tc>
        <w:tc>
          <w:tcPr>
            <w:tcW w:w="0" w:type="auto"/>
            <w:vAlign w:val="center"/>
          </w:tcPr>
          <w:p w:rsidR="00AB3007" w:rsidRDefault="00EC4743">
            <w:pPr>
              <w:jc w:val="right"/>
            </w:pPr>
            <w:r>
              <w:rPr>
                <w:color w:val="000000"/>
                <w:sz w:val="24"/>
              </w:rPr>
              <w:t>10,050,000.00</w:t>
            </w:r>
          </w:p>
        </w:tc>
        <w:tc>
          <w:tcPr>
            <w:tcW w:w="0" w:type="auto"/>
            <w:vAlign w:val="center"/>
          </w:tcPr>
          <w:p w:rsidR="00AB3007" w:rsidRDefault="00EC4743">
            <w:pPr>
              <w:jc w:val="right"/>
            </w:pPr>
            <w:r>
              <w:rPr>
                <w:color w:val="000000"/>
                <w:sz w:val="24"/>
              </w:rPr>
              <w:t>0.07</w:t>
            </w:r>
          </w:p>
        </w:tc>
      </w:tr>
      <w:tr w:rsidR="00AB3007">
        <w:tc>
          <w:tcPr>
            <w:tcW w:w="0" w:type="auto"/>
            <w:vAlign w:val="center"/>
          </w:tcPr>
          <w:p w:rsidR="00AB3007" w:rsidRDefault="00EC4743">
            <w:pPr>
              <w:jc w:val="center"/>
            </w:pPr>
            <w:r>
              <w:rPr>
                <w:color w:val="000000"/>
                <w:sz w:val="24"/>
              </w:rPr>
              <w:t>6</w:t>
            </w:r>
          </w:p>
        </w:tc>
        <w:tc>
          <w:tcPr>
            <w:tcW w:w="0" w:type="auto"/>
            <w:vAlign w:val="center"/>
          </w:tcPr>
          <w:p w:rsidR="00AB3007" w:rsidRDefault="00EC4743">
            <w:pPr>
              <w:jc w:val="center"/>
            </w:pPr>
            <w:r>
              <w:rPr>
                <w:color w:val="000000"/>
                <w:sz w:val="24"/>
              </w:rPr>
              <w:t>138465</w:t>
            </w:r>
          </w:p>
        </w:tc>
        <w:tc>
          <w:tcPr>
            <w:tcW w:w="0" w:type="auto"/>
            <w:vAlign w:val="center"/>
          </w:tcPr>
          <w:p w:rsidR="00AB3007" w:rsidRDefault="00EC4743">
            <w:pPr>
              <w:jc w:val="center"/>
            </w:pPr>
            <w:r>
              <w:rPr>
                <w:color w:val="000000"/>
                <w:sz w:val="24"/>
              </w:rPr>
              <w:t>联易融</w:t>
            </w:r>
            <w:r>
              <w:rPr>
                <w:color w:val="000000"/>
                <w:sz w:val="24"/>
              </w:rPr>
              <w:t>19</w:t>
            </w:r>
          </w:p>
        </w:tc>
        <w:tc>
          <w:tcPr>
            <w:tcW w:w="0" w:type="auto"/>
            <w:vAlign w:val="center"/>
          </w:tcPr>
          <w:p w:rsidR="00AB3007" w:rsidRDefault="00EC4743">
            <w:pPr>
              <w:jc w:val="right"/>
            </w:pPr>
            <w:r>
              <w:rPr>
                <w:color w:val="000000"/>
                <w:sz w:val="24"/>
              </w:rPr>
              <w:t>100,000</w:t>
            </w:r>
          </w:p>
        </w:tc>
        <w:tc>
          <w:tcPr>
            <w:tcW w:w="0" w:type="auto"/>
            <w:vAlign w:val="center"/>
          </w:tcPr>
          <w:p w:rsidR="00AB3007" w:rsidRDefault="00EC4743">
            <w:pPr>
              <w:jc w:val="right"/>
            </w:pPr>
            <w:r>
              <w:rPr>
                <w:color w:val="000000"/>
                <w:sz w:val="24"/>
              </w:rPr>
              <w:t>10,022,000.00</w:t>
            </w:r>
          </w:p>
        </w:tc>
        <w:tc>
          <w:tcPr>
            <w:tcW w:w="0" w:type="auto"/>
            <w:vAlign w:val="center"/>
          </w:tcPr>
          <w:p w:rsidR="00AB3007" w:rsidRDefault="00EC4743">
            <w:pPr>
              <w:jc w:val="right"/>
            </w:pPr>
            <w:r>
              <w:rPr>
                <w:color w:val="000000"/>
                <w:sz w:val="24"/>
              </w:rPr>
              <w:t>0.06</w:t>
            </w:r>
          </w:p>
        </w:tc>
      </w:tr>
      <w:tr w:rsidR="00AB3007">
        <w:tc>
          <w:tcPr>
            <w:tcW w:w="0" w:type="auto"/>
            <w:vAlign w:val="center"/>
          </w:tcPr>
          <w:p w:rsidR="00AB3007" w:rsidRDefault="00EC4743">
            <w:pPr>
              <w:jc w:val="center"/>
            </w:pPr>
            <w:r>
              <w:rPr>
                <w:color w:val="000000"/>
                <w:sz w:val="24"/>
              </w:rPr>
              <w:t>6</w:t>
            </w:r>
          </w:p>
        </w:tc>
        <w:tc>
          <w:tcPr>
            <w:tcW w:w="0" w:type="auto"/>
            <w:vAlign w:val="center"/>
          </w:tcPr>
          <w:p w:rsidR="00AB3007" w:rsidRDefault="00EC4743">
            <w:pPr>
              <w:jc w:val="center"/>
            </w:pPr>
            <w:r>
              <w:rPr>
                <w:color w:val="000000"/>
                <w:sz w:val="24"/>
              </w:rPr>
              <w:t>2089002</w:t>
            </w:r>
          </w:p>
        </w:tc>
        <w:tc>
          <w:tcPr>
            <w:tcW w:w="0" w:type="auto"/>
            <w:vAlign w:val="center"/>
          </w:tcPr>
          <w:p w:rsidR="00AB3007" w:rsidRDefault="00EC4743">
            <w:pPr>
              <w:jc w:val="center"/>
            </w:pPr>
            <w:r>
              <w:rPr>
                <w:color w:val="000000"/>
                <w:sz w:val="24"/>
              </w:rPr>
              <w:t>20</w:t>
            </w:r>
            <w:r>
              <w:rPr>
                <w:color w:val="000000"/>
                <w:sz w:val="24"/>
              </w:rPr>
              <w:t>捷赢</w:t>
            </w:r>
            <w:r>
              <w:rPr>
                <w:color w:val="000000"/>
                <w:sz w:val="24"/>
              </w:rPr>
              <w:t>1B</w:t>
            </w:r>
          </w:p>
        </w:tc>
        <w:tc>
          <w:tcPr>
            <w:tcW w:w="0" w:type="auto"/>
            <w:vAlign w:val="center"/>
          </w:tcPr>
          <w:p w:rsidR="00AB3007" w:rsidRDefault="00EC4743">
            <w:pPr>
              <w:jc w:val="right"/>
            </w:pPr>
            <w:r>
              <w:rPr>
                <w:color w:val="000000"/>
                <w:sz w:val="24"/>
              </w:rPr>
              <w:t>100,000</w:t>
            </w:r>
          </w:p>
        </w:tc>
        <w:tc>
          <w:tcPr>
            <w:tcW w:w="0" w:type="auto"/>
            <w:vAlign w:val="center"/>
          </w:tcPr>
          <w:p w:rsidR="00AB3007" w:rsidRDefault="00EC4743">
            <w:pPr>
              <w:jc w:val="right"/>
            </w:pPr>
            <w:r>
              <w:rPr>
                <w:color w:val="000000"/>
                <w:sz w:val="24"/>
              </w:rPr>
              <w:t>10,022,000.00</w:t>
            </w:r>
          </w:p>
        </w:tc>
        <w:tc>
          <w:tcPr>
            <w:tcW w:w="0" w:type="auto"/>
            <w:vAlign w:val="center"/>
          </w:tcPr>
          <w:p w:rsidR="00AB3007" w:rsidRDefault="00EC4743">
            <w:pPr>
              <w:jc w:val="right"/>
            </w:pPr>
            <w:r>
              <w:rPr>
                <w:color w:val="000000"/>
                <w:sz w:val="24"/>
              </w:rPr>
              <w:t>0.06</w:t>
            </w:r>
          </w:p>
        </w:tc>
      </w:tr>
      <w:tr w:rsidR="00AB3007">
        <w:tc>
          <w:tcPr>
            <w:tcW w:w="0" w:type="auto"/>
            <w:vAlign w:val="center"/>
          </w:tcPr>
          <w:p w:rsidR="00AB3007" w:rsidRDefault="00EC4743">
            <w:pPr>
              <w:jc w:val="center"/>
            </w:pPr>
            <w:r>
              <w:rPr>
                <w:color w:val="000000"/>
                <w:sz w:val="24"/>
              </w:rPr>
              <w:t>8</w:t>
            </w:r>
          </w:p>
        </w:tc>
        <w:tc>
          <w:tcPr>
            <w:tcW w:w="0" w:type="auto"/>
            <w:vAlign w:val="center"/>
          </w:tcPr>
          <w:p w:rsidR="00AB3007" w:rsidRDefault="00EC4743">
            <w:pPr>
              <w:jc w:val="center"/>
            </w:pPr>
            <w:r>
              <w:rPr>
                <w:color w:val="000000"/>
                <w:sz w:val="24"/>
              </w:rPr>
              <w:t>138473</w:t>
            </w:r>
          </w:p>
        </w:tc>
        <w:tc>
          <w:tcPr>
            <w:tcW w:w="0" w:type="auto"/>
            <w:vAlign w:val="center"/>
          </w:tcPr>
          <w:p w:rsidR="00AB3007" w:rsidRDefault="00EC4743">
            <w:pPr>
              <w:jc w:val="center"/>
            </w:pPr>
            <w:r>
              <w:rPr>
                <w:color w:val="000000"/>
                <w:sz w:val="24"/>
              </w:rPr>
              <w:t>南链优</w:t>
            </w:r>
            <w:r>
              <w:rPr>
                <w:color w:val="000000"/>
                <w:sz w:val="24"/>
              </w:rPr>
              <w:t>05</w:t>
            </w:r>
          </w:p>
        </w:tc>
        <w:tc>
          <w:tcPr>
            <w:tcW w:w="0" w:type="auto"/>
            <w:vAlign w:val="center"/>
          </w:tcPr>
          <w:p w:rsidR="00AB3007" w:rsidRDefault="00EC4743">
            <w:pPr>
              <w:jc w:val="right"/>
            </w:pPr>
            <w:r>
              <w:rPr>
                <w:color w:val="000000"/>
                <w:sz w:val="24"/>
              </w:rPr>
              <w:t>100,000</w:t>
            </w:r>
          </w:p>
        </w:tc>
        <w:tc>
          <w:tcPr>
            <w:tcW w:w="0" w:type="auto"/>
            <w:vAlign w:val="center"/>
          </w:tcPr>
          <w:p w:rsidR="00AB3007" w:rsidRDefault="00EC4743">
            <w:pPr>
              <w:jc w:val="right"/>
            </w:pPr>
            <w:r>
              <w:rPr>
                <w:color w:val="000000"/>
                <w:sz w:val="24"/>
              </w:rPr>
              <w:t>10,018,000.00</w:t>
            </w:r>
          </w:p>
        </w:tc>
        <w:tc>
          <w:tcPr>
            <w:tcW w:w="0" w:type="auto"/>
            <w:vAlign w:val="center"/>
          </w:tcPr>
          <w:p w:rsidR="00AB3007" w:rsidRDefault="00EC4743">
            <w:pPr>
              <w:jc w:val="right"/>
            </w:pPr>
            <w:r>
              <w:rPr>
                <w:color w:val="000000"/>
                <w:sz w:val="24"/>
              </w:rPr>
              <w:t>0.06</w:t>
            </w:r>
          </w:p>
        </w:tc>
      </w:tr>
      <w:tr w:rsidR="00AB3007">
        <w:tc>
          <w:tcPr>
            <w:tcW w:w="0" w:type="auto"/>
            <w:vAlign w:val="center"/>
          </w:tcPr>
          <w:p w:rsidR="00AB3007" w:rsidRDefault="00EC4743">
            <w:pPr>
              <w:jc w:val="center"/>
            </w:pPr>
            <w:r>
              <w:rPr>
                <w:color w:val="000000"/>
                <w:sz w:val="24"/>
              </w:rPr>
              <w:t>9</w:t>
            </w:r>
          </w:p>
        </w:tc>
        <w:tc>
          <w:tcPr>
            <w:tcW w:w="0" w:type="auto"/>
            <w:vAlign w:val="center"/>
          </w:tcPr>
          <w:p w:rsidR="00AB3007" w:rsidRDefault="00EC4743">
            <w:pPr>
              <w:jc w:val="center"/>
            </w:pPr>
            <w:r>
              <w:rPr>
                <w:color w:val="000000"/>
                <w:sz w:val="24"/>
              </w:rPr>
              <w:t>138470</w:t>
            </w:r>
          </w:p>
        </w:tc>
        <w:tc>
          <w:tcPr>
            <w:tcW w:w="0" w:type="auto"/>
            <w:vAlign w:val="center"/>
          </w:tcPr>
          <w:p w:rsidR="00AB3007" w:rsidRDefault="00EC4743">
            <w:pPr>
              <w:jc w:val="center"/>
            </w:pPr>
            <w:r>
              <w:rPr>
                <w:color w:val="000000"/>
                <w:sz w:val="24"/>
              </w:rPr>
              <w:t>鹏举</w:t>
            </w:r>
            <w:r>
              <w:rPr>
                <w:color w:val="000000"/>
                <w:sz w:val="24"/>
              </w:rPr>
              <w:t>04</w:t>
            </w:r>
            <w:r>
              <w:rPr>
                <w:color w:val="000000"/>
                <w:sz w:val="24"/>
              </w:rPr>
              <w:t>优</w:t>
            </w:r>
          </w:p>
        </w:tc>
        <w:tc>
          <w:tcPr>
            <w:tcW w:w="0" w:type="auto"/>
            <w:vAlign w:val="center"/>
          </w:tcPr>
          <w:p w:rsidR="00AB3007" w:rsidRDefault="00EC4743">
            <w:pPr>
              <w:jc w:val="right"/>
            </w:pPr>
            <w:r>
              <w:rPr>
                <w:color w:val="000000"/>
                <w:sz w:val="24"/>
              </w:rPr>
              <w:t>100,000</w:t>
            </w:r>
          </w:p>
        </w:tc>
        <w:tc>
          <w:tcPr>
            <w:tcW w:w="0" w:type="auto"/>
            <w:vAlign w:val="center"/>
          </w:tcPr>
          <w:p w:rsidR="00AB3007" w:rsidRDefault="00EC4743">
            <w:pPr>
              <w:jc w:val="right"/>
            </w:pPr>
            <w:r>
              <w:rPr>
                <w:color w:val="000000"/>
                <w:sz w:val="24"/>
              </w:rPr>
              <w:t>10,016,000.00</w:t>
            </w:r>
          </w:p>
        </w:tc>
        <w:tc>
          <w:tcPr>
            <w:tcW w:w="0" w:type="auto"/>
            <w:vAlign w:val="center"/>
          </w:tcPr>
          <w:p w:rsidR="00AB3007" w:rsidRDefault="00EC4743">
            <w:pPr>
              <w:jc w:val="right"/>
            </w:pPr>
            <w:r>
              <w:rPr>
                <w:color w:val="000000"/>
                <w:sz w:val="24"/>
              </w:rPr>
              <w:t>0.06</w:t>
            </w:r>
          </w:p>
        </w:tc>
      </w:tr>
      <w:tr w:rsidR="00AB3007">
        <w:tc>
          <w:tcPr>
            <w:tcW w:w="0" w:type="auto"/>
            <w:vAlign w:val="center"/>
          </w:tcPr>
          <w:p w:rsidR="00AB3007" w:rsidRDefault="00EC4743">
            <w:pPr>
              <w:jc w:val="center"/>
            </w:pPr>
            <w:r>
              <w:rPr>
                <w:color w:val="000000"/>
                <w:sz w:val="24"/>
              </w:rPr>
              <w:t>10</w:t>
            </w:r>
          </w:p>
        </w:tc>
        <w:tc>
          <w:tcPr>
            <w:tcW w:w="0" w:type="auto"/>
            <w:vAlign w:val="center"/>
          </w:tcPr>
          <w:p w:rsidR="00AB3007" w:rsidRDefault="00EC4743">
            <w:pPr>
              <w:jc w:val="center"/>
            </w:pPr>
            <w:r>
              <w:rPr>
                <w:color w:val="000000"/>
                <w:sz w:val="24"/>
              </w:rPr>
              <w:t>165755</w:t>
            </w:r>
          </w:p>
        </w:tc>
        <w:tc>
          <w:tcPr>
            <w:tcW w:w="0" w:type="auto"/>
            <w:vAlign w:val="center"/>
          </w:tcPr>
          <w:p w:rsidR="00AB3007" w:rsidRDefault="00EC4743">
            <w:pPr>
              <w:jc w:val="center"/>
            </w:pPr>
            <w:r>
              <w:rPr>
                <w:color w:val="000000"/>
                <w:sz w:val="24"/>
              </w:rPr>
              <w:t>聚盈</w:t>
            </w:r>
            <w:r>
              <w:rPr>
                <w:color w:val="000000"/>
                <w:sz w:val="24"/>
              </w:rPr>
              <w:t>05A</w:t>
            </w:r>
          </w:p>
        </w:tc>
        <w:tc>
          <w:tcPr>
            <w:tcW w:w="0" w:type="auto"/>
            <w:vAlign w:val="center"/>
          </w:tcPr>
          <w:p w:rsidR="00AB3007" w:rsidRDefault="00EC4743">
            <w:pPr>
              <w:jc w:val="right"/>
            </w:pPr>
            <w:r>
              <w:rPr>
                <w:color w:val="000000"/>
                <w:sz w:val="24"/>
              </w:rPr>
              <w:t>100,000</w:t>
            </w:r>
          </w:p>
        </w:tc>
        <w:tc>
          <w:tcPr>
            <w:tcW w:w="0" w:type="auto"/>
            <w:vAlign w:val="center"/>
          </w:tcPr>
          <w:p w:rsidR="00AB3007" w:rsidRDefault="00EC4743">
            <w:pPr>
              <w:jc w:val="right"/>
            </w:pPr>
            <w:r>
              <w:rPr>
                <w:color w:val="000000"/>
                <w:sz w:val="24"/>
              </w:rPr>
              <w:t>10,014,000.00</w:t>
            </w:r>
          </w:p>
        </w:tc>
        <w:tc>
          <w:tcPr>
            <w:tcW w:w="0" w:type="auto"/>
            <w:vAlign w:val="center"/>
          </w:tcPr>
          <w:p w:rsidR="00AB3007" w:rsidRDefault="00EC4743">
            <w:pPr>
              <w:jc w:val="right"/>
            </w:pPr>
            <w:r>
              <w:rPr>
                <w:color w:val="000000"/>
                <w:sz w:val="24"/>
              </w:rPr>
              <w:t>0.06</w:t>
            </w:r>
          </w:p>
        </w:tc>
      </w:tr>
    </w:tbl>
    <w:p w:rsidR="00F016DD" w:rsidRPr="001D63BB" w:rsidRDefault="00F016DD" w:rsidP="006D462B">
      <w:pPr>
        <w:autoSpaceDE w:val="0"/>
        <w:autoSpaceDN w:val="0"/>
        <w:adjustRightInd w:val="0"/>
        <w:spacing w:line="360" w:lineRule="auto"/>
        <w:jc w:val="left"/>
        <w:rPr>
          <w:rFonts w:ascii="宋体"/>
          <w:b/>
          <w:bCs/>
          <w:color w:val="000000"/>
          <w:kern w:val="0"/>
          <w:sz w:val="24"/>
        </w:rPr>
      </w:pPr>
      <w:r w:rsidRPr="001B0A62">
        <w:rPr>
          <w:rFonts w:ascii="宋体" w:hAnsi="宋体"/>
          <w:b/>
          <w:bCs/>
          <w:color w:val="000000"/>
          <w:kern w:val="0"/>
          <w:sz w:val="24"/>
        </w:rPr>
        <w:t>5.</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本基金本报告期末未持有贵金属。</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Pr>
          <w:rFonts w:ascii="宋体" w:hAnsi="宋体" w:cs="Arial"/>
          <w:b/>
          <w:color w:val="000000"/>
          <w:kern w:val="0"/>
          <w:sz w:val="24"/>
        </w:rPr>
        <w:t>5</w:t>
      </w:r>
      <w:r w:rsidRPr="0078105B">
        <w:rPr>
          <w:rFonts w:ascii="宋体" w:cs="Arial"/>
          <w:b/>
          <w:color w:val="000000"/>
          <w:kern w:val="0"/>
          <w:sz w:val="24"/>
        </w:rPr>
        <w:t>.</w:t>
      </w:r>
      <w:r>
        <w:rPr>
          <w:rFonts w:ascii="宋体" w:hAnsi="宋体" w:cs="Arial"/>
          <w:b/>
          <w:color w:val="000000"/>
          <w:kern w:val="0"/>
          <w:sz w:val="24"/>
        </w:rPr>
        <w:t>8</w:t>
      </w:r>
      <w:r w:rsidRPr="0078105B">
        <w:rPr>
          <w:rFonts w:ascii="宋体" w:hAnsi="宋体" w:cs="Arial" w:hint="eastAsia"/>
          <w:b/>
          <w:color w:val="000000"/>
          <w:kern w:val="0"/>
          <w:sz w:val="24"/>
        </w:rPr>
        <w:t>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的前五名权证投资明细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本基金本报告期末未持有权证。</w:t>
      </w:r>
    </w:p>
    <w:p w:rsidR="00F016DD" w:rsidRPr="00E85E29" w:rsidRDefault="00F016DD" w:rsidP="001D5CD0">
      <w:pPr>
        <w:adjustRightInd w:val="0"/>
        <w:snapToGrid w:val="0"/>
        <w:spacing w:line="360" w:lineRule="auto"/>
        <w:rPr>
          <w:rFonts w:ascii="宋体"/>
          <w:b/>
          <w:sz w:val="24"/>
        </w:rPr>
      </w:pPr>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R="001F60E9" w:rsidRDefault="001F60E9" w:rsidP="001F60E9">
      <w:pPr>
        <w:spacing w:line="360" w:lineRule="auto"/>
        <w:ind w:firstLineChars="200" w:firstLine="480"/>
        <w:rPr>
          <w:rFonts w:eastAsiaTheme="minorEastAsia"/>
          <w:color w:val="000000" w:themeColor="text1"/>
          <w:sz w:val="24"/>
        </w:rPr>
      </w:pPr>
      <w:r>
        <w:rPr>
          <w:rFonts w:eastAsiaTheme="minorEastAsia"/>
          <w:color w:val="000000" w:themeColor="text1"/>
          <w:sz w:val="24"/>
        </w:rPr>
        <w:t>本基金本报告期末未投资股指期货。</w:t>
      </w:r>
    </w:p>
    <w:p w:rsidR="00F016DD" w:rsidRPr="00E85E29" w:rsidRDefault="00F016DD" w:rsidP="001D5CD0">
      <w:pPr>
        <w:adjustRightInd w:val="0"/>
        <w:snapToGrid w:val="0"/>
        <w:spacing w:line="360" w:lineRule="auto"/>
        <w:rPr>
          <w:rFonts w:ascii="宋体"/>
          <w:b/>
          <w:sz w:val="24"/>
        </w:rPr>
      </w:pPr>
      <w:r w:rsidRPr="00E85E29">
        <w:rPr>
          <w:rFonts w:ascii="宋体" w:hAnsi="宋体"/>
          <w:b/>
          <w:sz w:val="24"/>
        </w:rPr>
        <w:t>5.10</w:t>
      </w:r>
      <w:r w:rsidRPr="00E85E29">
        <w:rPr>
          <w:rFonts w:ascii="宋体" w:hAnsi="宋体" w:hint="eastAsia"/>
          <w:b/>
          <w:sz w:val="24"/>
        </w:rPr>
        <w:t>报告期末本基金投资的国债期货交易情况说明</w:t>
      </w:r>
    </w:p>
    <w:p w:rsidR="00B249C0" w:rsidRDefault="00B249C0" w:rsidP="00B249C0">
      <w:pPr>
        <w:spacing w:line="360" w:lineRule="auto"/>
        <w:ind w:firstLineChars="200" w:firstLine="480"/>
      </w:pPr>
      <w:r>
        <w:rPr>
          <w:color w:val="000000"/>
          <w:sz w:val="24"/>
        </w:rPr>
        <w:t>本基金本报告期末未投资国债期货。</w:t>
      </w:r>
    </w:p>
    <w:p w:rsidR="00F016DD" w:rsidRPr="00E85E29" w:rsidRDefault="00F016DD" w:rsidP="001D5CD0">
      <w:pPr>
        <w:autoSpaceDE w:val="0"/>
        <w:autoSpaceDN w:val="0"/>
        <w:adjustRightInd w:val="0"/>
        <w:spacing w:line="360" w:lineRule="auto"/>
        <w:jc w:val="left"/>
        <w:rPr>
          <w:rFonts w:ascii="宋体" w:cs="Arial"/>
          <w:b/>
          <w:kern w:val="0"/>
          <w:sz w:val="24"/>
        </w:rPr>
      </w:pPr>
      <w:r w:rsidRPr="00E85E29">
        <w:rPr>
          <w:rFonts w:ascii="宋体" w:hAnsi="宋体" w:cs="Arial"/>
          <w:b/>
          <w:kern w:val="0"/>
          <w:sz w:val="24"/>
        </w:rPr>
        <w:t>5.11</w:t>
      </w:r>
      <w:r w:rsidRPr="00E85E29">
        <w:rPr>
          <w:rFonts w:ascii="宋体" w:hAnsi="宋体" w:cs="Arial" w:hint="eastAsia"/>
          <w:b/>
          <w:kern w:val="0"/>
          <w:sz w:val="24"/>
        </w:rPr>
        <w:t>投资组合报告附注</w:t>
      </w:r>
    </w:p>
    <w:p w:rsidR="00F016DD" w:rsidRPr="00414367" w:rsidRDefault="00F016DD" w:rsidP="006456D3">
      <w:pPr>
        <w:widowControl/>
        <w:spacing w:line="360" w:lineRule="auto"/>
        <w:rPr>
          <w:color w:val="000000"/>
          <w:sz w:val="24"/>
        </w:rPr>
      </w:pPr>
      <w:r w:rsidRPr="00414367">
        <w:rPr>
          <w:color w:val="000000"/>
          <w:sz w:val="24"/>
        </w:rPr>
        <w:lastRenderedPageBreak/>
        <w:t>5.11.1</w:t>
      </w:r>
      <w:r w:rsidR="00293065">
        <w:rPr>
          <w:rFonts w:hint="eastAsia"/>
          <w:color w:val="000000"/>
          <w:sz w:val="24"/>
        </w:rPr>
        <w:t xml:space="preserve"> </w:t>
      </w:r>
      <w:r w:rsidRPr="00414367">
        <w:rPr>
          <w:color w:val="000000"/>
          <w:sz w:val="24"/>
        </w:rPr>
        <w:t>2019</w:t>
      </w:r>
      <w:r w:rsidRPr="00414367">
        <w:rPr>
          <w:color w:val="000000"/>
          <w:sz w:val="24"/>
        </w:rPr>
        <w:t>年</w:t>
      </w:r>
      <w:r w:rsidRPr="00414367">
        <w:rPr>
          <w:color w:val="000000"/>
          <w:sz w:val="24"/>
        </w:rPr>
        <w:t>8</w:t>
      </w:r>
      <w:r w:rsidRPr="00414367">
        <w:rPr>
          <w:color w:val="000000"/>
          <w:sz w:val="24"/>
        </w:rPr>
        <w:t>月</w:t>
      </w:r>
      <w:r w:rsidRPr="00414367">
        <w:rPr>
          <w:color w:val="000000"/>
          <w:sz w:val="24"/>
        </w:rPr>
        <w:t>12</w:t>
      </w:r>
      <w:r w:rsidRPr="00414367">
        <w:rPr>
          <w:color w:val="000000"/>
          <w:sz w:val="24"/>
        </w:rPr>
        <w:t>日，北京市住房和城乡建设委员会依据《建设工程质量管理条例》第六十二条第一款，对北京建工集团有限责任公司</w:t>
      </w:r>
      <w:r w:rsidRPr="00414367">
        <w:rPr>
          <w:color w:val="000000"/>
          <w:sz w:val="24"/>
        </w:rPr>
        <w:t>“</w:t>
      </w:r>
      <w:r w:rsidRPr="00414367">
        <w:rPr>
          <w:color w:val="000000"/>
          <w:sz w:val="24"/>
        </w:rPr>
        <w:t>承包单位将承包的工程转包或者违法分包</w:t>
      </w:r>
      <w:r w:rsidRPr="00414367">
        <w:rPr>
          <w:color w:val="000000"/>
          <w:sz w:val="24"/>
        </w:rPr>
        <w:t>”</w:t>
      </w:r>
      <w:r w:rsidRPr="00414367">
        <w:rPr>
          <w:color w:val="000000"/>
          <w:sz w:val="24"/>
        </w:rPr>
        <w:t>的行为作出</w:t>
      </w:r>
      <w:r w:rsidRPr="00414367">
        <w:rPr>
          <w:color w:val="000000"/>
          <w:sz w:val="24"/>
        </w:rPr>
        <w:t>“</w:t>
      </w:r>
      <w:r w:rsidRPr="00414367">
        <w:rPr>
          <w:color w:val="000000"/>
          <w:sz w:val="24"/>
        </w:rPr>
        <w:t>责令你单位自收到本处罚决定书之日起</w:t>
      </w:r>
      <w:r w:rsidRPr="00414367">
        <w:rPr>
          <w:color w:val="000000"/>
          <w:sz w:val="24"/>
        </w:rPr>
        <w:t>30</w:t>
      </w:r>
      <w:r w:rsidRPr="00414367">
        <w:rPr>
          <w:color w:val="000000"/>
          <w:sz w:val="24"/>
        </w:rPr>
        <w:t>日之内改正</w:t>
      </w:r>
      <w:r w:rsidRPr="00414367">
        <w:rPr>
          <w:color w:val="000000"/>
          <w:sz w:val="24"/>
        </w:rPr>
        <w:t>,</w:t>
      </w:r>
      <w:r w:rsidRPr="00414367">
        <w:rPr>
          <w:color w:val="000000"/>
          <w:sz w:val="24"/>
        </w:rPr>
        <w:t>处工程合同价款</w:t>
      </w:r>
      <w:r w:rsidRPr="00414367">
        <w:rPr>
          <w:color w:val="000000"/>
          <w:sz w:val="24"/>
        </w:rPr>
        <w:t>0.625%</w:t>
      </w:r>
      <w:r w:rsidRPr="00414367">
        <w:rPr>
          <w:color w:val="000000"/>
          <w:sz w:val="24"/>
        </w:rPr>
        <w:t>的罚款</w:t>
      </w:r>
      <w:r w:rsidRPr="00414367">
        <w:rPr>
          <w:color w:val="000000"/>
          <w:sz w:val="24"/>
        </w:rPr>
        <w:t>,</w:t>
      </w:r>
      <w:r w:rsidRPr="00414367">
        <w:rPr>
          <w:color w:val="000000"/>
          <w:sz w:val="24"/>
        </w:rPr>
        <w:t>罚款额为</w:t>
      </w:r>
      <w:r w:rsidRPr="00414367">
        <w:rPr>
          <w:color w:val="000000"/>
          <w:sz w:val="24"/>
        </w:rPr>
        <w:t>44621.70</w:t>
      </w:r>
      <w:r w:rsidRPr="00414367">
        <w:rPr>
          <w:color w:val="000000"/>
          <w:sz w:val="24"/>
        </w:rPr>
        <w:t>元</w:t>
      </w:r>
      <w:r w:rsidRPr="00414367">
        <w:rPr>
          <w:color w:val="000000"/>
          <w:sz w:val="24"/>
        </w:rPr>
        <w:t>”</w:t>
      </w:r>
      <w:r w:rsidRPr="00414367">
        <w:rPr>
          <w:color w:val="000000"/>
          <w:sz w:val="24"/>
        </w:rPr>
        <w:t>的行政处罚决定。</w:t>
      </w:r>
      <w:r w:rsidRPr="00414367">
        <w:rPr>
          <w:color w:val="000000"/>
          <w:sz w:val="24"/>
        </w:rPr>
        <w:t>2019</w:t>
      </w:r>
      <w:r w:rsidRPr="00414367">
        <w:rPr>
          <w:color w:val="000000"/>
          <w:sz w:val="24"/>
        </w:rPr>
        <w:t>年</w:t>
      </w:r>
      <w:r w:rsidRPr="00414367">
        <w:rPr>
          <w:color w:val="000000"/>
          <w:sz w:val="24"/>
        </w:rPr>
        <w:t>8</w:t>
      </w:r>
      <w:r w:rsidRPr="00414367">
        <w:rPr>
          <w:color w:val="000000"/>
          <w:sz w:val="24"/>
        </w:rPr>
        <w:t>月</w:t>
      </w:r>
      <w:r w:rsidRPr="00414367">
        <w:rPr>
          <w:color w:val="000000"/>
          <w:sz w:val="24"/>
        </w:rPr>
        <w:t>20</w:t>
      </w:r>
      <w:r w:rsidRPr="00414367">
        <w:rPr>
          <w:color w:val="000000"/>
          <w:sz w:val="24"/>
        </w:rPr>
        <w:t>日，北京市东城区城市管理综合行政执法局对北京建工集团有限责任公司违反《北京市市容环境卫生条例》第五十九条的行为罚款二万元。</w:t>
      </w:r>
      <w:r w:rsidRPr="00414367">
        <w:rPr>
          <w:color w:val="000000"/>
          <w:sz w:val="24"/>
        </w:rPr>
        <w:t>2019</w:t>
      </w:r>
      <w:r w:rsidRPr="00414367">
        <w:rPr>
          <w:color w:val="000000"/>
          <w:sz w:val="24"/>
        </w:rPr>
        <w:t>年</w:t>
      </w:r>
      <w:r w:rsidRPr="00414367">
        <w:rPr>
          <w:color w:val="000000"/>
          <w:sz w:val="24"/>
        </w:rPr>
        <w:t>8</w:t>
      </w:r>
      <w:r w:rsidRPr="00414367">
        <w:rPr>
          <w:color w:val="000000"/>
          <w:sz w:val="24"/>
        </w:rPr>
        <w:t>月</w:t>
      </w:r>
      <w:r w:rsidRPr="00414367">
        <w:rPr>
          <w:color w:val="000000"/>
          <w:sz w:val="24"/>
        </w:rPr>
        <w:t>20</w:t>
      </w:r>
      <w:r w:rsidRPr="00414367">
        <w:rPr>
          <w:color w:val="000000"/>
          <w:sz w:val="24"/>
        </w:rPr>
        <w:t>日，北京市东城区城市管理综合行政执法局依据《中华人民共和国大气污染防治法》第一百一十五条第一款第</w:t>
      </w:r>
      <w:r w:rsidRPr="00414367">
        <w:rPr>
          <w:color w:val="000000"/>
          <w:sz w:val="24"/>
        </w:rPr>
        <w:t>(</w:t>
      </w:r>
      <w:r w:rsidRPr="00414367">
        <w:rPr>
          <w:color w:val="000000"/>
          <w:sz w:val="24"/>
        </w:rPr>
        <w:t>一</w:t>
      </w:r>
      <w:r w:rsidRPr="00414367">
        <w:rPr>
          <w:color w:val="000000"/>
          <w:sz w:val="24"/>
        </w:rPr>
        <w:t>)</w:t>
      </w:r>
      <w:r w:rsidRPr="00414367">
        <w:rPr>
          <w:color w:val="000000"/>
          <w:sz w:val="24"/>
        </w:rPr>
        <w:t>项，对北京建工集团有限责任公司</w:t>
      </w:r>
      <w:r w:rsidRPr="00414367">
        <w:rPr>
          <w:color w:val="000000"/>
          <w:sz w:val="24"/>
        </w:rPr>
        <w:t>“</w:t>
      </w:r>
      <w:r w:rsidRPr="00414367">
        <w:rPr>
          <w:color w:val="000000"/>
          <w:sz w:val="24"/>
        </w:rPr>
        <w:t>施工工地未设置硬质围挡，或者未采取覆盖、分段作业、择时施工、洒水抑尘、冲洗地面和车辆等有效防尘降尘措施</w:t>
      </w:r>
      <w:r w:rsidRPr="00414367">
        <w:rPr>
          <w:color w:val="000000"/>
          <w:sz w:val="24"/>
        </w:rPr>
        <w:t>”</w:t>
      </w:r>
      <w:r w:rsidRPr="00414367">
        <w:rPr>
          <w:color w:val="000000"/>
          <w:sz w:val="24"/>
        </w:rPr>
        <w:t>的行为罚款</w:t>
      </w:r>
      <w:r w:rsidRPr="00414367">
        <w:rPr>
          <w:color w:val="000000"/>
          <w:sz w:val="24"/>
        </w:rPr>
        <w:t>10</w:t>
      </w:r>
      <w:r w:rsidRPr="00414367">
        <w:rPr>
          <w:color w:val="000000"/>
          <w:sz w:val="24"/>
        </w:rPr>
        <w:t>万元。</w:t>
      </w:r>
      <w:r w:rsidRPr="00414367">
        <w:rPr>
          <w:color w:val="000000"/>
          <w:sz w:val="24"/>
        </w:rPr>
        <w:t>2019</w:t>
      </w:r>
      <w:r w:rsidRPr="00414367">
        <w:rPr>
          <w:color w:val="000000"/>
          <w:sz w:val="24"/>
        </w:rPr>
        <w:t>年</w:t>
      </w:r>
      <w:r w:rsidRPr="00414367">
        <w:rPr>
          <w:color w:val="000000"/>
          <w:sz w:val="24"/>
        </w:rPr>
        <w:t>9</w:t>
      </w:r>
      <w:r w:rsidRPr="00414367">
        <w:rPr>
          <w:color w:val="000000"/>
          <w:sz w:val="24"/>
        </w:rPr>
        <w:t>月</w:t>
      </w:r>
      <w:r w:rsidRPr="00414367">
        <w:rPr>
          <w:color w:val="000000"/>
          <w:sz w:val="24"/>
        </w:rPr>
        <w:t>6</w:t>
      </w:r>
      <w:r w:rsidRPr="00414367">
        <w:rPr>
          <w:color w:val="000000"/>
          <w:sz w:val="24"/>
        </w:rPr>
        <w:t>日，北京市东城区城市管理综合行政执法局依据《北京市环境噪声污染防治办法》第四十条，对北京建工集团有限责任公司</w:t>
      </w:r>
      <w:r w:rsidRPr="00414367">
        <w:rPr>
          <w:color w:val="000000"/>
          <w:sz w:val="24"/>
        </w:rPr>
        <w:t>“</w:t>
      </w:r>
      <w:r w:rsidRPr="00414367">
        <w:rPr>
          <w:color w:val="000000"/>
          <w:sz w:val="24"/>
        </w:rPr>
        <w:t>未取得夜间施工批准文件进行夜间施工</w:t>
      </w:r>
      <w:r w:rsidRPr="00414367">
        <w:rPr>
          <w:color w:val="000000"/>
          <w:sz w:val="24"/>
        </w:rPr>
        <w:t>”</w:t>
      </w:r>
      <w:r w:rsidRPr="00414367">
        <w:rPr>
          <w:color w:val="000000"/>
          <w:sz w:val="24"/>
        </w:rPr>
        <w:t>的行为罚款</w:t>
      </w:r>
      <w:r w:rsidRPr="00414367">
        <w:rPr>
          <w:color w:val="000000"/>
          <w:sz w:val="24"/>
        </w:rPr>
        <w:t>8</w:t>
      </w:r>
      <w:r w:rsidRPr="00414367">
        <w:rPr>
          <w:color w:val="000000"/>
          <w:sz w:val="24"/>
        </w:rPr>
        <w:t>万元。</w:t>
      </w:r>
      <w:r w:rsidRPr="00414367">
        <w:rPr>
          <w:color w:val="000000"/>
          <w:sz w:val="24"/>
        </w:rPr>
        <w:t>2019</w:t>
      </w:r>
      <w:r w:rsidRPr="00414367">
        <w:rPr>
          <w:color w:val="000000"/>
          <w:sz w:val="24"/>
        </w:rPr>
        <w:t>年</w:t>
      </w:r>
      <w:r w:rsidRPr="00414367">
        <w:rPr>
          <w:color w:val="000000"/>
          <w:sz w:val="24"/>
        </w:rPr>
        <w:t>9</w:t>
      </w:r>
      <w:r w:rsidRPr="00414367">
        <w:rPr>
          <w:color w:val="000000"/>
          <w:sz w:val="24"/>
        </w:rPr>
        <w:t>月</w:t>
      </w:r>
      <w:r w:rsidRPr="00414367">
        <w:rPr>
          <w:color w:val="000000"/>
          <w:sz w:val="24"/>
        </w:rPr>
        <w:t>6</w:t>
      </w:r>
      <w:r w:rsidRPr="00414367">
        <w:rPr>
          <w:color w:val="000000"/>
          <w:sz w:val="24"/>
        </w:rPr>
        <w:t>日，北京市东城区城市管理综合行政执法局对北京建工集团有限责任公司违反《北京市大气污染防治条例》第一百一十九条</w:t>
      </w:r>
      <w:r w:rsidRPr="00414367">
        <w:rPr>
          <w:color w:val="000000"/>
          <w:sz w:val="24"/>
        </w:rPr>
        <w:t>“</w:t>
      </w:r>
      <w:r w:rsidRPr="00414367">
        <w:rPr>
          <w:color w:val="000000"/>
          <w:sz w:val="24"/>
        </w:rPr>
        <w:t>建设工程开工前，建设单位应当按照标准在施工现场周边设置围挡，施工单位应当对围挡进行维护</w:t>
      </w:r>
      <w:r w:rsidRPr="00414367">
        <w:rPr>
          <w:color w:val="000000"/>
          <w:sz w:val="24"/>
        </w:rPr>
        <w:t>”</w:t>
      </w:r>
      <w:r w:rsidRPr="00414367">
        <w:rPr>
          <w:color w:val="000000"/>
          <w:sz w:val="24"/>
        </w:rPr>
        <w:t>的行为罚款</w:t>
      </w:r>
      <w:r w:rsidRPr="00414367">
        <w:rPr>
          <w:color w:val="000000"/>
          <w:sz w:val="24"/>
        </w:rPr>
        <w:t>16</w:t>
      </w:r>
      <w:r w:rsidRPr="00414367">
        <w:rPr>
          <w:color w:val="000000"/>
          <w:sz w:val="24"/>
        </w:rPr>
        <w:t>万元。</w:t>
      </w:r>
      <w:r w:rsidRPr="00414367">
        <w:rPr>
          <w:color w:val="000000"/>
          <w:sz w:val="24"/>
        </w:rPr>
        <w:t>2019</w:t>
      </w:r>
      <w:r w:rsidRPr="00414367">
        <w:rPr>
          <w:color w:val="000000"/>
          <w:sz w:val="24"/>
        </w:rPr>
        <w:t>年</w:t>
      </w:r>
      <w:r w:rsidRPr="00414367">
        <w:rPr>
          <w:color w:val="000000"/>
          <w:sz w:val="24"/>
        </w:rPr>
        <w:t>11</w:t>
      </w:r>
      <w:r w:rsidRPr="00414367">
        <w:rPr>
          <w:color w:val="000000"/>
          <w:sz w:val="24"/>
        </w:rPr>
        <w:t>月</w:t>
      </w:r>
      <w:r w:rsidRPr="00414367">
        <w:rPr>
          <w:color w:val="000000"/>
          <w:sz w:val="24"/>
        </w:rPr>
        <w:t>5</w:t>
      </w:r>
      <w:r w:rsidRPr="00414367">
        <w:rPr>
          <w:color w:val="000000"/>
          <w:sz w:val="24"/>
        </w:rPr>
        <w:t>日，北京市住房和城乡建设委员会依据《危险性较大的分部分项工程安全管理规定》第三十五条第（三）项，对北京建工集团有限责任公司</w:t>
      </w:r>
      <w:r w:rsidRPr="00414367">
        <w:rPr>
          <w:color w:val="000000"/>
          <w:sz w:val="24"/>
        </w:rPr>
        <w:t>“</w:t>
      </w:r>
      <w:r w:rsidRPr="00414367">
        <w:rPr>
          <w:color w:val="000000"/>
          <w:sz w:val="24"/>
        </w:rPr>
        <w:t>未按照本规定组织危大工程验收</w:t>
      </w:r>
      <w:r w:rsidRPr="00414367">
        <w:rPr>
          <w:color w:val="000000"/>
          <w:sz w:val="24"/>
        </w:rPr>
        <w:t>”</w:t>
      </w:r>
      <w:r w:rsidRPr="00414367">
        <w:rPr>
          <w:color w:val="000000"/>
          <w:sz w:val="24"/>
        </w:rPr>
        <w:t>的行为罚款</w:t>
      </w:r>
      <w:r w:rsidRPr="00414367">
        <w:rPr>
          <w:color w:val="000000"/>
          <w:sz w:val="24"/>
        </w:rPr>
        <w:t>1</w:t>
      </w:r>
      <w:r w:rsidRPr="00414367">
        <w:rPr>
          <w:color w:val="000000"/>
          <w:sz w:val="24"/>
        </w:rPr>
        <w:t>万元。</w:t>
      </w:r>
      <w:r w:rsidRPr="00414367">
        <w:rPr>
          <w:color w:val="000000"/>
          <w:sz w:val="24"/>
        </w:rPr>
        <w:t>2019</w:t>
      </w:r>
      <w:r w:rsidRPr="00414367">
        <w:rPr>
          <w:color w:val="000000"/>
          <w:sz w:val="24"/>
        </w:rPr>
        <w:t>年</w:t>
      </w:r>
      <w:r w:rsidRPr="00414367">
        <w:rPr>
          <w:color w:val="000000"/>
          <w:sz w:val="24"/>
        </w:rPr>
        <w:t>11</w:t>
      </w:r>
      <w:r w:rsidRPr="00414367">
        <w:rPr>
          <w:color w:val="000000"/>
          <w:sz w:val="24"/>
        </w:rPr>
        <w:t>月</w:t>
      </w:r>
      <w:r w:rsidRPr="00414367">
        <w:rPr>
          <w:color w:val="000000"/>
          <w:sz w:val="24"/>
        </w:rPr>
        <w:t>8</w:t>
      </w:r>
      <w:r w:rsidRPr="00414367">
        <w:rPr>
          <w:color w:val="000000"/>
          <w:sz w:val="24"/>
        </w:rPr>
        <w:t>日，北京市住房和城乡建设委员会依据《北京市建设工程施工现场管理办法》第三十一条，对北京建工集团有限责任公司</w:t>
      </w:r>
      <w:r w:rsidRPr="00414367">
        <w:rPr>
          <w:color w:val="000000"/>
          <w:sz w:val="24"/>
        </w:rPr>
        <w:t>“</w:t>
      </w:r>
      <w:r w:rsidRPr="00414367">
        <w:rPr>
          <w:color w:val="000000"/>
          <w:sz w:val="24"/>
        </w:rPr>
        <w:t>未严格按照建筑业安全作业规程或者标准进行施工，造成事故隐患</w:t>
      </w:r>
      <w:r w:rsidRPr="00414367">
        <w:rPr>
          <w:color w:val="000000"/>
          <w:sz w:val="24"/>
        </w:rPr>
        <w:t>”</w:t>
      </w:r>
      <w:r w:rsidRPr="00414367">
        <w:rPr>
          <w:color w:val="000000"/>
          <w:sz w:val="24"/>
        </w:rPr>
        <w:t>的行为罚款</w:t>
      </w:r>
      <w:r w:rsidRPr="00414367">
        <w:rPr>
          <w:color w:val="000000"/>
          <w:sz w:val="24"/>
        </w:rPr>
        <w:t>8000</w:t>
      </w:r>
      <w:r w:rsidRPr="00414367">
        <w:rPr>
          <w:color w:val="000000"/>
          <w:sz w:val="24"/>
        </w:rPr>
        <w:t>元。</w:t>
      </w:r>
      <w:r w:rsidRPr="00414367">
        <w:rPr>
          <w:color w:val="000000"/>
          <w:sz w:val="24"/>
        </w:rPr>
        <w:t>2019</w:t>
      </w:r>
      <w:r w:rsidRPr="00414367">
        <w:rPr>
          <w:color w:val="000000"/>
          <w:sz w:val="24"/>
        </w:rPr>
        <w:t>年</w:t>
      </w:r>
      <w:r w:rsidRPr="00414367">
        <w:rPr>
          <w:color w:val="000000"/>
          <w:sz w:val="24"/>
        </w:rPr>
        <w:t>12</w:t>
      </w:r>
      <w:r w:rsidRPr="00414367">
        <w:rPr>
          <w:color w:val="000000"/>
          <w:sz w:val="24"/>
        </w:rPr>
        <w:t>月</w:t>
      </w:r>
      <w:r w:rsidRPr="00414367">
        <w:rPr>
          <w:color w:val="000000"/>
          <w:sz w:val="24"/>
        </w:rPr>
        <w:t>20</w:t>
      </w:r>
      <w:r w:rsidRPr="00414367">
        <w:rPr>
          <w:color w:val="000000"/>
          <w:sz w:val="24"/>
        </w:rPr>
        <w:t>日，北京市住房和城乡建设委员会依据《北京市建设工程施工现场管理办法》第三十一条，对北京建工集团有限责任公司</w:t>
      </w:r>
      <w:r w:rsidRPr="00414367">
        <w:rPr>
          <w:color w:val="000000"/>
          <w:sz w:val="24"/>
        </w:rPr>
        <w:t>“</w:t>
      </w:r>
      <w:r w:rsidRPr="00414367">
        <w:rPr>
          <w:color w:val="000000"/>
          <w:sz w:val="24"/>
        </w:rPr>
        <w:t>未严格按照建筑业安全作业规程或者标准进行施工，造成事故隐患</w:t>
      </w:r>
      <w:r w:rsidRPr="00414367">
        <w:rPr>
          <w:color w:val="000000"/>
          <w:sz w:val="24"/>
        </w:rPr>
        <w:t>”</w:t>
      </w:r>
      <w:r w:rsidRPr="00414367">
        <w:rPr>
          <w:color w:val="000000"/>
          <w:sz w:val="24"/>
        </w:rPr>
        <w:t>的行为罚款</w:t>
      </w:r>
      <w:r w:rsidRPr="00414367">
        <w:rPr>
          <w:color w:val="000000"/>
          <w:sz w:val="24"/>
        </w:rPr>
        <w:t>1</w:t>
      </w:r>
      <w:r w:rsidRPr="00414367">
        <w:rPr>
          <w:color w:val="000000"/>
          <w:sz w:val="24"/>
        </w:rPr>
        <w:t>万元。</w:t>
      </w:r>
      <w:r w:rsidRPr="00414367">
        <w:rPr>
          <w:color w:val="000000"/>
          <w:sz w:val="24"/>
        </w:rPr>
        <w:t>2020</w:t>
      </w:r>
      <w:r w:rsidRPr="00414367">
        <w:rPr>
          <w:color w:val="000000"/>
          <w:sz w:val="24"/>
        </w:rPr>
        <w:t>年</w:t>
      </w:r>
      <w:r w:rsidRPr="00414367">
        <w:rPr>
          <w:color w:val="000000"/>
          <w:sz w:val="24"/>
        </w:rPr>
        <w:t>1</w:t>
      </w:r>
      <w:r w:rsidRPr="00414367">
        <w:rPr>
          <w:color w:val="000000"/>
          <w:sz w:val="24"/>
        </w:rPr>
        <w:t>月</w:t>
      </w:r>
      <w:r w:rsidRPr="00414367">
        <w:rPr>
          <w:color w:val="000000"/>
          <w:sz w:val="24"/>
        </w:rPr>
        <w:t>16</w:t>
      </w:r>
      <w:r w:rsidRPr="00414367">
        <w:rPr>
          <w:color w:val="000000"/>
          <w:sz w:val="24"/>
        </w:rPr>
        <w:t>日，北京市大兴区住房和城乡建设委员会依据《中华人民共和国建筑法》第七十一条第一款，对北京建工集团有限责任公司</w:t>
      </w:r>
      <w:r w:rsidRPr="00414367">
        <w:rPr>
          <w:color w:val="000000"/>
          <w:sz w:val="24"/>
        </w:rPr>
        <w:t>“</w:t>
      </w:r>
      <w:r w:rsidRPr="00414367">
        <w:rPr>
          <w:color w:val="000000"/>
          <w:sz w:val="24"/>
        </w:rPr>
        <w:t>对建筑安全事故隐患不采取措施予以消除</w:t>
      </w:r>
      <w:r w:rsidRPr="00414367">
        <w:rPr>
          <w:color w:val="000000"/>
          <w:sz w:val="24"/>
        </w:rPr>
        <w:t>”</w:t>
      </w:r>
      <w:r w:rsidRPr="00414367">
        <w:rPr>
          <w:color w:val="000000"/>
          <w:sz w:val="24"/>
        </w:rPr>
        <w:t>的行为罚款</w:t>
      </w:r>
      <w:r w:rsidRPr="00414367">
        <w:rPr>
          <w:color w:val="000000"/>
          <w:sz w:val="24"/>
        </w:rPr>
        <w:t>1</w:t>
      </w:r>
      <w:r w:rsidRPr="00414367">
        <w:rPr>
          <w:color w:val="000000"/>
          <w:sz w:val="24"/>
        </w:rPr>
        <w:t>万元。</w:t>
      </w:r>
      <w:r w:rsidRPr="00414367">
        <w:rPr>
          <w:color w:val="000000"/>
          <w:sz w:val="24"/>
        </w:rPr>
        <w:t>2020</w:t>
      </w:r>
      <w:r w:rsidRPr="00414367">
        <w:rPr>
          <w:color w:val="000000"/>
          <w:sz w:val="24"/>
        </w:rPr>
        <w:t>年</w:t>
      </w:r>
      <w:r w:rsidRPr="00414367">
        <w:rPr>
          <w:color w:val="000000"/>
          <w:sz w:val="24"/>
        </w:rPr>
        <w:t>3</w:t>
      </w:r>
      <w:r w:rsidRPr="00414367">
        <w:rPr>
          <w:color w:val="000000"/>
          <w:sz w:val="24"/>
        </w:rPr>
        <w:t>月</w:t>
      </w:r>
      <w:r w:rsidRPr="00414367">
        <w:rPr>
          <w:color w:val="000000"/>
          <w:sz w:val="24"/>
        </w:rPr>
        <w:t>3</w:t>
      </w:r>
      <w:r w:rsidRPr="00414367">
        <w:rPr>
          <w:color w:val="000000"/>
          <w:sz w:val="24"/>
        </w:rPr>
        <w:t>日，北京市住房和城乡建设委员会依据《北京市建设工程施工现场管理办法》第三十一条，对北京建工集团有限责任公司</w:t>
      </w:r>
      <w:r w:rsidRPr="00414367">
        <w:rPr>
          <w:color w:val="000000"/>
          <w:sz w:val="24"/>
        </w:rPr>
        <w:t>“</w:t>
      </w:r>
      <w:r w:rsidRPr="00414367">
        <w:rPr>
          <w:color w:val="000000"/>
          <w:sz w:val="24"/>
        </w:rPr>
        <w:t>未严格按照建筑业安全作业规程或者标准进行施工，造成事故隐患</w:t>
      </w:r>
      <w:r w:rsidRPr="00414367">
        <w:rPr>
          <w:color w:val="000000"/>
          <w:sz w:val="24"/>
        </w:rPr>
        <w:t>”</w:t>
      </w:r>
      <w:r w:rsidRPr="00414367">
        <w:rPr>
          <w:color w:val="000000"/>
          <w:sz w:val="24"/>
        </w:rPr>
        <w:t>的行为罚款</w:t>
      </w:r>
      <w:r w:rsidRPr="00414367">
        <w:rPr>
          <w:color w:val="000000"/>
          <w:sz w:val="24"/>
        </w:rPr>
        <w:t>1000</w:t>
      </w:r>
      <w:r w:rsidRPr="00414367">
        <w:rPr>
          <w:color w:val="000000"/>
          <w:sz w:val="24"/>
        </w:rPr>
        <w:t>元。</w:t>
      </w:r>
      <w:r w:rsidRPr="00414367">
        <w:rPr>
          <w:color w:val="000000"/>
          <w:sz w:val="24"/>
        </w:rPr>
        <w:t>2020</w:t>
      </w:r>
      <w:r w:rsidRPr="00414367">
        <w:rPr>
          <w:color w:val="000000"/>
          <w:sz w:val="24"/>
        </w:rPr>
        <w:t>年</w:t>
      </w:r>
      <w:r w:rsidRPr="00414367">
        <w:rPr>
          <w:color w:val="000000"/>
          <w:sz w:val="24"/>
        </w:rPr>
        <w:t>3</w:t>
      </w:r>
      <w:r w:rsidRPr="00414367">
        <w:rPr>
          <w:color w:val="000000"/>
          <w:sz w:val="24"/>
        </w:rPr>
        <w:t>月</w:t>
      </w:r>
      <w:r w:rsidRPr="00414367">
        <w:rPr>
          <w:color w:val="000000"/>
          <w:sz w:val="24"/>
        </w:rPr>
        <w:t>16</w:t>
      </w:r>
      <w:r w:rsidRPr="00414367">
        <w:rPr>
          <w:color w:val="000000"/>
          <w:sz w:val="24"/>
        </w:rPr>
        <w:t>日，北京市住房和城乡建设委员会依据《北京市建设工程施工现场管理办法》第三十一条，</w:t>
      </w:r>
      <w:r w:rsidRPr="00414367">
        <w:rPr>
          <w:color w:val="000000"/>
          <w:sz w:val="24"/>
        </w:rPr>
        <w:lastRenderedPageBreak/>
        <w:t>对北京建工集团有限责任公司</w:t>
      </w:r>
      <w:r w:rsidRPr="00414367">
        <w:rPr>
          <w:color w:val="000000"/>
          <w:sz w:val="24"/>
        </w:rPr>
        <w:t>“</w:t>
      </w:r>
      <w:r w:rsidRPr="00414367">
        <w:rPr>
          <w:color w:val="000000"/>
          <w:sz w:val="24"/>
        </w:rPr>
        <w:t>未严格按照建筑业安全作业规程或者标准进行施工，造成事故隐患</w:t>
      </w:r>
      <w:r w:rsidRPr="00414367">
        <w:rPr>
          <w:color w:val="000000"/>
          <w:sz w:val="24"/>
        </w:rPr>
        <w:t>”</w:t>
      </w:r>
      <w:r w:rsidRPr="00414367">
        <w:rPr>
          <w:color w:val="000000"/>
          <w:sz w:val="24"/>
        </w:rPr>
        <w:t>的行为罚款</w:t>
      </w:r>
      <w:r w:rsidRPr="00414367">
        <w:rPr>
          <w:color w:val="000000"/>
          <w:sz w:val="24"/>
        </w:rPr>
        <w:t>1000</w:t>
      </w:r>
      <w:r w:rsidRPr="00414367">
        <w:rPr>
          <w:color w:val="000000"/>
          <w:sz w:val="24"/>
        </w:rPr>
        <w:t>元。</w:t>
      </w:r>
      <w:r w:rsidRPr="00414367">
        <w:rPr>
          <w:color w:val="000000"/>
          <w:sz w:val="24"/>
        </w:rPr>
        <w:t>2020</w:t>
      </w:r>
      <w:r w:rsidRPr="00414367">
        <w:rPr>
          <w:color w:val="000000"/>
          <w:sz w:val="24"/>
        </w:rPr>
        <w:t>年</w:t>
      </w:r>
      <w:r w:rsidRPr="00414367">
        <w:rPr>
          <w:color w:val="000000"/>
          <w:sz w:val="24"/>
        </w:rPr>
        <w:t>3</w:t>
      </w:r>
      <w:r w:rsidRPr="00414367">
        <w:rPr>
          <w:color w:val="000000"/>
          <w:sz w:val="24"/>
        </w:rPr>
        <w:t>月</w:t>
      </w:r>
      <w:r w:rsidRPr="00414367">
        <w:rPr>
          <w:color w:val="000000"/>
          <w:sz w:val="24"/>
        </w:rPr>
        <w:t>28</w:t>
      </w:r>
      <w:r w:rsidRPr="00414367">
        <w:rPr>
          <w:color w:val="000000"/>
          <w:sz w:val="24"/>
        </w:rPr>
        <w:t>日，北京市住房和城乡建设委员会依据《北京市建设工程施工现场管理办法》第三十一条，对北京建工集团有限责任公司</w:t>
      </w:r>
      <w:r w:rsidRPr="00414367">
        <w:rPr>
          <w:color w:val="000000"/>
          <w:sz w:val="24"/>
        </w:rPr>
        <w:t>“</w:t>
      </w:r>
      <w:r w:rsidRPr="00414367">
        <w:rPr>
          <w:color w:val="000000"/>
          <w:sz w:val="24"/>
        </w:rPr>
        <w:t>未严格按照建筑业安全作业规程或者标准进行施工，造成事故隐患</w:t>
      </w:r>
      <w:r w:rsidRPr="00414367">
        <w:rPr>
          <w:color w:val="000000"/>
          <w:sz w:val="24"/>
        </w:rPr>
        <w:t>”</w:t>
      </w:r>
      <w:r w:rsidRPr="00414367">
        <w:rPr>
          <w:color w:val="000000"/>
          <w:sz w:val="24"/>
        </w:rPr>
        <w:t>的行为罚款</w:t>
      </w:r>
      <w:r w:rsidRPr="00414367">
        <w:rPr>
          <w:color w:val="000000"/>
          <w:sz w:val="24"/>
        </w:rPr>
        <w:t>1000</w:t>
      </w:r>
      <w:r w:rsidRPr="00414367">
        <w:rPr>
          <w:color w:val="000000"/>
          <w:sz w:val="24"/>
        </w:rPr>
        <w:t>元。</w:t>
      </w:r>
      <w:r w:rsidRPr="00414367">
        <w:rPr>
          <w:color w:val="000000"/>
          <w:sz w:val="24"/>
        </w:rPr>
        <w:t>2020</w:t>
      </w:r>
      <w:r w:rsidRPr="00414367">
        <w:rPr>
          <w:color w:val="000000"/>
          <w:sz w:val="24"/>
        </w:rPr>
        <w:t>年</w:t>
      </w:r>
      <w:r w:rsidRPr="00414367">
        <w:rPr>
          <w:color w:val="000000"/>
          <w:sz w:val="24"/>
        </w:rPr>
        <w:t>5</w:t>
      </w:r>
      <w:r w:rsidRPr="00414367">
        <w:rPr>
          <w:color w:val="000000"/>
          <w:sz w:val="24"/>
        </w:rPr>
        <w:t>月</w:t>
      </w:r>
      <w:r w:rsidRPr="00414367">
        <w:rPr>
          <w:color w:val="000000"/>
          <w:sz w:val="24"/>
        </w:rPr>
        <w:t>12</w:t>
      </w:r>
      <w:r w:rsidRPr="00414367">
        <w:rPr>
          <w:color w:val="000000"/>
          <w:sz w:val="24"/>
        </w:rPr>
        <w:t>日，北京市住房和城乡建设委员会依据《北京市建设工程施工现场管理办法》第三十一条，对北京建工集团有限责任公司</w:t>
      </w:r>
      <w:r w:rsidRPr="00414367">
        <w:rPr>
          <w:color w:val="000000"/>
          <w:sz w:val="24"/>
        </w:rPr>
        <w:t>“</w:t>
      </w:r>
      <w:r w:rsidRPr="00414367">
        <w:rPr>
          <w:color w:val="000000"/>
          <w:sz w:val="24"/>
        </w:rPr>
        <w:t>未严格按照建筑业安全作业规程或者标准进行施工，造成事故隐患</w:t>
      </w:r>
      <w:r w:rsidRPr="00414367">
        <w:rPr>
          <w:color w:val="000000"/>
          <w:sz w:val="24"/>
        </w:rPr>
        <w:t>”</w:t>
      </w:r>
      <w:r w:rsidRPr="00414367">
        <w:rPr>
          <w:color w:val="000000"/>
          <w:sz w:val="24"/>
        </w:rPr>
        <w:t>的行为罚款</w:t>
      </w:r>
      <w:r w:rsidRPr="00414367">
        <w:rPr>
          <w:color w:val="000000"/>
          <w:sz w:val="24"/>
        </w:rPr>
        <w:t>1000</w:t>
      </w:r>
      <w:r w:rsidRPr="00414367">
        <w:rPr>
          <w:color w:val="000000"/>
          <w:sz w:val="24"/>
        </w:rPr>
        <w:t>元。</w:t>
      </w:r>
      <w:r w:rsidRPr="00414367">
        <w:rPr>
          <w:color w:val="000000"/>
          <w:sz w:val="24"/>
        </w:rPr>
        <w:t>2020</w:t>
      </w:r>
      <w:r w:rsidRPr="00414367">
        <w:rPr>
          <w:color w:val="000000"/>
          <w:sz w:val="24"/>
        </w:rPr>
        <w:t>年</w:t>
      </w:r>
      <w:r w:rsidRPr="00414367">
        <w:rPr>
          <w:color w:val="000000"/>
          <w:sz w:val="24"/>
        </w:rPr>
        <w:t>5</w:t>
      </w:r>
      <w:r w:rsidRPr="00414367">
        <w:rPr>
          <w:color w:val="000000"/>
          <w:sz w:val="24"/>
        </w:rPr>
        <w:t>月</w:t>
      </w:r>
      <w:r w:rsidRPr="00414367">
        <w:rPr>
          <w:color w:val="000000"/>
          <w:sz w:val="24"/>
        </w:rPr>
        <w:t>14</w:t>
      </w:r>
      <w:r w:rsidRPr="00414367">
        <w:rPr>
          <w:color w:val="000000"/>
          <w:sz w:val="24"/>
        </w:rPr>
        <w:t>日，北京市住房和城乡建设委员会依据《危险性较大的分部分项工程安全管理规定》第三十五条第（三）项，对北京建工集团有限责任公司</w:t>
      </w:r>
      <w:r w:rsidRPr="00414367">
        <w:rPr>
          <w:color w:val="000000"/>
          <w:sz w:val="24"/>
        </w:rPr>
        <w:t>“</w:t>
      </w:r>
      <w:r w:rsidRPr="00414367">
        <w:rPr>
          <w:color w:val="000000"/>
          <w:sz w:val="24"/>
        </w:rPr>
        <w:t>未按照本规定组织危大工程验收</w:t>
      </w:r>
      <w:r w:rsidRPr="00414367">
        <w:rPr>
          <w:color w:val="000000"/>
          <w:sz w:val="24"/>
        </w:rPr>
        <w:t>”</w:t>
      </w:r>
      <w:r w:rsidRPr="00414367">
        <w:rPr>
          <w:color w:val="000000"/>
          <w:sz w:val="24"/>
        </w:rPr>
        <w:t>的行为罚款</w:t>
      </w:r>
      <w:r w:rsidRPr="00414367">
        <w:rPr>
          <w:color w:val="000000"/>
          <w:sz w:val="24"/>
        </w:rPr>
        <w:t>1</w:t>
      </w:r>
      <w:r w:rsidRPr="00414367">
        <w:rPr>
          <w:color w:val="000000"/>
          <w:sz w:val="24"/>
        </w:rPr>
        <w:t>万元。</w:t>
      </w:r>
      <w:r w:rsidRPr="00414367">
        <w:rPr>
          <w:color w:val="000000"/>
          <w:sz w:val="24"/>
        </w:rPr>
        <w:t>2020</w:t>
      </w:r>
      <w:r w:rsidRPr="00414367">
        <w:rPr>
          <w:color w:val="000000"/>
          <w:sz w:val="24"/>
        </w:rPr>
        <w:t>年</w:t>
      </w:r>
      <w:r w:rsidRPr="00414367">
        <w:rPr>
          <w:color w:val="000000"/>
          <w:sz w:val="24"/>
        </w:rPr>
        <w:t>5</w:t>
      </w:r>
      <w:r w:rsidRPr="00414367">
        <w:rPr>
          <w:color w:val="000000"/>
          <w:sz w:val="24"/>
        </w:rPr>
        <w:t>月</w:t>
      </w:r>
      <w:r w:rsidRPr="00414367">
        <w:rPr>
          <w:color w:val="000000"/>
          <w:sz w:val="24"/>
        </w:rPr>
        <w:t>19</w:t>
      </w:r>
      <w:r w:rsidRPr="00414367">
        <w:rPr>
          <w:color w:val="000000"/>
          <w:sz w:val="24"/>
        </w:rPr>
        <w:t>日，北京市西城区住房和城市建设委员会对北京建工集团有限责任公司违反《北京市建设工程施工现场管理办法》的行为罚款</w:t>
      </w:r>
      <w:r w:rsidRPr="00414367">
        <w:rPr>
          <w:color w:val="000000"/>
          <w:sz w:val="24"/>
        </w:rPr>
        <w:t>5000</w:t>
      </w:r>
      <w:r w:rsidRPr="00414367">
        <w:rPr>
          <w:color w:val="000000"/>
          <w:sz w:val="24"/>
        </w:rPr>
        <w:t>元。</w:t>
      </w:r>
      <w:r w:rsidRPr="00414367">
        <w:rPr>
          <w:color w:val="000000"/>
          <w:sz w:val="24"/>
        </w:rPr>
        <w:t>2020</w:t>
      </w:r>
      <w:r w:rsidRPr="00414367">
        <w:rPr>
          <w:color w:val="000000"/>
          <w:sz w:val="24"/>
        </w:rPr>
        <w:t>年</w:t>
      </w:r>
      <w:r w:rsidRPr="00414367">
        <w:rPr>
          <w:color w:val="000000"/>
          <w:sz w:val="24"/>
        </w:rPr>
        <w:t>6</w:t>
      </w:r>
      <w:r w:rsidRPr="00414367">
        <w:rPr>
          <w:color w:val="000000"/>
          <w:sz w:val="24"/>
        </w:rPr>
        <w:t>月</w:t>
      </w:r>
      <w:r w:rsidRPr="00414367">
        <w:rPr>
          <w:color w:val="000000"/>
          <w:sz w:val="24"/>
        </w:rPr>
        <w:t>18</w:t>
      </w:r>
      <w:r w:rsidRPr="00414367">
        <w:rPr>
          <w:color w:val="000000"/>
          <w:sz w:val="24"/>
        </w:rPr>
        <w:t>日，北京市住房和城乡建设委员会依据《北京市建设工程施工现场管理办法》第三十一条，对北京建工集团有限责任公司</w:t>
      </w:r>
      <w:r w:rsidRPr="00414367">
        <w:rPr>
          <w:color w:val="000000"/>
          <w:sz w:val="24"/>
        </w:rPr>
        <w:t>“</w:t>
      </w:r>
      <w:r w:rsidRPr="00414367">
        <w:rPr>
          <w:color w:val="000000"/>
          <w:sz w:val="24"/>
        </w:rPr>
        <w:t>未严格按照建筑业安全作业规程或者标准进行施工，造成事故隐患</w:t>
      </w:r>
      <w:r w:rsidRPr="00414367">
        <w:rPr>
          <w:color w:val="000000"/>
          <w:sz w:val="24"/>
        </w:rPr>
        <w:t>”</w:t>
      </w:r>
      <w:r w:rsidRPr="00414367">
        <w:rPr>
          <w:color w:val="000000"/>
          <w:sz w:val="24"/>
        </w:rPr>
        <w:t>的行为罚款</w:t>
      </w:r>
      <w:r w:rsidRPr="00414367">
        <w:rPr>
          <w:color w:val="000000"/>
          <w:sz w:val="24"/>
        </w:rPr>
        <w:t>1000</w:t>
      </w:r>
      <w:r w:rsidRPr="00414367">
        <w:rPr>
          <w:color w:val="000000"/>
          <w:sz w:val="24"/>
        </w:rPr>
        <w:t>元。</w:t>
      </w:r>
      <w:r w:rsidRPr="00414367">
        <w:rPr>
          <w:color w:val="000000"/>
          <w:sz w:val="24"/>
        </w:rPr>
        <w:t>2020</w:t>
      </w:r>
      <w:r w:rsidRPr="00414367">
        <w:rPr>
          <w:color w:val="000000"/>
          <w:sz w:val="24"/>
        </w:rPr>
        <w:t>年</w:t>
      </w:r>
      <w:r w:rsidRPr="00414367">
        <w:rPr>
          <w:color w:val="000000"/>
          <w:sz w:val="24"/>
        </w:rPr>
        <w:t>6</w:t>
      </w:r>
      <w:r w:rsidRPr="00414367">
        <w:rPr>
          <w:color w:val="000000"/>
          <w:sz w:val="24"/>
        </w:rPr>
        <w:t>月</w:t>
      </w:r>
      <w:r w:rsidRPr="00414367">
        <w:rPr>
          <w:color w:val="000000"/>
          <w:sz w:val="24"/>
        </w:rPr>
        <w:t>29</w:t>
      </w:r>
      <w:r w:rsidRPr="00414367">
        <w:rPr>
          <w:color w:val="000000"/>
          <w:sz w:val="24"/>
        </w:rPr>
        <w:t>日，北京市住房和城乡建设委员会依据《北京市建设工程施工现场管理办法》第三十一条，对北京建工集团有限责任公司</w:t>
      </w:r>
      <w:r w:rsidRPr="00414367">
        <w:rPr>
          <w:color w:val="000000"/>
          <w:sz w:val="24"/>
        </w:rPr>
        <w:t>“</w:t>
      </w:r>
      <w:r w:rsidRPr="00414367">
        <w:rPr>
          <w:color w:val="000000"/>
          <w:sz w:val="24"/>
        </w:rPr>
        <w:t>未严格按照建筑业安全作业规程或者标准进行施工，造成事故隐患</w:t>
      </w:r>
      <w:r w:rsidRPr="00414367">
        <w:rPr>
          <w:color w:val="000000"/>
          <w:sz w:val="24"/>
        </w:rPr>
        <w:t>”</w:t>
      </w:r>
      <w:r w:rsidRPr="00414367">
        <w:rPr>
          <w:color w:val="000000"/>
          <w:sz w:val="24"/>
        </w:rPr>
        <w:t>的行为罚款</w:t>
      </w:r>
      <w:r w:rsidRPr="00414367">
        <w:rPr>
          <w:color w:val="000000"/>
          <w:sz w:val="24"/>
        </w:rPr>
        <w:t>1000</w:t>
      </w:r>
      <w:r w:rsidRPr="00414367">
        <w:rPr>
          <w:color w:val="000000"/>
          <w:sz w:val="24"/>
        </w:rPr>
        <w:t>元。</w:t>
      </w:r>
    </w:p>
    <w:p w:rsidR="00AB3007" w:rsidRDefault="00EC4743">
      <w:pPr>
        <w:widowControl/>
        <w:spacing w:line="360" w:lineRule="auto"/>
        <w:rPr>
          <w:color w:val="000000"/>
          <w:sz w:val="24"/>
        </w:rPr>
      </w:pPr>
      <w:r>
        <w:rPr>
          <w:color w:val="000000"/>
          <w:sz w:val="24"/>
        </w:rPr>
        <w:t>2019</w:t>
      </w:r>
      <w:r>
        <w:rPr>
          <w:color w:val="000000"/>
          <w:sz w:val="24"/>
        </w:rPr>
        <w:t>年</w:t>
      </w:r>
      <w:r>
        <w:rPr>
          <w:color w:val="000000"/>
          <w:sz w:val="24"/>
        </w:rPr>
        <w:t>9</w:t>
      </w:r>
      <w:r>
        <w:rPr>
          <w:color w:val="000000"/>
          <w:sz w:val="24"/>
        </w:rPr>
        <w:t>月</w:t>
      </w:r>
      <w:r>
        <w:rPr>
          <w:color w:val="000000"/>
          <w:sz w:val="24"/>
        </w:rPr>
        <w:t>16</w:t>
      </w:r>
      <w:r>
        <w:rPr>
          <w:color w:val="000000"/>
          <w:sz w:val="24"/>
        </w:rPr>
        <w:t>日，山西省应急管理厅对中国铝业股份有限公司兴县奥家湾铝矿的如下违法违规行为作出</w:t>
      </w:r>
      <w:r>
        <w:rPr>
          <w:color w:val="000000"/>
          <w:sz w:val="24"/>
        </w:rPr>
        <w:t>“</w:t>
      </w:r>
      <w:r>
        <w:rPr>
          <w:color w:val="000000"/>
          <w:sz w:val="24"/>
        </w:rPr>
        <w:t>责令限期改正，处人民币贰万元罚款</w:t>
      </w:r>
      <w:r>
        <w:rPr>
          <w:color w:val="000000"/>
          <w:sz w:val="24"/>
        </w:rPr>
        <w:t>”</w:t>
      </w:r>
      <w:r>
        <w:rPr>
          <w:color w:val="000000"/>
          <w:sz w:val="24"/>
        </w:rPr>
        <w:t>的行政处罚决定：</w:t>
      </w:r>
      <w:r>
        <w:rPr>
          <w:color w:val="000000"/>
          <w:sz w:val="24"/>
        </w:rPr>
        <w:t>1.1040</w:t>
      </w:r>
      <w:r>
        <w:rPr>
          <w:color w:val="000000"/>
          <w:sz w:val="24"/>
        </w:rPr>
        <w:t>中段</w:t>
      </w:r>
      <w:r>
        <w:rPr>
          <w:color w:val="000000"/>
          <w:sz w:val="24"/>
        </w:rPr>
        <w:t>6</w:t>
      </w:r>
      <w:r>
        <w:rPr>
          <w:color w:val="000000"/>
          <w:sz w:val="24"/>
        </w:rPr>
        <w:t>号下山封闭墙未悬挂管理标志牌；</w:t>
      </w:r>
      <w:r>
        <w:rPr>
          <w:color w:val="000000"/>
          <w:sz w:val="24"/>
        </w:rPr>
        <w:t>2.1</w:t>
      </w:r>
      <w:r>
        <w:rPr>
          <w:color w:val="000000"/>
          <w:sz w:val="24"/>
        </w:rPr>
        <w:t>号风机未设置安全警示标志；</w:t>
      </w:r>
      <w:r>
        <w:rPr>
          <w:color w:val="000000"/>
          <w:sz w:val="24"/>
        </w:rPr>
        <w:t>3.</w:t>
      </w:r>
      <w:r>
        <w:rPr>
          <w:color w:val="000000"/>
          <w:sz w:val="24"/>
        </w:rPr>
        <w:t>配电室警示标识设置在旋转门上不符合规范；</w:t>
      </w:r>
      <w:r>
        <w:rPr>
          <w:color w:val="000000"/>
          <w:sz w:val="24"/>
        </w:rPr>
        <w:t>4.1040</w:t>
      </w:r>
      <w:r>
        <w:rPr>
          <w:color w:val="000000"/>
          <w:sz w:val="24"/>
        </w:rPr>
        <w:t>通往采场的分岔口未设置安全警示标识。</w:t>
      </w:r>
      <w:r>
        <w:rPr>
          <w:color w:val="000000"/>
          <w:sz w:val="24"/>
        </w:rPr>
        <w:t>2019</w:t>
      </w:r>
      <w:r>
        <w:rPr>
          <w:color w:val="000000"/>
          <w:sz w:val="24"/>
        </w:rPr>
        <w:t>年</w:t>
      </w:r>
      <w:r>
        <w:rPr>
          <w:color w:val="000000"/>
          <w:sz w:val="24"/>
        </w:rPr>
        <w:t>9</w:t>
      </w:r>
      <w:r>
        <w:rPr>
          <w:color w:val="000000"/>
          <w:sz w:val="24"/>
        </w:rPr>
        <w:t>月</w:t>
      </w:r>
      <w:r>
        <w:rPr>
          <w:color w:val="000000"/>
          <w:sz w:val="24"/>
        </w:rPr>
        <w:t>16</w:t>
      </w:r>
      <w:r>
        <w:rPr>
          <w:color w:val="000000"/>
          <w:sz w:val="24"/>
        </w:rPr>
        <w:t>日，山西省应急管理厅对中国铝业股份有限公司兴县奥家湾铝矿的如下违法违规行为作出</w:t>
      </w:r>
      <w:r>
        <w:rPr>
          <w:color w:val="000000"/>
          <w:sz w:val="24"/>
        </w:rPr>
        <w:t>“</w:t>
      </w:r>
      <w:r>
        <w:rPr>
          <w:color w:val="000000"/>
          <w:sz w:val="24"/>
        </w:rPr>
        <w:t>责令限期改正，处人民币壹万元罚款</w:t>
      </w:r>
      <w:r>
        <w:rPr>
          <w:color w:val="000000"/>
          <w:sz w:val="24"/>
        </w:rPr>
        <w:t>”</w:t>
      </w:r>
      <w:r>
        <w:rPr>
          <w:color w:val="000000"/>
          <w:sz w:val="24"/>
        </w:rPr>
        <w:t>的行政处罚决定：</w:t>
      </w:r>
      <w:r>
        <w:rPr>
          <w:color w:val="000000"/>
          <w:sz w:val="24"/>
        </w:rPr>
        <w:t>Ⅱ</w:t>
      </w:r>
      <w:r>
        <w:rPr>
          <w:color w:val="000000"/>
          <w:sz w:val="24"/>
        </w:rPr>
        <w:t>号矿未按应急预案物资储备清单储备物资。</w:t>
      </w:r>
      <w:r>
        <w:rPr>
          <w:color w:val="000000"/>
          <w:sz w:val="24"/>
        </w:rPr>
        <w:t>2019</w:t>
      </w:r>
      <w:r>
        <w:rPr>
          <w:color w:val="000000"/>
          <w:sz w:val="24"/>
        </w:rPr>
        <w:t>年</w:t>
      </w:r>
      <w:r>
        <w:rPr>
          <w:color w:val="000000"/>
          <w:sz w:val="24"/>
        </w:rPr>
        <w:t>9</w:t>
      </w:r>
      <w:r>
        <w:rPr>
          <w:color w:val="000000"/>
          <w:sz w:val="24"/>
        </w:rPr>
        <w:t>月</w:t>
      </w:r>
      <w:r>
        <w:rPr>
          <w:color w:val="000000"/>
          <w:sz w:val="24"/>
        </w:rPr>
        <w:t>16</w:t>
      </w:r>
      <w:r>
        <w:rPr>
          <w:color w:val="000000"/>
          <w:sz w:val="24"/>
        </w:rPr>
        <w:t>日，山西省应急管理厅对中国铝业股份有限公司兴县奥家湾铝矿的如下违法违规行为作出</w:t>
      </w:r>
      <w:r>
        <w:rPr>
          <w:color w:val="000000"/>
          <w:sz w:val="24"/>
        </w:rPr>
        <w:t>“</w:t>
      </w:r>
      <w:r>
        <w:rPr>
          <w:color w:val="000000"/>
          <w:sz w:val="24"/>
        </w:rPr>
        <w:t>责令限期改正，处人民币贰万元罚款</w:t>
      </w:r>
      <w:r>
        <w:rPr>
          <w:color w:val="000000"/>
          <w:sz w:val="24"/>
        </w:rPr>
        <w:t>”</w:t>
      </w:r>
      <w:r>
        <w:rPr>
          <w:color w:val="000000"/>
          <w:sz w:val="24"/>
        </w:rPr>
        <w:t>的行政处罚决定：</w:t>
      </w:r>
      <w:r>
        <w:rPr>
          <w:color w:val="000000"/>
          <w:sz w:val="24"/>
        </w:rPr>
        <w:t>Ⅱ</w:t>
      </w:r>
      <w:r>
        <w:rPr>
          <w:color w:val="000000"/>
          <w:sz w:val="24"/>
        </w:rPr>
        <w:t>号矿</w:t>
      </w:r>
      <w:r>
        <w:rPr>
          <w:color w:val="000000"/>
          <w:sz w:val="24"/>
        </w:rPr>
        <w:t>1</w:t>
      </w:r>
      <w:r>
        <w:rPr>
          <w:color w:val="000000"/>
          <w:sz w:val="24"/>
        </w:rPr>
        <w:t>、</w:t>
      </w:r>
      <w:r>
        <w:rPr>
          <w:color w:val="000000"/>
          <w:sz w:val="24"/>
        </w:rPr>
        <w:t>1</w:t>
      </w:r>
      <w:r>
        <w:rPr>
          <w:color w:val="000000"/>
          <w:sz w:val="24"/>
        </w:rPr>
        <w:t>号风机房风门变形未及时维护，存在漏风隐患；</w:t>
      </w:r>
      <w:r>
        <w:rPr>
          <w:color w:val="000000"/>
          <w:sz w:val="24"/>
        </w:rPr>
        <w:t>2</w:t>
      </w:r>
      <w:r>
        <w:rPr>
          <w:color w:val="000000"/>
          <w:sz w:val="24"/>
        </w:rPr>
        <w:t>、</w:t>
      </w:r>
      <w:r>
        <w:rPr>
          <w:color w:val="000000"/>
          <w:sz w:val="24"/>
        </w:rPr>
        <w:t>1</w:t>
      </w:r>
      <w:r>
        <w:rPr>
          <w:color w:val="000000"/>
          <w:sz w:val="24"/>
        </w:rPr>
        <w:t>号风机房风门变形，有杂物堆放未及时维护，存在安全出口不畅；</w:t>
      </w:r>
      <w:r>
        <w:rPr>
          <w:color w:val="000000"/>
          <w:sz w:val="24"/>
        </w:rPr>
        <w:t>3</w:t>
      </w:r>
      <w:r>
        <w:rPr>
          <w:color w:val="000000"/>
          <w:sz w:val="24"/>
        </w:rPr>
        <w:t>、</w:t>
      </w:r>
      <w:r>
        <w:rPr>
          <w:color w:val="000000"/>
          <w:sz w:val="24"/>
        </w:rPr>
        <w:t>1040</w:t>
      </w:r>
      <w:r>
        <w:rPr>
          <w:color w:val="000000"/>
          <w:sz w:val="24"/>
        </w:rPr>
        <w:t>中段</w:t>
      </w:r>
      <w:r>
        <w:rPr>
          <w:color w:val="000000"/>
          <w:sz w:val="24"/>
        </w:rPr>
        <w:t>6</w:t>
      </w:r>
      <w:r>
        <w:rPr>
          <w:color w:val="000000"/>
          <w:sz w:val="24"/>
        </w:rPr>
        <w:t>号下山风管存在漏风隐患未及时维护；</w:t>
      </w:r>
      <w:r>
        <w:rPr>
          <w:color w:val="000000"/>
          <w:sz w:val="24"/>
        </w:rPr>
        <w:t>4</w:t>
      </w:r>
      <w:r>
        <w:rPr>
          <w:color w:val="000000"/>
          <w:sz w:val="24"/>
        </w:rPr>
        <w:t>、地表水泵房应急灯未接电没有及时维护。</w:t>
      </w:r>
      <w:r>
        <w:rPr>
          <w:color w:val="000000"/>
          <w:sz w:val="24"/>
        </w:rPr>
        <w:t>2020</w:t>
      </w:r>
      <w:r>
        <w:rPr>
          <w:color w:val="000000"/>
          <w:sz w:val="24"/>
        </w:rPr>
        <w:t>年</w:t>
      </w:r>
      <w:r>
        <w:rPr>
          <w:color w:val="000000"/>
          <w:sz w:val="24"/>
        </w:rPr>
        <w:t>4</w:t>
      </w:r>
      <w:r>
        <w:rPr>
          <w:color w:val="000000"/>
          <w:sz w:val="24"/>
        </w:rPr>
        <w:t>月</w:t>
      </w:r>
      <w:r>
        <w:rPr>
          <w:color w:val="000000"/>
          <w:sz w:val="24"/>
        </w:rPr>
        <w:t>18</w:t>
      </w:r>
      <w:r>
        <w:rPr>
          <w:color w:val="000000"/>
          <w:sz w:val="24"/>
        </w:rPr>
        <w:t>日，广西省平果市应急管理局对中国铝业股份有限公司广</w:t>
      </w:r>
      <w:r>
        <w:rPr>
          <w:color w:val="000000"/>
          <w:sz w:val="24"/>
        </w:rPr>
        <w:lastRenderedPageBreak/>
        <w:t>西分公司的如下违法违规行为罚款</w:t>
      </w:r>
      <w:r>
        <w:rPr>
          <w:color w:val="000000"/>
          <w:sz w:val="24"/>
        </w:rPr>
        <w:t>22</w:t>
      </w:r>
      <w:r>
        <w:rPr>
          <w:color w:val="000000"/>
          <w:sz w:val="24"/>
        </w:rPr>
        <w:t>万元：中国铝业广西分公司在</w:t>
      </w:r>
      <w:r>
        <w:rPr>
          <w:color w:val="000000"/>
          <w:sz w:val="24"/>
        </w:rPr>
        <w:t>“12.29”</w:t>
      </w:r>
      <w:r>
        <w:rPr>
          <w:color w:val="000000"/>
          <w:sz w:val="24"/>
        </w:rPr>
        <w:t>事故案中存在落实企业安全生产主体责任不到位的违法事实，一是未能健全岗位操作规程，提高安全生产水平，确保安全生产；二是未能有效吸取类似事故教训和未能针对性开展岗位安全教育培训防止类似事故不再发生；三是未加强安全生产管理，清障作业现场安全监管缺失。对事故的发生负有一定的管理责任。</w:t>
      </w:r>
    </w:p>
    <w:p w:rsidR="00AB3007" w:rsidRDefault="00EC4743">
      <w:pPr>
        <w:widowControl/>
        <w:spacing w:line="360" w:lineRule="auto"/>
        <w:rPr>
          <w:color w:val="000000"/>
          <w:sz w:val="24"/>
        </w:rPr>
      </w:pPr>
      <w:r>
        <w:rPr>
          <w:color w:val="000000"/>
          <w:sz w:val="24"/>
        </w:rPr>
        <w:t>本基金投资</w:t>
      </w:r>
      <w:r>
        <w:rPr>
          <w:color w:val="000000"/>
          <w:sz w:val="24"/>
        </w:rPr>
        <w:t>20</w:t>
      </w:r>
      <w:r>
        <w:rPr>
          <w:color w:val="000000"/>
          <w:sz w:val="24"/>
        </w:rPr>
        <w:t>京建工</w:t>
      </w:r>
      <w:r>
        <w:rPr>
          <w:color w:val="000000"/>
          <w:sz w:val="24"/>
        </w:rPr>
        <w:t>MTN001</w:t>
      </w:r>
      <w:r>
        <w:rPr>
          <w:color w:val="000000"/>
          <w:sz w:val="24"/>
        </w:rPr>
        <w:t>、</w:t>
      </w:r>
      <w:r>
        <w:rPr>
          <w:color w:val="000000"/>
          <w:sz w:val="24"/>
        </w:rPr>
        <w:t>19</w:t>
      </w:r>
      <w:r>
        <w:rPr>
          <w:color w:val="000000"/>
          <w:sz w:val="24"/>
        </w:rPr>
        <w:t>中铝</w:t>
      </w:r>
      <w:r>
        <w:rPr>
          <w:color w:val="000000"/>
          <w:sz w:val="24"/>
        </w:rPr>
        <w:t>G3</w:t>
      </w:r>
      <w:r>
        <w:rPr>
          <w:color w:val="000000"/>
          <w:sz w:val="24"/>
        </w:rPr>
        <w:t>的投资决策程序符合公司投资制度的规定。</w:t>
      </w:r>
    </w:p>
    <w:p w:rsidR="00AB3007" w:rsidRDefault="00EC4743">
      <w:pPr>
        <w:widowControl/>
        <w:spacing w:line="360" w:lineRule="auto"/>
        <w:rPr>
          <w:color w:val="000000"/>
          <w:sz w:val="24"/>
        </w:rPr>
      </w:pPr>
      <w:r>
        <w:rPr>
          <w:color w:val="000000"/>
          <w:sz w:val="24"/>
        </w:rPr>
        <w:t>除</w:t>
      </w:r>
      <w:r>
        <w:rPr>
          <w:color w:val="000000"/>
          <w:sz w:val="24"/>
        </w:rPr>
        <w:t>20</w:t>
      </w:r>
      <w:r>
        <w:rPr>
          <w:color w:val="000000"/>
          <w:sz w:val="24"/>
        </w:rPr>
        <w:t>京建工</w:t>
      </w:r>
      <w:r>
        <w:rPr>
          <w:color w:val="000000"/>
          <w:sz w:val="24"/>
        </w:rPr>
        <w:t>MTN001</w:t>
      </w:r>
      <w:r>
        <w:rPr>
          <w:color w:val="000000"/>
          <w:sz w:val="24"/>
        </w:rPr>
        <w:t>、</w:t>
      </w:r>
      <w:r>
        <w:rPr>
          <w:color w:val="000000"/>
          <w:sz w:val="24"/>
        </w:rPr>
        <w:t>19</w:t>
      </w:r>
      <w:r>
        <w:rPr>
          <w:color w:val="000000"/>
          <w:sz w:val="24"/>
        </w:rPr>
        <w:t>中铝</w:t>
      </w:r>
      <w:r>
        <w:rPr>
          <w:color w:val="000000"/>
          <w:sz w:val="24"/>
        </w:rPr>
        <w:t>G3</w:t>
      </w:r>
      <w:r>
        <w:rPr>
          <w:color w:val="000000"/>
          <w:sz w:val="24"/>
        </w:rPr>
        <w:t>外，本基金投资的前十名证券的发行主体本期没有出现被监管部门立案调查，或在报告编制日前一年内受到公开谴责、处罚的情形。</w:t>
      </w:r>
    </w:p>
    <w:p w:rsidR="00F016DD" w:rsidRPr="00414367" w:rsidRDefault="00F016DD" w:rsidP="006456D3">
      <w:pPr>
        <w:widowControl/>
        <w:spacing w:line="360" w:lineRule="auto"/>
        <w:rPr>
          <w:color w:val="000000"/>
          <w:sz w:val="24"/>
        </w:rPr>
      </w:pPr>
      <w:r w:rsidRPr="00414367">
        <w:rPr>
          <w:color w:val="000000"/>
          <w:sz w:val="24"/>
        </w:rPr>
        <w:t>5.11.2</w:t>
      </w:r>
      <w:r w:rsidR="00293065">
        <w:rPr>
          <w:rFonts w:hint="eastAsia"/>
          <w:color w:val="000000"/>
          <w:sz w:val="24"/>
        </w:rPr>
        <w:t xml:space="preserve"> </w:t>
      </w:r>
      <w:r w:rsidRPr="00414367">
        <w:rPr>
          <w:color w:val="000000"/>
          <w:sz w:val="24"/>
        </w:rPr>
        <w:t>本基金本报告期没有投资股票，因此不存在投资的前十名股票超出基金合同规定的备选股票库情况。</w:t>
      </w:r>
    </w:p>
    <w:p w:rsidR="00F016DD" w:rsidRPr="00414367" w:rsidRDefault="00F016DD" w:rsidP="001D5CD0">
      <w:pPr>
        <w:autoSpaceDE w:val="0"/>
        <w:autoSpaceDN w:val="0"/>
        <w:adjustRightInd w:val="0"/>
        <w:spacing w:line="360" w:lineRule="auto"/>
        <w:rPr>
          <w:kern w:val="0"/>
          <w:sz w:val="24"/>
        </w:rPr>
      </w:pPr>
      <w:r w:rsidRPr="00414367">
        <w:rPr>
          <w:kern w:val="0"/>
          <w:sz w:val="24"/>
        </w:rPr>
        <w:t>5.11.3</w:t>
      </w:r>
      <w:r w:rsidRPr="00414367">
        <w:rPr>
          <w:kern w:val="0"/>
          <w:sz w:val="24"/>
        </w:rPr>
        <w:t>其他资产构成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4"/>
        <w:gridCol w:w="2761"/>
        <w:gridCol w:w="4808"/>
      </w:tblGrid>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w="2761"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w="4808"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143,900.39</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2</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20,724,601.45</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3</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4</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356,148,798.74</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5</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14,478,947.76</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6</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7</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sz w:val="24"/>
              </w:rPr>
            </w:pPr>
            <w:r w:rsidRPr="00FA472B">
              <w:rPr>
                <w:color w:val="00000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8</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9</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391,496,248.34</w:t>
            </w:r>
          </w:p>
        </w:tc>
      </w:tr>
    </w:tbl>
    <w:p w:rsidR="00F016DD" w:rsidRPr="00E7356F" w:rsidRDefault="00F016DD" w:rsidP="001D5CD0">
      <w:pPr>
        <w:autoSpaceDE w:val="0"/>
        <w:autoSpaceDN w:val="0"/>
        <w:adjustRightInd w:val="0"/>
        <w:spacing w:line="360" w:lineRule="auto"/>
        <w:jc w:val="left"/>
        <w:rPr>
          <w:rFonts w:ascii="宋体" w:cs="Arial"/>
          <w:kern w:val="0"/>
          <w:sz w:val="24"/>
        </w:rPr>
      </w:pPr>
      <w:r w:rsidRPr="00E7356F">
        <w:rPr>
          <w:rFonts w:ascii="宋体" w:hAnsi="宋体" w:cs="Arial"/>
          <w:kern w:val="0"/>
          <w:sz w:val="24"/>
        </w:rPr>
        <w:t>5.11.4</w:t>
      </w:r>
      <w:r w:rsidRPr="00E7356F">
        <w:rPr>
          <w:rFonts w:ascii="宋体" w:hAnsi="宋体" w:cs="Arial" w:hint="eastAsia"/>
          <w:kern w:val="0"/>
          <w:sz w:val="24"/>
        </w:rPr>
        <w:t>报告期末持有的处于转股期的可转换债券明细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本基金本报告期末未持有处于转股期的可转换债券。</w:t>
      </w:r>
    </w:p>
    <w:p w:rsidR="00F016DD" w:rsidRPr="00E7356F" w:rsidRDefault="00F016DD" w:rsidP="001D5CD0">
      <w:pPr>
        <w:autoSpaceDE w:val="0"/>
        <w:autoSpaceDN w:val="0"/>
        <w:adjustRightInd w:val="0"/>
        <w:spacing w:line="360" w:lineRule="auto"/>
        <w:jc w:val="left"/>
        <w:rPr>
          <w:rFonts w:ascii="宋体"/>
          <w:bCs/>
          <w:sz w:val="24"/>
        </w:rPr>
      </w:pPr>
      <w:r w:rsidRPr="00E7356F">
        <w:rPr>
          <w:rFonts w:ascii="宋体" w:hAnsi="宋体" w:cs="Arial"/>
          <w:kern w:val="0"/>
          <w:sz w:val="24"/>
        </w:rPr>
        <w:t>5.11.5</w:t>
      </w:r>
      <w:r w:rsidRPr="00E7356F">
        <w:rPr>
          <w:rFonts w:ascii="宋体" w:hAnsi="宋体" w:hint="eastAsia"/>
          <w:bCs/>
          <w:sz w:val="24"/>
        </w:rPr>
        <w:t>报告期末前十名股票中存在流通受限情况的说明</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本基金本报告期末未持有股票。</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lastRenderedPageBreak/>
        <w:t>§</w:t>
      </w:r>
      <w:r w:rsidRPr="0078105B">
        <w:rPr>
          <w:rFonts w:ascii="宋体" w:hAnsi="宋体" w:cs="Arial"/>
          <w:color w:val="000000"/>
          <w:kern w:val="0"/>
          <w:sz w:val="24"/>
          <w:szCs w:val="24"/>
        </w:rPr>
        <w:t xml:space="preserve">6  </w:t>
      </w:r>
      <w:r w:rsidRPr="0078105B">
        <w:rPr>
          <w:rFonts w:ascii="宋体" w:hAnsi="宋体" w:cs="Arial" w:hint="eastAsia"/>
          <w:color w:val="000000"/>
          <w:kern w:val="0"/>
          <w:sz w:val="24"/>
          <w:szCs w:val="24"/>
        </w:rPr>
        <w:t>开放式基金份额变动</w:t>
      </w:r>
    </w:p>
    <w:p w:rsidR="00F016DD" w:rsidRPr="00FA472B" w:rsidRDefault="00F016DD" w:rsidP="00302187">
      <w:pPr>
        <w:autoSpaceDE w:val="0"/>
        <w:autoSpaceDN w:val="0"/>
        <w:adjustRightInd w:val="0"/>
        <w:spacing w:before="29" w:line="288" w:lineRule="auto"/>
        <w:ind w:left="15" w:right="480"/>
        <w:jc w:val="right"/>
        <w:rPr>
          <w:rFonts w:ascii="宋体" w:hAnsi="宋体" w:cs="Arial"/>
          <w:color w:val="000000"/>
          <w:kern w:val="0"/>
          <w:sz w:val="24"/>
        </w:rPr>
      </w:pPr>
      <w:r w:rsidRPr="00FA472B">
        <w:rPr>
          <w:rFonts w:ascii="宋体" w:hAnsi="宋体" w:cs="Arial" w:hint="eastAsia"/>
          <w:color w:val="000000"/>
          <w:kern w:val="0"/>
          <w:sz w:val="24"/>
        </w:rPr>
        <w:t>单位：份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00"/>
        <w:gridCol w:w="2367"/>
        <w:gridCol w:w="2367"/>
      </w:tblGrid>
      <w:tr w:rsidR="00F016DD" w:rsidRPr="0078105B" w:rsidTr="0001612A">
        <w:tc>
          <w:tcPr>
            <w:tcW w:w="3900" w:type="dxa"/>
            <w:vAlign w:val="center"/>
          </w:tcPr>
          <w:p w:rsidR="00F016DD" w:rsidRPr="00FA472B" w:rsidRDefault="00F016DD" w:rsidP="00B84643">
            <w:pPr>
              <w:autoSpaceDE w:val="0"/>
              <w:autoSpaceDN w:val="0"/>
              <w:adjustRightInd w:val="0"/>
              <w:spacing w:before="29" w:line="360" w:lineRule="auto"/>
              <w:ind w:left="17"/>
              <w:jc w:val="center"/>
              <w:rPr>
                <w:color w:val="000000"/>
                <w:kern w:val="0"/>
                <w:sz w:val="24"/>
              </w:rPr>
            </w:pPr>
            <w:r w:rsidRPr="00FA472B">
              <w:rPr>
                <w:color w:val="000000"/>
                <w:kern w:val="0"/>
                <w:sz w:val="24"/>
              </w:rPr>
              <w:t>项目</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sz w:val="24"/>
              </w:rPr>
              <w:t>易方达高等级信用债债券</w:t>
            </w:r>
            <w:r w:rsidRPr="00FA472B">
              <w:rPr>
                <w:sz w:val="24"/>
              </w:rPr>
              <w:t>A</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sz w:val="24"/>
              </w:rPr>
              <w:t>易方达高等级信用债债券</w:t>
            </w:r>
            <w:r w:rsidRPr="00FA472B">
              <w:rPr>
                <w:sz w:val="24"/>
              </w:rPr>
              <w:t>C</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报告期期初基金份额总额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9,379,327,431.91</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2,200,688,689.02</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报告期基金总申购份额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2,786,581,568.00</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5,452,197,596.07</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减：报告期基金总赎回份额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1,498,904,679.75</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4,449,868,029.05</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w="2367" w:type="dxa"/>
            <w:vAlign w:val="center"/>
          </w:tcPr>
          <w:p w:rsidR="00F016DD" w:rsidRPr="00FA472B" w:rsidRDefault="00F016DD" w:rsidP="00B57BCF">
            <w:pPr>
              <w:autoSpaceDE w:val="0"/>
              <w:autoSpaceDN w:val="0"/>
              <w:adjustRightInd w:val="0"/>
              <w:spacing w:before="29" w:line="360" w:lineRule="auto"/>
              <w:ind w:left="17"/>
              <w:jc w:val="right"/>
              <w:rPr>
                <w:color w:val="000000"/>
                <w:sz w:val="24"/>
              </w:rPr>
            </w:pPr>
            <w:r w:rsidRPr="00FA472B">
              <w:rPr>
                <w:color w:val="000000"/>
                <w:sz w:val="24"/>
              </w:rPr>
              <w:t>10,667,004,320.16</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3,203,018,256.04</w:t>
            </w:r>
          </w:p>
        </w:tc>
      </w:tr>
    </w:tbl>
    <w:p w:rsidR="00F016DD" w:rsidRDefault="00F016DD" w:rsidP="00B54884">
      <w:pPr>
        <w:pStyle w:val="1"/>
        <w:tabs>
          <w:tab w:val="center" w:pos="4156"/>
          <w:tab w:val="right" w:pos="8312"/>
        </w:tabs>
        <w:spacing w:beforeLines="100" w:before="312" w:afterLines="100" w:after="312" w:line="360" w:lineRule="auto"/>
        <w:jc w:val="center"/>
        <w:rPr>
          <w:rFonts w:ascii="方正仿宋简体"/>
          <w:sz w:val="24"/>
          <w:szCs w:val="24"/>
        </w:rPr>
      </w:pPr>
      <w:r w:rsidRPr="00AB67DE">
        <w:rPr>
          <w:rFonts w:ascii="宋体" w:hAnsi="宋体" w:cs="Arial" w:hint="eastAsia"/>
          <w:color w:val="000000"/>
          <w:kern w:val="0"/>
          <w:sz w:val="24"/>
          <w:szCs w:val="24"/>
        </w:rPr>
        <w:t>§</w:t>
      </w:r>
      <w:r w:rsidRPr="00AB67DE">
        <w:rPr>
          <w:rFonts w:ascii="宋体" w:cs="Arial"/>
          <w:color w:val="000000"/>
          <w:kern w:val="0"/>
          <w:sz w:val="24"/>
          <w:szCs w:val="24"/>
        </w:rPr>
        <w:t>7</w:t>
      </w:r>
      <w:r w:rsidR="0066098B" w:rsidRPr="0078105B">
        <w:rPr>
          <w:rFonts w:ascii="宋体" w:hAnsi="宋体" w:cs="Arial"/>
          <w:color w:val="000000"/>
          <w:kern w:val="0"/>
          <w:sz w:val="24"/>
          <w:szCs w:val="24"/>
        </w:rPr>
        <w:t xml:space="preserve">  </w:t>
      </w:r>
      <w:r w:rsidRPr="0016464C">
        <w:rPr>
          <w:rFonts w:ascii="方正仿宋简体" w:hint="eastAsia"/>
          <w:sz w:val="24"/>
          <w:szCs w:val="24"/>
        </w:rPr>
        <w:t>基金管理人运用固有资金投资本基金情况</w:t>
      </w:r>
    </w:p>
    <w:p w:rsidR="00F016DD" w:rsidRPr="00B76BBB" w:rsidRDefault="00F016DD" w:rsidP="00935FB1">
      <w:pPr>
        <w:spacing w:line="360" w:lineRule="auto"/>
        <w:jc w:val="left"/>
        <w:rPr>
          <w:sz w:val="24"/>
        </w:rPr>
      </w:pPr>
      <w:r>
        <w:rPr>
          <w:b/>
          <w:sz w:val="24"/>
        </w:rPr>
        <w:t xml:space="preserve">7.1 </w:t>
      </w:r>
      <w:r>
        <w:rPr>
          <w:rFonts w:hint="eastAsia"/>
          <w:b/>
          <w:sz w:val="24"/>
        </w:rPr>
        <w:t>基</w:t>
      </w:r>
      <w:r w:rsidRPr="00B404F1">
        <w:rPr>
          <w:rFonts w:hint="eastAsia"/>
          <w:b/>
          <w:sz w:val="24"/>
        </w:rPr>
        <w:t>金管理人持有本基金份额变动情况</w:t>
      </w:r>
    </w:p>
    <w:p w:rsidR="00F016DD" w:rsidRPr="00DF18FE" w:rsidRDefault="00CC78C7" w:rsidP="00DF18FE">
      <w:pPr>
        <w:spacing w:line="360" w:lineRule="auto"/>
        <w:ind w:firstLineChars="200" w:firstLine="480"/>
        <w:rPr>
          <w:color w:val="000000"/>
          <w:sz w:val="24"/>
        </w:rPr>
      </w:pPr>
      <w:r w:rsidRPr="00DF18FE">
        <w:rPr>
          <w:color w:val="000000"/>
          <w:sz w:val="24"/>
        </w:rPr>
        <w:t>本报告期内基金管理人未持有本基金份额。</w:t>
      </w:r>
    </w:p>
    <w:p w:rsidR="00F016DD" w:rsidRPr="00B76BBB" w:rsidRDefault="00F016DD" w:rsidP="00935FB1">
      <w:pPr>
        <w:spacing w:line="360" w:lineRule="auto"/>
        <w:jc w:val="left"/>
        <w:rPr>
          <w:sz w:val="24"/>
        </w:rPr>
      </w:pPr>
      <w:r>
        <w:rPr>
          <w:b/>
          <w:sz w:val="24"/>
        </w:rPr>
        <w:t xml:space="preserve">7.2 </w:t>
      </w:r>
      <w:r>
        <w:rPr>
          <w:rFonts w:hint="eastAsia"/>
          <w:b/>
          <w:sz w:val="24"/>
        </w:rPr>
        <w:t>基</w:t>
      </w:r>
      <w:r w:rsidRPr="00B404F1">
        <w:rPr>
          <w:rFonts w:hint="eastAsia"/>
          <w:b/>
          <w:sz w:val="24"/>
        </w:rPr>
        <w:t>金管理人运用固有资金投资本基金交易明细</w:t>
      </w:r>
    </w:p>
    <w:p w:rsidR="00F016DD" w:rsidRPr="00DF18FE" w:rsidRDefault="00F016DD" w:rsidP="00DF18FE">
      <w:pPr>
        <w:spacing w:line="360" w:lineRule="auto"/>
        <w:ind w:firstLineChars="200" w:firstLine="480"/>
        <w:rPr>
          <w:color w:val="000000"/>
          <w:sz w:val="24"/>
        </w:rPr>
      </w:pPr>
      <w:r w:rsidRPr="00DF18FE">
        <w:rPr>
          <w:color w:val="000000"/>
          <w:sz w:val="24"/>
        </w:rPr>
        <w:t>本报告期内基金管理人未运用固有资金申购、赎回、买卖本基金份额。</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8</w:t>
      </w:r>
      <w:r w:rsidR="0066098B" w:rsidRPr="0078105B">
        <w:rPr>
          <w:rFonts w:ascii="宋体" w:hAnsi="宋体" w:cs="Arial"/>
          <w:color w:val="000000"/>
          <w:kern w:val="0"/>
          <w:sz w:val="24"/>
          <w:szCs w:val="24"/>
        </w:rPr>
        <w:t xml:space="preserve">  </w:t>
      </w:r>
      <w:r w:rsidRPr="0078105B">
        <w:rPr>
          <w:rFonts w:ascii="宋体" w:hAnsi="宋体" w:cs="Arial" w:hint="eastAsia"/>
          <w:color w:val="000000"/>
          <w:kern w:val="0"/>
          <w:sz w:val="24"/>
          <w:szCs w:val="24"/>
        </w:rPr>
        <w:t>备查文件目录</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8.1</w:t>
      </w:r>
      <w:r w:rsidRPr="00E8153C">
        <w:rPr>
          <w:color w:val="000000"/>
          <w:kern w:val="0"/>
          <w:sz w:val="24"/>
        </w:rPr>
        <w:t>备查文件目录</w:t>
      </w:r>
    </w:p>
    <w:p w:rsidR="00AB3007" w:rsidRDefault="00EC4743">
      <w:pPr>
        <w:spacing w:line="360" w:lineRule="auto"/>
        <w:ind w:firstLineChars="200" w:firstLine="480"/>
        <w:rPr>
          <w:color w:val="000000"/>
          <w:sz w:val="24"/>
        </w:rPr>
      </w:pPr>
      <w:r>
        <w:rPr>
          <w:color w:val="000000"/>
          <w:sz w:val="24"/>
        </w:rPr>
        <w:t>1.</w:t>
      </w:r>
      <w:r>
        <w:rPr>
          <w:color w:val="000000"/>
          <w:sz w:val="24"/>
        </w:rPr>
        <w:t>中国证监会核准易方达高等级信用债债券型证券投资基金募集的文件；</w:t>
      </w:r>
    </w:p>
    <w:p w:rsidR="00AB3007" w:rsidRDefault="00EC4743">
      <w:pPr>
        <w:spacing w:line="360" w:lineRule="auto"/>
        <w:ind w:firstLineChars="200" w:firstLine="480"/>
        <w:rPr>
          <w:color w:val="000000"/>
          <w:sz w:val="24"/>
        </w:rPr>
      </w:pPr>
      <w:r>
        <w:rPr>
          <w:color w:val="000000"/>
          <w:sz w:val="24"/>
        </w:rPr>
        <w:t>2.</w:t>
      </w:r>
      <w:r>
        <w:rPr>
          <w:color w:val="000000"/>
          <w:sz w:val="24"/>
        </w:rPr>
        <w:t>《易方达高等级信用债债券型证券投资基金基金合同》；</w:t>
      </w:r>
    </w:p>
    <w:p w:rsidR="00AB3007" w:rsidRDefault="00EC4743">
      <w:pPr>
        <w:spacing w:line="360" w:lineRule="auto"/>
        <w:ind w:firstLineChars="200" w:firstLine="480"/>
        <w:rPr>
          <w:color w:val="000000"/>
          <w:sz w:val="24"/>
        </w:rPr>
      </w:pPr>
      <w:r>
        <w:rPr>
          <w:color w:val="000000"/>
          <w:sz w:val="24"/>
        </w:rPr>
        <w:t>3.</w:t>
      </w:r>
      <w:r>
        <w:rPr>
          <w:color w:val="000000"/>
          <w:sz w:val="24"/>
        </w:rPr>
        <w:t>《易方达高等级信用债债券型证券投资基金托管协议》；</w:t>
      </w:r>
    </w:p>
    <w:p w:rsidR="00AB3007" w:rsidRDefault="00EC4743">
      <w:pPr>
        <w:spacing w:line="360" w:lineRule="auto"/>
        <w:ind w:firstLineChars="200" w:firstLine="480"/>
        <w:rPr>
          <w:color w:val="000000"/>
          <w:sz w:val="24"/>
        </w:rPr>
      </w:pPr>
      <w:r>
        <w:rPr>
          <w:color w:val="000000"/>
          <w:sz w:val="24"/>
        </w:rPr>
        <w:t>4.</w:t>
      </w:r>
      <w:r>
        <w:rPr>
          <w:color w:val="000000"/>
          <w:sz w:val="24"/>
        </w:rPr>
        <w:t>《易方达基金管理有限公司开放式基金业务规则》；</w:t>
      </w:r>
    </w:p>
    <w:p w:rsidR="00F016DD" w:rsidRPr="00E8153C" w:rsidRDefault="00F016DD" w:rsidP="00DF18FE">
      <w:pPr>
        <w:spacing w:line="360" w:lineRule="auto"/>
        <w:ind w:firstLineChars="200" w:firstLine="480"/>
        <w:rPr>
          <w:color w:val="000000"/>
          <w:sz w:val="24"/>
        </w:rPr>
      </w:pPr>
      <w:r w:rsidRPr="00E8153C">
        <w:rPr>
          <w:color w:val="000000"/>
          <w:sz w:val="24"/>
        </w:rPr>
        <w:t>5.</w:t>
      </w:r>
      <w:r w:rsidRPr="00E8153C">
        <w:rPr>
          <w:color w:val="000000"/>
          <w:sz w:val="24"/>
        </w:rPr>
        <w:t>基金管理人业务资格批件、营业执照。</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8.2</w:t>
      </w:r>
      <w:r w:rsidRPr="00E8153C">
        <w:rPr>
          <w:color w:val="000000"/>
          <w:kern w:val="0"/>
          <w:sz w:val="24"/>
        </w:rPr>
        <w:t>存放地点</w:t>
      </w:r>
    </w:p>
    <w:p w:rsidR="00F016DD" w:rsidRPr="00E8153C" w:rsidRDefault="00F016DD" w:rsidP="00DF18FE">
      <w:pPr>
        <w:spacing w:line="360" w:lineRule="auto"/>
        <w:ind w:firstLineChars="200" w:firstLine="480"/>
        <w:rPr>
          <w:color w:val="000000"/>
          <w:sz w:val="24"/>
        </w:rPr>
      </w:pPr>
      <w:r w:rsidRPr="00E8153C">
        <w:rPr>
          <w:color w:val="000000"/>
          <w:sz w:val="24"/>
        </w:rPr>
        <w:t>广州市天河区珠江新城珠江东路</w:t>
      </w:r>
      <w:r w:rsidRPr="00E8153C">
        <w:rPr>
          <w:color w:val="000000"/>
          <w:sz w:val="24"/>
        </w:rPr>
        <w:t>30</w:t>
      </w:r>
      <w:r w:rsidRPr="00E8153C">
        <w:rPr>
          <w:color w:val="000000"/>
          <w:sz w:val="24"/>
        </w:rPr>
        <w:t>号广州银行大厦</w:t>
      </w:r>
      <w:r w:rsidRPr="00E8153C">
        <w:rPr>
          <w:color w:val="000000"/>
          <w:sz w:val="24"/>
        </w:rPr>
        <w:t>40-43</w:t>
      </w:r>
      <w:r w:rsidRPr="00E8153C">
        <w:rPr>
          <w:color w:val="000000"/>
          <w:sz w:val="24"/>
        </w:rPr>
        <w:t>楼。</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8.3</w:t>
      </w:r>
      <w:r w:rsidRPr="00E8153C">
        <w:rPr>
          <w:color w:val="000000"/>
          <w:kern w:val="0"/>
          <w:sz w:val="24"/>
        </w:rPr>
        <w:t>查阅方式</w:t>
      </w:r>
    </w:p>
    <w:p w:rsidR="00F016DD" w:rsidRPr="00E8153C" w:rsidRDefault="00F016DD" w:rsidP="00DF18FE">
      <w:pPr>
        <w:spacing w:line="360" w:lineRule="auto"/>
        <w:ind w:firstLineChars="200" w:firstLine="480"/>
        <w:rPr>
          <w:color w:val="000000"/>
          <w:sz w:val="24"/>
        </w:rPr>
      </w:pPr>
      <w:r w:rsidRPr="00E8153C">
        <w:rPr>
          <w:color w:val="000000"/>
          <w:sz w:val="24"/>
        </w:rPr>
        <w:t>投资者可在营业时间免费查阅，也可按工本费购买复印件。</w:t>
      </w:r>
    </w:p>
    <w:p w:rsidR="00F016DD" w:rsidRPr="0078105B" w:rsidRDefault="00F016DD" w:rsidP="00FB3C94">
      <w:pPr>
        <w:spacing w:line="360" w:lineRule="auto"/>
        <w:ind w:left="840"/>
        <w:jc w:val="right"/>
        <w:rPr>
          <w:rFonts w:ascii="宋体"/>
          <w:color w:val="000000"/>
          <w:sz w:val="24"/>
        </w:rPr>
      </w:pPr>
    </w:p>
    <w:p w:rsidR="00F016DD" w:rsidRPr="0078105B" w:rsidRDefault="00F016DD" w:rsidP="00053FFD">
      <w:pPr>
        <w:spacing w:line="360" w:lineRule="auto"/>
        <w:ind w:left="840"/>
        <w:jc w:val="center"/>
        <w:rPr>
          <w:rFonts w:ascii="宋体"/>
          <w:b/>
          <w:color w:val="000000"/>
          <w:sz w:val="24"/>
        </w:rPr>
      </w:pPr>
    </w:p>
    <w:p w:rsidR="00F016DD" w:rsidRPr="0078105B" w:rsidRDefault="00F016DD" w:rsidP="00B1493B">
      <w:pPr>
        <w:spacing w:line="360" w:lineRule="auto"/>
        <w:jc w:val="right"/>
        <w:rPr>
          <w:rFonts w:ascii="宋体" w:hAnsi="宋体"/>
          <w:b/>
          <w:bCs/>
          <w:sz w:val="24"/>
        </w:rPr>
      </w:pPr>
      <w:r w:rsidRPr="0078105B">
        <w:rPr>
          <w:rFonts w:ascii="宋体" w:hAnsi="宋体"/>
          <w:b/>
          <w:bCs/>
          <w:sz w:val="24"/>
        </w:rPr>
        <w:t>易方达基金管理有限公司</w:t>
      </w:r>
    </w:p>
    <w:p w:rsidR="00F016DD" w:rsidRPr="0078105B" w:rsidRDefault="00F016DD" w:rsidP="00B1493B">
      <w:pPr>
        <w:spacing w:line="360" w:lineRule="auto"/>
        <w:jc w:val="right"/>
        <w:rPr>
          <w:rFonts w:ascii="宋体" w:hAnsi="宋体"/>
          <w:b/>
          <w:bCs/>
          <w:sz w:val="24"/>
        </w:rPr>
      </w:pPr>
      <w:r w:rsidRPr="0078105B">
        <w:rPr>
          <w:rFonts w:ascii="宋体" w:hAnsi="宋体"/>
          <w:b/>
          <w:bCs/>
          <w:sz w:val="24"/>
        </w:rPr>
        <w:t>二〇二〇年七月二十一日</w:t>
      </w:r>
    </w:p>
    <w:sectPr w:rsidR="00F016DD" w:rsidRPr="0078105B" w:rsidSect="00A8324F">
      <w:footerReference w:type="even" r:id="rId12"/>
      <w:footerReference w:type="default" r:id="rId13"/>
      <w:pgSz w:w="11906" w:h="16838"/>
      <w:pgMar w:top="1440" w:right="1286"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0D4" w:rsidRDefault="005670D4">
      <w:r>
        <w:separator/>
      </w:r>
    </w:p>
  </w:endnote>
  <w:endnote w:type="continuationSeparator" w:id="0">
    <w:p w:rsidR="005670D4" w:rsidRDefault="00567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方正仿宋简体">
    <w:altName w:val="微软雅黑"/>
    <w:charset w:val="86"/>
    <w:family w:val="auto"/>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Pr="001D0DB0" w:rsidRDefault="00611CB2" w:rsidP="00F7094A">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F55ED9">
      <w:rPr>
        <w:noProof/>
        <w:szCs w:val="21"/>
      </w:rPr>
      <w:t>1</w:t>
    </w:r>
    <w:r w:rsidR="00F85FCB">
      <w:rPr>
        <w:szCs w:val="21"/>
      </w:rPr>
      <w:fldChar w:fldCharType="end"/>
    </w:r>
    <w:r>
      <w:rPr>
        <w:rFonts w:hint="eastAsia"/>
        <w:szCs w:val="21"/>
      </w:rPr>
      <w:t>页共</w:t>
    </w:r>
    <w:r w:rsidR="00F85FCB">
      <w:rPr>
        <w:szCs w:val="21"/>
      </w:rPr>
      <w:fldChar w:fldCharType="begin"/>
    </w:r>
    <w:r>
      <w:rPr>
        <w:szCs w:val="21"/>
      </w:rPr>
      <w:instrText xml:space="preserve"> NUMPAGES </w:instrText>
    </w:r>
    <w:r w:rsidR="00F85FCB">
      <w:rPr>
        <w:szCs w:val="21"/>
      </w:rPr>
      <w:fldChar w:fldCharType="separate"/>
    </w:r>
    <w:r w:rsidR="00F55ED9">
      <w:rPr>
        <w:noProof/>
        <w:szCs w:val="21"/>
      </w:rPr>
      <w:t>15</w:t>
    </w:r>
    <w:r w:rsidR="00F85FCB">
      <w:rPr>
        <w:szCs w:val="21"/>
      </w:rPr>
      <w:fldChar w:fldCharType="end"/>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Default="00F85FCB">
    <w:pPr>
      <w:pStyle w:val="a6"/>
      <w:framePr w:wrap="around" w:vAnchor="text" w:hAnchor="margin"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Default="00F85FCB">
    <w:pPr>
      <w:pStyle w:val="a6"/>
      <w:framePr w:wrap="around" w:vAnchor="text" w:hAnchor="margin" w:xAlign="center" w:y="1"/>
      <w:rPr>
        <w:rStyle w:val="a7"/>
      </w:rPr>
    </w:pPr>
    <w:r>
      <w:rPr>
        <w:rStyle w:val="a7"/>
      </w:rPr>
      <w:fldChar w:fldCharType="begin"/>
    </w:r>
    <w:r w:rsidR="00611CB2">
      <w:rPr>
        <w:rStyle w:val="a7"/>
      </w:rPr>
      <w:instrText xml:space="preserve">PAGE  </w:instrText>
    </w:r>
    <w:r>
      <w:rPr>
        <w:rStyle w:val="a7"/>
      </w:rPr>
      <w:fldChar w:fldCharType="separate"/>
    </w:r>
    <w:r w:rsidR="00F55ED9">
      <w:rPr>
        <w:rStyle w:val="a7"/>
        <w:noProof/>
      </w:rPr>
      <w:t>6</w:t>
    </w:r>
    <w:r>
      <w:rPr>
        <w:rStyle w:val="a7"/>
      </w:rPr>
      <w:fldChar w:fldCharType="end"/>
    </w:r>
  </w:p>
  <w:p w:rsidR="00611CB2" w:rsidRDefault="00611CB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0D4" w:rsidRDefault="005670D4">
      <w:r>
        <w:separator/>
      </w:r>
    </w:p>
  </w:footnote>
  <w:footnote w:type="continuationSeparator" w:id="0">
    <w:p w:rsidR="005670D4" w:rsidRDefault="005670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Pr="00DA451D" w:rsidRDefault="00611CB2" w:rsidP="001207F2">
    <w:pPr>
      <w:pStyle w:val="a9"/>
      <w:pBdr>
        <w:bottom w:val="single" w:sz="6" w:space="0" w:color="auto"/>
      </w:pBdr>
      <w:jc w:val="right"/>
    </w:pPr>
    <w:r w:rsidRPr="00DA451D">
      <w:t>易方达高等级信用债债券型证券投资基金</w:t>
    </w:r>
    <w:r w:rsidRPr="00DA451D">
      <w:t>2020</w:t>
    </w:r>
    <w:r w:rsidRPr="00DA451D">
      <w:t>年第</w:t>
    </w:r>
    <w:r w:rsidRPr="00DA451D">
      <w:t>2</w:t>
    </w:r>
    <w:r w:rsidRPr="00DA451D">
      <w:t>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2A93165E"/>
    <w:multiLevelType w:val="hybridMultilevel"/>
    <w:tmpl w:val="8F54F77E"/>
    <w:lvl w:ilvl="0" w:tplc="8996D53A">
      <w:start w:val="1"/>
      <w:numFmt w:val="japaneseCounting"/>
      <w:lvlText w:val="（%1）"/>
      <w:lvlJc w:val="left"/>
      <w:pPr>
        <w:tabs>
          <w:tab w:val="num" w:pos="1200"/>
        </w:tabs>
        <w:ind w:left="1200" w:hanging="720"/>
      </w:pPr>
      <w:rPr>
        <w:rFonts w:hAnsi="宋体"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15:restartNumberingAfterBreak="0">
    <w:nsid w:val="32C43FA3"/>
    <w:multiLevelType w:val="hybridMultilevel"/>
    <w:tmpl w:val="2658615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4"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5" w15:restartNumberingAfterBreak="0">
    <w:nsid w:val="64C22724"/>
    <w:multiLevelType w:val="multilevel"/>
    <w:tmpl w:val="0409001D"/>
    <w:numStyleLink w:val="5"/>
  </w:abstractNum>
  <w:abstractNum w:abstractNumId="6"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lvlOverride w:ilvl="2">
      <w:lvl w:ilvl="2">
        <w:start w:val="1"/>
        <w:numFmt w:val="decimal"/>
        <w:lvlText w:val="%1.%2.%3"/>
        <w:lvlJc w:val="left"/>
        <w:pPr>
          <w:tabs>
            <w:tab w:val="num" w:pos="1418"/>
          </w:tabs>
          <w:ind w:left="1418" w:hanging="567"/>
        </w:pPr>
        <w:rPr>
          <w:rFonts w:cs="Times New Roman"/>
        </w:rPr>
      </w:lvl>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PostScriptOverText/>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13A0"/>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670D4"/>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3007"/>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4743"/>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5ED9"/>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0A22399-FCDA-464A-8305-55950492D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828"/>
    <w:pPr>
      <w:widowControl w:val="0"/>
      <w:jc w:val="both"/>
    </w:pPr>
    <w:rPr>
      <w:kern w:val="2"/>
      <w:sz w:val="21"/>
      <w:szCs w:val="24"/>
    </w:rPr>
  </w:style>
  <w:style w:type="paragraph" w:styleId="1">
    <w:name w:val="heading 1"/>
    <w:basedOn w:val="a"/>
    <w:next w:val="a"/>
    <w:link w:val="1Char"/>
    <w:uiPriority w:val="99"/>
    <w:qFormat/>
    <w:rsid w:val="00180952"/>
    <w:pPr>
      <w:keepNext/>
      <w:keepLines/>
      <w:spacing w:before="340" w:after="330" w:line="578" w:lineRule="auto"/>
      <w:outlineLvl w:val="0"/>
    </w:pPr>
    <w:rPr>
      <w:b/>
      <w:bCs/>
      <w:kern w:val="44"/>
      <w:sz w:val="44"/>
      <w:szCs w:val="44"/>
    </w:rPr>
  </w:style>
  <w:style w:type="paragraph" w:styleId="2">
    <w:name w:val="heading 2"/>
    <w:basedOn w:val="a"/>
    <w:next w:val="a0"/>
    <w:link w:val="2Char"/>
    <w:uiPriority w:val="99"/>
    <w:qFormat/>
    <w:rsid w:val="006A4828"/>
    <w:pPr>
      <w:keepNext/>
      <w:keepLines/>
      <w:spacing w:before="260" w:after="260" w:line="360" w:lineRule="auto"/>
      <w:outlineLvl w:val="1"/>
    </w:pPr>
    <w:rPr>
      <w:rFonts w:ascii="Cambria" w:hAnsi="Cambria"/>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180952"/>
    <w:rPr>
      <w:b/>
      <w:kern w:val="44"/>
      <w:sz w:val="44"/>
    </w:rPr>
  </w:style>
  <w:style w:type="character" w:customStyle="1" w:styleId="2Char">
    <w:name w:val="标题 2 Char"/>
    <w:link w:val="2"/>
    <w:uiPriority w:val="99"/>
    <w:semiHidden/>
    <w:locked/>
    <w:rsid w:val="00AB1112"/>
    <w:rPr>
      <w:rFonts w:ascii="Cambria" w:eastAsia="宋体" w:hAnsi="Cambria"/>
      <w:b/>
      <w:sz w:val="32"/>
    </w:rPr>
  </w:style>
  <w:style w:type="paragraph" w:styleId="a0">
    <w:name w:val="Normal Indent"/>
    <w:basedOn w:val="a"/>
    <w:uiPriority w:val="99"/>
    <w:rsid w:val="006A4828"/>
    <w:pPr>
      <w:ind w:firstLineChars="200" w:firstLine="420"/>
    </w:pPr>
  </w:style>
  <w:style w:type="paragraph" w:styleId="a4">
    <w:name w:val="Body Text Indent"/>
    <w:basedOn w:val="a"/>
    <w:link w:val="Char"/>
    <w:uiPriority w:val="99"/>
    <w:rsid w:val="006A4828"/>
    <w:pPr>
      <w:widowControl/>
      <w:spacing w:before="100" w:beforeAutospacing="1" w:after="100" w:afterAutospacing="1"/>
      <w:jc w:val="left"/>
    </w:pPr>
    <w:rPr>
      <w:kern w:val="0"/>
      <w:sz w:val="24"/>
    </w:rPr>
  </w:style>
  <w:style w:type="character" w:customStyle="1" w:styleId="Char">
    <w:name w:val="正文文本缩进 Char"/>
    <w:link w:val="a4"/>
    <w:uiPriority w:val="99"/>
    <w:semiHidden/>
    <w:locked/>
    <w:rsid w:val="00AB1112"/>
    <w:rPr>
      <w:sz w:val="24"/>
    </w:rPr>
  </w:style>
  <w:style w:type="paragraph" w:styleId="a5">
    <w:name w:val="Plain Text"/>
    <w:basedOn w:val="a"/>
    <w:link w:val="Char0"/>
    <w:uiPriority w:val="99"/>
    <w:rsid w:val="006A4828"/>
    <w:rPr>
      <w:rFonts w:ascii="宋体" w:hAnsi="Courier New"/>
      <w:szCs w:val="21"/>
    </w:rPr>
  </w:style>
  <w:style w:type="character" w:customStyle="1" w:styleId="Char0">
    <w:name w:val="纯文本 Char"/>
    <w:link w:val="a5"/>
    <w:uiPriority w:val="99"/>
    <w:locked/>
    <w:rsid w:val="009A045B"/>
    <w:rPr>
      <w:rFonts w:ascii="宋体" w:hAnsi="Courier New"/>
      <w:kern w:val="2"/>
      <w:sz w:val="21"/>
    </w:rPr>
  </w:style>
  <w:style w:type="paragraph" w:styleId="20">
    <w:name w:val="Body Text Indent 2"/>
    <w:basedOn w:val="a"/>
    <w:link w:val="2Char0"/>
    <w:uiPriority w:val="99"/>
    <w:rsid w:val="006A4828"/>
    <w:pPr>
      <w:spacing w:line="560" w:lineRule="exact"/>
      <w:ind w:firstLineChars="200" w:firstLine="480"/>
    </w:pPr>
    <w:rPr>
      <w:kern w:val="0"/>
      <w:sz w:val="24"/>
    </w:rPr>
  </w:style>
  <w:style w:type="character" w:customStyle="1" w:styleId="2Char0">
    <w:name w:val="正文文本缩进 2 Char"/>
    <w:link w:val="20"/>
    <w:uiPriority w:val="99"/>
    <w:semiHidden/>
    <w:locked/>
    <w:rsid w:val="00AB1112"/>
    <w:rPr>
      <w:sz w:val="24"/>
    </w:rPr>
  </w:style>
  <w:style w:type="paragraph" w:styleId="a6">
    <w:name w:val="footer"/>
    <w:basedOn w:val="a"/>
    <w:link w:val="Char1"/>
    <w:uiPriority w:val="99"/>
    <w:rsid w:val="006A4828"/>
    <w:pPr>
      <w:tabs>
        <w:tab w:val="center" w:pos="4153"/>
        <w:tab w:val="right" w:pos="8306"/>
      </w:tabs>
      <w:snapToGrid w:val="0"/>
      <w:jc w:val="left"/>
    </w:pPr>
    <w:rPr>
      <w:kern w:val="0"/>
      <w:sz w:val="18"/>
      <w:szCs w:val="18"/>
    </w:rPr>
  </w:style>
  <w:style w:type="character" w:customStyle="1" w:styleId="Char1">
    <w:name w:val="页脚 Char"/>
    <w:link w:val="a6"/>
    <w:uiPriority w:val="99"/>
    <w:semiHidden/>
    <w:locked/>
    <w:rsid w:val="00AB1112"/>
    <w:rPr>
      <w:sz w:val="18"/>
    </w:rPr>
  </w:style>
  <w:style w:type="character" w:styleId="a7">
    <w:name w:val="page number"/>
    <w:uiPriority w:val="99"/>
    <w:rsid w:val="006A4828"/>
    <w:rPr>
      <w:rFonts w:cs="Times New Roman"/>
    </w:rPr>
  </w:style>
  <w:style w:type="character" w:styleId="a8">
    <w:name w:val="Hyperlink"/>
    <w:uiPriority w:val="99"/>
    <w:rsid w:val="006A4828"/>
    <w:rPr>
      <w:rFonts w:cs="Times New Roman"/>
      <w:color w:val="0000FF"/>
      <w:u w:val="single"/>
    </w:rPr>
  </w:style>
  <w:style w:type="paragraph" w:styleId="3">
    <w:name w:val="Body Text Indent 3"/>
    <w:basedOn w:val="a"/>
    <w:link w:val="3Char"/>
    <w:uiPriority w:val="99"/>
    <w:rsid w:val="006A4828"/>
    <w:pPr>
      <w:spacing w:line="560" w:lineRule="exact"/>
      <w:ind w:firstLineChars="200" w:firstLine="420"/>
    </w:pPr>
    <w:rPr>
      <w:kern w:val="0"/>
      <w:sz w:val="16"/>
      <w:szCs w:val="16"/>
    </w:rPr>
  </w:style>
  <w:style w:type="character" w:customStyle="1" w:styleId="3Char">
    <w:name w:val="正文文本缩进 3 Char"/>
    <w:link w:val="3"/>
    <w:uiPriority w:val="99"/>
    <w:semiHidden/>
    <w:locked/>
    <w:rsid w:val="00AB1112"/>
    <w:rPr>
      <w:sz w:val="16"/>
    </w:rPr>
  </w:style>
  <w:style w:type="paragraph" w:styleId="a9">
    <w:name w:val="header"/>
    <w:basedOn w:val="a"/>
    <w:link w:val="Char2"/>
    <w:uiPriority w:val="99"/>
    <w:rsid w:val="006A4828"/>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1207F2"/>
    <w:rPr>
      <w:kern w:val="2"/>
      <w:sz w:val="18"/>
    </w:rPr>
  </w:style>
  <w:style w:type="character" w:customStyle="1" w:styleId="10">
    <w:name w:val="已访问的超链接1"/>
    <w:uiPriority w:val="99"/>
    <w:rsid w:val="006A4828"/>
    <w:rPr>
      <w:color w:val="800080"/>
      <w:u w:val="single"/>
    </w:rPr>
  </w:style>
  <w:style w:type="paragraph" w:styleId="aa">
    <w:name w:val="List"/>
    <w:basedOn w:val="ab"/>
    <w:uiPriority w:val="99"/>
    <w:rsid w:val="006A4828"/>
    <w:pPr>
      <w:spacing w:after="220" w:line="220" w:lineRule="atLeast"/>
      <w:ind w:left="1440" w:hanging="360"/>
    </w:pPr>
    <w:rPr>
      <w:szCs w:val="20"/>
    </w:rPr>
  </w:style>
  <w:style w:type="paragraph" w:styleId="ab">
    <w:name w:val="Body Text"/>
    <w:basedOn w:val="a"/>
    <w:link w:val="Char3"/>
    <w:uiPriority w:val="99"/>
    <w:rsid w:val="006A4828"/>
    <w:pPr>
      <w:spacing w:after="120"/>
    </w:pPr>
    <w:rPr>
      <w:kern w:val="0"/>
      <w:sz w:val="24"/>
    </w:rPr>
  </w:style>
  <w:style w:type="character" w:customStyle="1" w:styleId="Char3">
    <w:name w:val="正文文本 Char"/>
    <w:link w:val="ab"/>
    <w:uiPriority w:val="99"/>
    <w:semiHidden/>
    <w:locked/>
    <w:rsid w:val="00AB1112"/>
    <w:rPr>
      <w:sz w:val="24"/>
    </w:rPr>
  </w:style>
  <w:style w:type="paragraph" w:styleId="ac">
    <w:name w:val="Date"/>
    <w:basedOn w:val="a"/>
    <w:next w:val="a"/>
    <w:link w:val="Char4"/>
    <w:uiPriority w:val="99"/>
    <w:rsid w:val="006A4828"/>
    <w:rPr>
      <w:sz w:val="24"/>
      <w:szCs w:val="20"/>
    </w:rPr>
  </w:style>
  <w:style w:type="character" w:customStyle="1" w:styleId="Char4">
    <w:name w:val="日期 Char"/>
    <w:link w:val="ac"/>
    <w:uiPriority w:val="99"/>
    <w:locked/>
    <w:rsid w:val="00D66685"/>
    <w:rPr>
      <w:kern w:val="2"/>
      <w:sz w:val="24"/>
    </w:rPr>
  </w:style>
  <w:style w:type="character" w:customStyle="1" w:styleId="c1">
    <w:name w:val="c1"/>
    <w:uiPriority w:val="99"/>
    <w:rsid w:val="006A4828"/>
    <w:rPr>
      <w:color w:val="000000"/>
      <w:sz w:val="18"/>
    </w:rPr>
  </w:style>
  <w:style w:type="paragraph" w:styleId="11">
    <w:name w:val="index 1"/>
    <w:basedOn w:val="a"/>
    <w:next w:val="a"/>
    <w:autoRedefine/>
    <w:uiPriority w:val="99"/>
    <w:semiHidden/>
    <w:rsid w:val="006A4828"/>
    <w:pPr>
      <w:jc w:val="right"/>
    </w:pPr>
    <w:rPr>
      <w:color w:val="008000"/>
    </w:rPr>
  </w:style>
  <w:style w:type="paragraph" w:customStyle="1" w:styleId="font5">
    <w:name w:val="font5"/>
    <w:basedOn w:val="a"/>
    <w:uiPriority w:val="99"/>
    <w:rsid w:val="006A4828"/>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6A4828"/>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rPr>
  </w:style>
  <w:style w:type="paragraph" w:customStyle="1" w:styleId="xl26">
    <w:name w:val="xl26"/>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7">
    <w:name w:val="xl27"/>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9">
    <w:name w:val="xl29"/>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0">
    <w:name w:val="xl30"/>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1">
    <w:name w:val="xl31"/>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d">
    <w:name w:val="Balloon Text"/>
    <w:basedOn w:val="a"/>
    <w:link w:val="Char5"/>
    <w:uiPriority w:val="99"/>
    <w:semiHidden/>
    <w:rsid w:val="006A4828"/>
    <w:rPr>
      <w:kern w:val="0"/>
      <w:sz w:val="2"/>
      <w:szCs w:val="20"/>
    </w:rPr>
  </w:style>
  <w:style w:type="character" w:customStyle="1" w:styleId="Char5">
    <w:name w:val="批注框文本 Char"/>
    <w:link w:val="ad"/>
    <w:uiPriority w:val="99"/>
    <w:semiHidden/>
    <w:locked/>
    <w:rsid w:val="00AB1112"/>
    <w:rPr>
      <w:sz w:val="2"/>
    </w:rPr>
  </w:style>
  <w:style w:type="character" w:styleId="ae">
    <w:name w:val="annotation reference"/>
    <w:semiHidden/>
    <w:rsid w:val="006A4828"/>
    <w:rPr>
      <w:rFonts w:cs="Times New Roman"/>
      <w:sz w:val="21"/>
    </w:rPr>
  </w:style>
  <w:style w:type="paragraph" w:styleId="af">
    <w:name w:val="annotation text"/>
    <w:basedOn w:val="a"/>
    <w:link w:val="Char6"/>
    <w:semiHidden/>
    <w:rsid w:val="006A4828"/>
    <w:pPr>
      <w:jc w:val="left"/>
    </w:pPr>
    <w:rPr>
      <w:kern w:val="0"/>
      <w:sz w:val="24"/>
    </w:rPr>
  </w:style>
  <w:style w:type="character" w:customStyle="1" w:styleId="Char6">
    <w:name w:val="批注文字 Char"/>
    <w:link w:val="af"/>
    <w:uiPriority w:val="99"/>
    <w:semiHidden/>
    <w:locked/>
    <w:rsid w:val="00AB1112"/>
    <w:rPr>
      <w:sz w:val="24"/>
    </w:rPr>
  </w:style>
  <w:style w:type="paragraph" w:styleId="af0">
    <w:name w:val="annotation subject"/>
    <w:basedOn w:val="af"/>
    <w:next w:val="af"/>
    <w:link w:val="Char7"/>
    <w:uiPriority w:val="99"/>
    <w:semiHidden/>
    <w:rsid w:val="006A4828"/>
    <w:rPr>
      <w:b/>
      <w:bCs/>
    </w:rPr>
  </w:style>
  <w:style w:type="character" w:customStyle="1" w:styleId="Char7">
    <w:name w:val="批注主题 Char"/>
    <w:link w:val="af0"/>
    <w:uiPriority w:val="99"/>
    <w:semiHidden/>
    <w:locked/>
    <w:rsid w:val="00AB1112"/>
    <w:rPr>
      <w:b/>
      <w:sz w:val="24"/>
    </w:rPr>
  </w:style>
  <w:style w:type="paragraph" w:customStyle="1" w:styleId="Char8">
    <w:name w:val="Char"/>
    <w:basedOn w:val="a"/>
    <w:uiPriority w:val="99"/>
    <w:rsid w:val="006A4828"/>
  </w:style>
  <w:style w:type="paragraph" w:styleId="af1">
    <w:name w:val="Document Map"/>
    <w:basedOn w:val="a"/>
    <w:link w:val="Char9"/>
    <w:uiPriority w:val="99"/>
    <w:semiHidden/>
    <w:rsid w:val="000A549A"/>
    <w:pPr>
      <w:shd w:val="clear" w:color="auto" w:fill="000080"/>
    </w:pPr>
    <w:rPr>
      <w:kern w:val="0"/>
      <w:sz w:val="2"/>
      <w:szCs w:val="20"/>
    </w:rPr>
  </w:style>
  <w:style w:type="character" w:customStyle="1" w:styleId="Char9">
    <w:name w:val="文档结构图 Char"/>
    <w:link w:val="af1"/>
    <w:uiPriority w:val="99"/>
    <w:semiHidden/>
    <w:locked/>
    <w:rsid w:val="00AB1112"/>
    <w:rPr>
      <w:sz w:val="2"/>
    </w:rPr>
  </w:style>
  <w:style w:type="table" w:styleId="af2">
    <w:name w:val="Table Grid"/>
    <w:basedOn w:val="a2"/>
    <w:qFormat/>
    <w:rsid w:val="009A31A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basedOn w:val="a"/>
    <w:link w:val="Chara"/>
    <w:uiPriority w:val="99"/>
    <w:rsid w:val="000B251E"/>
    <w:pPr>
      <w:snapToGrid w:val="0"/>
      <w:jc w:val="left"/>
    </w:pPr>
    <w:rPr>
      <w:sz w:val="18"/>
      <w:szCs w:val="18"/>
    </w:rPr>
  </w:style>
  <w:style w:type="character" w:customStyle="1" w:styleId="Chara">
    <w:name w:val="脚注文本 Char"/>
    <w:link w:val="af3"/>
    <w:uiPriority w:val="99"/>
    <w:locked/>
    <w:rsid w:val="00CB481C"/>
    <w:rPr>
      <w:kern w:val="2"/>
      <w:sz w:val="18"/>
    </w:rPr>
  </w:style>
  <w:style w:type="character" w:styleId="af4">
    <w:name w:val="footnote reference"/>
    <w:uiPriority w:val="99"/>
    <w:rsid w:val="000B251E"/>
    <w:rPr>
      <w:rFonts w:cs="Times New Roman"/>
      <w:vertAlign w:val="superscript"/>
    </w:rPr>
  </w:style>
  <w:style w:type="paragraph" w:styleId="af5">
    <w:name w:val="Normal (Web)"/>
    <w:basedOn w:val="a"/>
    <w:uiPriority w:val="99"/>
    <w:rsid w:val="00B25807"/>
    <w:pPr>
      <w:widowControl/>
      <w:spacing w:before="100" w:beforeAutospacing="1" w:after="100" w:afterAutospacing="1"/>
      <w:jc w:val="left"/>
    </w:pPr>
    <w:rPr>
      <w:rFonts w:ascii="宋体" w:hAnsi="宋体"/>
      <w:kern w:val="0"/>
      <w:sz w:val="24"/>
    </w:rPr>
  </w:style>
  <w:style w:type="paragraph" w:customStyle="1" w:styleId="Char10">
    <w:name w:val="Char1"/>
    <w:basedOn w:val="a"/>
    <w:uiPriority w:val="99"/>
    <w:rsid w:val="00D97213"/>
  </w:style>
  <w:style w:type="character" w:customStyle="1" w:styleId="t1">
    <w:name w:val="t1"/>
    <w:uiPriority w:val="99"/>
    <w:rsid w:val="002D2A00"/>
    <w:rPr>
      <w:color w:val="990000"/>
    </w:rPr>
  </w:style>
  <w:style w:type="paragraph" w:customStyle="1" w:styleId="Default">
    <w:name w:val="Default"/>
    <w:uiPriority w:val="99"/>
    <w:rsid w:val="00CB481C"/>
    <w:pPr>
      <w:widowControl w:val="0"/>
      <w:autoSpaceDE w:val="0"/>
      <w:autoSpaceDN w:val="0"/>
      <w:adjustRightInd w:val="0"/>
    </w:pPr>
    <w:rPr>
      <w:rFonts w:ascii="FangSong" w:hAnsi="FangSong" w:cs="FangSong"/>
      <w:color w:val="000000"/>
      <w:sz w:val="24"/>
      <w:szCs w:val="24"/>
    </w:rPr>
  </w:style>
  <w:style w:type="numbering" w:customStyle="1" w:styleId="5">
    <w:name w:val="样式5"/>
    <w:rsid w:val="00C00FED"/>
    <w:pPr>
      <w:numPr>
        <w:numId w:val="8"/>
      </w:numPr>
    </w:pPr>
  </w:style>
  <w:style w:type="character" w:styleId="af6">
    <w:name w:val="Strong"/>
    <w:uiPriority w:val="22"/>
    <w:qFormat/>
    <w:locked/>
    <w:rsid w:val="00AE24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abc&#23395;&#2525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409</TotalTime>
  <Pages>15</Pages>
  <Words>1390</Words>
  <Characters>7924</Characters>
  <Application>Microsoft Office Word</Application>
  <DocSecurity>0</DocSecurity>
  <Lines>66</Lines>
  <Paragraphs>18</Paragraphs>
  <ScaleCrop>false</ScaleCrop>
  <Company>TRT. Ltd. Co.</Company>
  <LinksUpToDate>false</LinksUpToDate>
  <CharactersWithSpaces>9296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温学谦</cp:lastModifiedBy>
  <cp:revision>175</cp:revision>
  <cp:lastPrinted>2007-07-19T00:46:00Z</cp:lastPrinted>
  <dcterms:created xsi:type="dcterms:W3CDTF">2013-06-21T06:56:00Z</dcterms:created>
  <dcterms:modified xsi:type="dcterms:W3CDTF">2020-07-16T10:25:00Z</dcterms:modified>
</cp:coreProperties>
</file>