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易方达纯债1年定期开放债券型证券投资基金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易方达纯债1年定期开放债券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000111</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2013年7月30日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1,925,797,339.43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本基金投资目标是在追求本金安全的基础上，力争为基金份额持有人创造超越业绩比较基准的稳定收益。</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在封闭期与开放期采取不同的投资策略。封闭期内，在投资组合平均久期与封闭运作期适当匹配的基础上，本基金将密切关注宏观经济走势，采取自上而下分析方法，预测未来利率走势和收益率曲线变动情况，确定资产的最优配置比例及久期配置策略。对于信用类固定收益品种，本基金在进行信用风险评估后，积极发掘信用利差具有相对投资机会的个券进行投资，并采取分散化投资策略。开放运作期内，本基金为保持较高的组合流动性，方便投资人安排投资，在遵守本基金有关投资限制与投资比例的前提下，将主要投资于高流动性的投资品种，减小基金净值的波动。</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中国人民银行公布的一年期银行定期整存整取存款利率（税后）+1%</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本基金为债券型基金，其长期平均风险和预期收益率理论上低于股票型基金、混合型基金，高于货币市场基金。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易方达纯债1年定期开放债券A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易方达纯债1年定期开放债券C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000111</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000112</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1,910,687,996.96</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15,109,342.47</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易方达纯债1年定期开放债券A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易方达纯债1年定期开放债券C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21,109,376.84</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150,782.31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2,082,606.13</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801.08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0.0011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0.0001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1,999,948,521.47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15,772,326.98</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1.047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1.044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易方达纯债1年定期开放债券A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0.10%</w:t>
            </w:r>
          </w:p>
        </w:tc>
        <w:tc>
          <w:tcPr>
            <w:vAlign w:val="center"/>
          </w:tcPr>
          <w:p>
            <w:pPr>
              <w:jc w:val="center"/>
            </w:pPr>
            <w:r>
              <w:rPr>
                <w:color w:val="000000"/>
                <w:sz w:val="24"/>
              </w:rPr>
              <w:t>0.10%</w:t>
            </w:r>
          </w:p>
        </w:tc>
        <w:tc>
          <w:tcPr>
            <w:vAlign w:val="center"/>
          </w:tcPr>
          <w:p>
            <w:pPr>
              <w:jc w:val="center"/>
            </w:pPr>
            <w:r>
              <w:rPr>
                <w:color w:val="000000"/>
                <w:sz w:val="24"/>
              </w:rPr>
              <w:t>0.63%</w:t>
            </w:r>
          </w:p>
        </w:tc>
        <w:tc>
          <w:tcPr>
            <w:vAlign w:val="center"/>
          </w:tcPr>
          <w:p>
            <w:pPr>
              <w:jc w:val="center"/>
            </w:pPr>
            <w:r>
              <w:rPr>
                <w:color w:val="000000"/>
                <w:sz w:val="24"/>
              </w:rPr>
              <w:t>0.01%</w:t>
            </w:r>
          </w:p>
        </w:tc>
        <w:tc>
          <w:tcPr>
            <w:vAlign w:val="center"/>
          </w:tcPr>
          <w:p>
            <w:pPr>
              <w:jc w:val="center"/>
            </w:pPr>
            <w:r>
              <w:rPr>
                <w:color w:val="000000"/>
                <w:sz w:val="24"/>
              </w:rPr>
              <w:t>-0.53%</w:t>
            </w:r>
          </w:p>
        </w:tc>
        <w:tc>
          <w:tcPr>
            <w:vAlign w:val="center"/>
          </w:tcPr>
          <w:p>
            <w:pPr>
              <w:jc w:val="center"/>
            </w:pPr>
            <w:r>
              <w:rPr>
                <w:color w:val="000000"/>
                <w:sz w:val="24"/>
              </w:rPr>
              <w:t>0.09%</w:t>
            </w:r>
          </w:p>
        </w:tc>
      </w:tr>
      <w:tr>
        <w:tc>
          <w:tcPr>
            <w:vAlign w:val="center"/>
          </w:tcPr>
          <w:p>
            <w:pPr>
              <w:jc w:val="left"/>
            </w:pPr>
            <w:r>
              <w:rPr>
                <w:color w:val="000000"/>
                <w:sz w:val="24"/>
              </w:rPr>
              <w:t>过去六个月</w:t>
            </w:r>
          </w:p>
        </w:tc>
        <w:tc>
          <w:tcPr>
            <w:vAlign w:val="center"/>
          </w:tcPr>
          <w:p>
            <w:pPr>
              <w:jc w:val="center"/>
            </w:pPr>
            <w:r>
              <w:rPr>
                <w:color w:val="000000"/>
                <w:sz w:val="24"/>
              </w:rPr>
              <w:t>2.14%</w:t>
            </w:r>
          </w:p>
        </w:tc>
        <w:tc>
          <w:tcPr>
            <w:vAlign w:val="center"/>
          </w:tcPr>
          <w:p>
            <w:pPr>
              <w:jc w:val="center"/>
            </w:pPr>
            <w:r>
              <w:rPr>
                <w:color w:val="000000"/>
                <w:sz w:val="24"/>
              </w:rPr>
              <w:t>0.09%</w:t>
            </w:r>
          </w:p>
        </w:tc>
        <w:tc>
          <w:tcPr>
            <w:vAlign w:val="center"/>
          </w:tcPr>
          <w:p>
            <w:pPr>
              <w:jc w:val="center"/>
            </w:pPr>
            <w:r>
              <w:rPr>
                <w:color w:val="000000"/>
                <w:sz w:val="24"/>
              </w:rPr>
              <w:t>1.26%</w:t>
            </w:r>
          </w:p>
        </w:tc>
        <w:tc>
          <w:tcPr>
            <w:vAlign w:val="center"/>
          </w:tcPr>
          <w:p>
            <w:pPr>
              <w:jc w:val="center"/>
            </w:pPr>
            <w:r>
              <w:rPr>
                <w:color w:val="000000"/>
                <w:sz w:val="24"/>
              </w:rPr>
              <w:t>0.01%</w:t>
            </w:r>
          </w:p>
        </w:tc>
        <w:tc>
          <w:tcPr>
            <w:vAlign w:val="center"/>
          </w:tcPr>
          <w:p>
            <w:pPr>
              <w:jc w:val="center"/>
            </w:pPr>
            <w:r>
              <w:rPr>
                <w:color w:val="000000"/>
                <w:sz w:val="24"/>
              </w:rPr>
              <w:t>0.88%</w:t>
            </w:r>
          </w:p>
        </w:tc>
        <w:tc>
          <w:tcPr>
            <w:vAlign w:val="center"/>
          </w:tcPr>
          <w:p>
            <w:pPr>
              <w:jc w:val="center"/>
            </w:pPr>
            <w:r>
              <w:rPr>
                <w:color w:val="000000"/>
                <w:sz w:val="24"/>
              </w:rPr>
              <w:t>0.08%</w:t>
            </w:r>
          </w:p>
        </w:tc>
      </w:tr>
      <w:tr>
        <w:tc>
          <w:tcPr>
            <w:vAlign w:val="center"/>
          </w:tcPr>
          <w:p>
            <w:pPr>
              <w:jc w:val="left"/>
            </w:pPr>
            <w:r>
              <w:rPr>
                <w:color w:val="000000"/>
                <w:sz w:val="24"/>
              </w:rPr>
              <w:t>过去一年</w:t>
            </w:r>
          </w:p>
        </w:tc>
        <w:tc>
          <w:tcPr>
            <w:vAlign w:val="center"/>
          </w:tcPr>
          <w:p>
            <w:pPr>
              <w:jc w:val="center"/>
            </w:pPr>
            <w:r>
              <w:rPr>
                <w:color w:val="000000"/>
                <w:sz w:val="24"/>
              </w:rPr>
              <w:t>4.13%</w:t>
            </w:r>
          </w:p>
        </w:tc>
        <w:tc>
          <w:tcPr>
            <w:vAlign w:val="center"/>
          </w:tcPr>
          <w:p>
            <w:pPr>
              <w:jc w:val="center"/>
            </w:pPr>
            <w:r>
              <w:rPr>
                <w:color w:val="000000"/>
                <w:sz w:val="24"/>
              </w:rPr>
              <w:t>0.07%</w:t>
            </w:r>
          </w:p>
        </w:tc>
        <w:tc>
          <w:tcPr>
            <w:vAlign w:val="center"/>
          </w:tcPr>
          <w:p>
            <w:pPr>
              <w:jc w:val="center"/>
            </w:pPr>
            <w:r>
              <w:rPr>
                <w:color w:val="000000"/>
                <w:sz w:val="24"/>
              </w:rPr>
              <w:t>2.54%</w:t>
            </w:r>
          </w:p>
        </w:tc>
        <w:tc>
          <w:tcPr>
            <w:vAlign w:val="center"/>
          </w:tcPr>
          <w:p>
            <w:pPr>
              <w:jc w:val="center"/>
            </w:pPr>
            <w:r>
              <w:rPr>
                <w:color w:val="000000"/>
                <w:sz w:val="24"/>
              </w:rPr>
              <w:t>0.01%</w:t>
            </w:r>
          </w:p>
        </w:tc>
        <w:tc>
          <w:tcPr>
            <w:vAlign w:val="center"/>
          </w:tcPr>
          <w:p>
            <w:pPr>
              <w:jc w:val="center"/>
            </w:pPr>
            <w:r>
              <w:rPr>
                <w:color w:val="000000"/>
                <w:sz w:val="24"/>
              </w:rPr>
              <w:t>1.59%</w:t>
            </w:r>
          </w:p>
        </w:tc>
        <w:tc>
          <w:tcPr>
            <w:vAlign w:val="center"/>
          </w:tcPr>
          <w:p>
            <w:pPr>
              <w:jc w:val="center"/>
            </w:pPr>
            <w:r>
              <w:rPr>
                <w:color w:val="000000"/>
                <w:sz w:val="24"/>
              </w:rPr>
              <w:t>0.06%</w:t>
            </w:r>
          </w:p>
        </w:tc>
      </w:tr>
      <w:tr>
        <w:tc>
          <w:tcPr>
            <w:vAlign w:val="center"/>
          </w:tcPr>
          <w:p>
            <w:pPr>
              <w:jc w:val="left"/>
            </w:pPr>
            <w:r>
              <w:rPr>
                <w:color w:val="000000"/>
                <w:sz w:val="24"/>
              </w:rPr>
              <w:t>过去三年</w:t>
            </w:r>
          </w:p>
        </w:tc>
        <w:tc>
          <w:tcPr>
            <w:vAlign w:val="center"/>
          </w:tcPr>
          <w:p>
            <w:pPr>
              <w:jc w:val="center"/>
            </w:pPr>
            <w:r>
              <w:rPr>
                <w:color w:val="000000"/>
                <w:sz w:val="24"/>
              </w:rPr>
              <w:t>16.34%</w:t>
            </w:r>
          </w:p>
        </w:tc>
        <w:tc>
          <w:tcPr>
            <w:vAlign w:val="center"/>
          </w:tcPr>
          <w:p>
            <w:pPr>
              <w:jc w:val="center"/>
            </w:pPr>
            <w:r>
              <w:rPr>
                <w:color w:val="000000"/>
                <w:sz w:val="24"/>
              </w:rPr>
              <w:t>0.06%</w:t>
            </w:r>
          </w:p>
        </w:tc>
        <w:tc>
          <w:tcPr>
            <w:vAlign w:val="center"/>
          </w:tcPr>
          <w:p>
            <w:pPr>
              <w:jc w:val="center"/>
            </w:pPr>
            <w:r>
              <w:rPr>
                <w:color w:val="000000"/>
                <w:sz w:val="24"/>
              </w:rPr>
              <w:t>7.61%</w:t>
            </w:r>
          </w:p>
        </w:tc>
        <w:tc>
          <w:tcPr>
            <w:vAlign w:val="center"/>
          </w:tcPr>
          <w:p>
            <w:pPr>
              <w:jc w:val="center"/>
            </w:pPr>
            <w:r>
              <w:rPr>
                <w:color w:val="000000"/>
                <w:sz w:val="24"/>
              </w:rPr>
              <w:t>0.01%</w:t>
            </w:r>
          </w:p>
        </w:tc>
        <w:tc>
          <w:tcPr>
            <w:vAlign w:val="center"/>
          </w:tcPr>
          <w:p>
            <w:pPr>
              <w:jc w:val="center"/>
            </w:pPr>
            <w:r>
              <w:rPr>
                <w:color w:val="000000"/>
                <w:sz w:val="24"/>
              </w:rPr>
              <w:t>8.73%</w:t>
            </w:r>
          </w:p>
        </w:tc>
        <w:tc>
          <w:tcPr>
            <w:vAlign w:val="center"/>
          </w:tcPr>
          <w:p>
            <w:pPr>
              <w:jc w:val="center"/>
            </w:pPr>
            <w:r>
              <w:rPr>
                <w:color w:val="000000"/>
                <w:sz w:val="24"/>
              </w:rPr>
              <w:t>0.05%</w:t>
            </w:r>
          </w:p>
        </w:tc>
      </w:tr>
      <w:tr>
        <w:tc>
          <w:tcPr>
            <w:vAlign w:val="center"/>
          </w:tcPr>
          <w:p>
            <w:pPr>
              <w:jc w:val="left"/>
            </w:pPr>
            <w:r>
              <w:rPr>
                <w:color w:val="000000"/>
                <w:sz w:val="24"/>
              </w:rPr>
              <w:t>过去五年</w:t>
            </w:r>
          </w:p>
        </w:tc>
        <w:tc>
          <w:tcPr>
            <w:vAlign w:val="center"/>
          </w:tcPr>
          <w:p>
            <w:pPr>
              <w:jc w:val="center"/>
            </w:pPr>
            <w:r>
              <w:rPr>
                <w:color w:val="000000"/>
                <w:sz w:val="24"/>
              </w:rPr>
              <w:t>26.32%</w:t>
            </w:r>
          </w:p>
        </w:tc>
        <w:tc>
          <w:tcPr>
            <w:vAlign w:val="center"/>
          </w:tcPr>
          <w:p>
            <w:pPr>
              <w:jc w:val="center"/>
            </w:pPr>
            <w:r>
              <w:rPr>
                <w:color w:val="000000"/>
                <w:sz w:val="24"/>
              </w:rPr>
              <w:t>0.06%</w:t>
            </w:r>
          </w:p>
        </w:tc>
        <w:tc>
          <w:tcPr>
            <w:vAlign w:val="center"/>
          </w:tcPr>
          <w:p>
            <w:pPr>
              <w:jc w:val="center"/>
            </w:pPr>
            <w:r>
              <w:rPr>
                <w:color w:val="000000"/>
                <w:sz w:val="24"/>
              </w:rPr>
              <w:t>12.81%</w:t>
            </w:r>
          </w:p>
        </w:tc>
        <w:tc>
          <w:tcPr>
            <w:vAlign w:val="center"/>
          </w:tcPr>
          <w:p>
            <w:pPr>
              <w:jc w:val="center"/>
            </w:pPr>
            <w:r>
              <w:rPr>
                <w:color w:val="000000"/>
                <w:sz w:val="24"/>
              </w:rPr>
              <w:t>0.01%</w:t>
            </w:r>
          </w:p>
        </w:tc>
        <w:tc>
          <w:tcPr>
            <w:vAlign w:val="center"/>
          </w:tcPr>
          <w:p>
            <w:pPr>
              <w:jc w:val="center"/>
            </w:pPr>
            <w:r>
              <w:rPr>
                <w:color w:val="000000"/>
                <w:sz w:val="24"/>
              </w:rPr>
              <w:t>13.51%</w:t>
            </w:r>
          </w:p>
        </w:tc>
        <w:tc>
          <w:tcPr>
            <w:vAlign w:val="center"/>
          </w:tcPr>
          <w:p>
            <w:pPr>
              <w:jc w:val="center"/>
            </w:pPr>
            <w:r>
              <w:rPr>
                <w:color w:val="000000"/>
                <w:sz w:val="24"/>
              </w:rPr>
              <w:t>0.05%</w:t>
            </w:r>
          </w:p>
        </w:tc>
      </w:tr>
      <w:tr>
        <w:tc>
          <w:tcPr>
            <w:vAlign w:val="center"/>
          </w:tcPr>
          <w:p>
            <w:pPr>
              <w:jc w:val="left"/>
            </w:pPr>
            <w:r>
              <w:rPr>
                <w:color w:val="000000"/>
                <w:sz w:val="24"/>
              </w:rPr>
              <w:t>自基金合同生效起至今</w:t>
            </w:r>
          </w:p>
        </w:tc>
        <w:tc>
          <w:tcPr>
            <w:vAlign w:val="center"/>
          </w:tcPr>
          <w:p>
            <w:pPr>
              <w:jc w:val="center"/>
            </w:pPr>
            <w:r>
              <w:rPr>
                <w:color w:val="000000"/>
                <w:sz w:val="24"/>
              </w:rPr>
              <w:t>45.35%</w:t>
            </w:r>
          </w:p>
        </w:tc>
        <w:tc>
          <w:tcPr>
            <w:vAlign w:val="center"/>
          </w:tcPr>
          <w:p>
            <w:pPr>
              <w:jc w:val="center"/>
            </w:pPr>
            <w:r>
              <w:rPr>
                <w:color w:val="000000"/>
                <w:sz w:val="24"/>
              </w:rPr>
              <w:t>0.07%</w:t>
            </w:r>
          </w:p>
        </w:tc>
        <w:tc>
          <w:tcPr>
            <w:vAlign w:val="center"/>
          </w:tcPr>
          <w:p>
            <w:pPr>
              <w:jc w:val="center"/>
            </w:pPr>
            <w:r>
              <w:rPr>
                <w:color w:val="000000"/>
                <w:sz w:val="24"/>
              </w:rPr>
              <w:t>20.32%</w:t>
            </w:r>
          </w:p>
        </w:tc>
        <w:tc>
          <w:tcPr>
            <w:vAlign w:val="center"/>
          </w:tcPr>
          <w:p>
            <w:pPr>
              <w:jc w:val="center"/>
            </w:pPr>
            <w:r>
              <w:rPr>
                <w:color w:val="000000"/>
                <w:sz w:val="24"/>
              </w:rPr>
              <w:t>0.01%</w:t>
            </w:r>
          </w:p>
        </w:tc>
        <w:tc>
          <w:tcPr>
            <w:vAlign w:val="center"/>
          </w:tcPr>
          <w:p>
            <w:pPr>
              <w:jc w:val="center"/>
            </w:pPr>
            <w:r>
              <w:rPr>
                <w:color w:val="000000"/>
                <w:sz w:val="24"/>
              </w:rPr>
              <w:t>25.03%</w:t>
            </w:r>
          </w:p>
        </w:tc>
        <w:tc>
          <w:tcPr>
            <w:vAlign w:val="center"/>
          </w:tcPr>
          <w:p>
            <w:pPr>
              <w:jc w:val="center"/>
            </w:pPr>
            <w:r>
              <w:rPr>
                <w:color w:val="000000"/>
                <w:sz w:val="24"/>
              </w:rPr>
              <w:t>0.06%</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易方达纯债1年定期开放债券C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0.00%</w:t>
            </w:r>
          </w:p>
        </w:tc>
        <w:tc>
          <w:tcPr>
            <w:vAlign w:val="center"/>
          </w:tcPr>
          <w:p>
            <w:pPr>
              <w:jc w:val="center"/>
            </w:pPr>
            <w:r>
              <w:rPr>
                <w:color w:val="000000"/>
                <w:sz w:val="24"/>
              </w:rPr>
              <w:t>0.10%</w:t>
            </w:r>
          </w:p>
        </w:tc>
        <w:tc>
          <w:tcPr>
            <w:vAlign w:val="center"/>
          </w:tcPr>
          <w:p>
            <w:pPr>
              <w:jc w:val="center"/>
            </w:pPr>
            <w:r>
              <w:rPr>
                <w:color w:val="000000"/>
                <w:sz w:val="24"/>
              </w:rPr>
              <w:t>0.63%</w:t>
            </w:r>
          </w:p>
        </w:tc>
        <w:tc>
          <w:tcPr>
            <w:vAlign w:val="center"/>
          </w:tcPr>
          <w:p>
            <w:pPr>
              <w:jc w:val="center"/>
            </w:pPr>
            <w:r>
              <w:rPr>
                <w:color w:val="000000"/>
                <w:sz w:val="24"/>
              </w:rPr>
              <w:t>0.01%</w:t>
            </w:r>
          </w:p>
        </w:tc>
        <w:tc>
          <w:tcPr>
            <w:vAlign w:val="center"/>
          </w:tcPr>
          <w:p>
            <w:pPr>
              <w:jc w:val="center"/>
            </w:pPr>
            <w:r>
              <w:rPr>
                <w:color w:val="000000"/>
                <w:sz w:val="24"/>
              </w:rPr>
              <w:t>-0.63%</w:t>
            </w:r>
          </w:p>
        </w:tc>
        <w:tc>
          <w:tcPr>
            <w:vAlign w:val="center"/>
          </w:tcPr>
          <w:p>
            <w:pPr>
              <w:jc w:val="center"/>
            </w:pPr>
            <w:r>
              <w:rPr>
                <w:color w:val="000000"/>
                <w:sz w:val="24"/>
              </w:rPr>
              <w:t>0.09%</w:t>
            </w:r>
          </w:p>
        </w:tc>
      </w:tr>
      <w:tr>
        <w:tc>
          <w:tcPr>
            <w:vAlign w:val="center"/>
          </w:tcPr>
          <w:p>
            <w:pPr>
              <w:jc w:val="left"/>
            </w:pPr>
            <w:r>
              <w:rPr>
                <w:color w:val="000000"/>
                <w:sz w:val="24"/>
              </w:rPr>
              <w:t>过去六个月</w:t>
            </w:r>
          </w:p>
        </w:tc>
        <w:tc>
          <w:tcPr>
            <w:vAlign w:val="center"/>
          </w:tcPr>
          <w:p>
            <w:pPr>
              <w:jc w:val="center"/>
            </w:pPr>
            <w:r>
              <w:rPr>
                <w:color w:val="000000"/>
                <w:sz w:val="24"/>
              </w:rPr>
              <w:t>1.95%</w:t>
            </w:r>
          </w:p>
        </w:tc>
        <w:tc>
          <w:tcPr>
            <w:vAlign w:val="center"/>
          </w:tcPr>
          <w:p>
            <w:pPr>
              <w:jc w:val="center"/>
            </w:pPr>
            <w:r>
              <w:rPr>
                <w:color w:val="000000"/>
                <w:sz w:val="24"/>
              </w:rPr>
              <w:t>0.09%</w:t>
            </w:r>
          </w:p>
        </w:tc>
        <w:tc>
          <w:tcPr>
            <w:vAlign w:val="center"/>
          </w:tcPr>
          <w:p>
            <w:pPr>
              <w:jc w:val="center"/>
            </w:pPr>
            <w:r>
              <w:rPr>
                <w:color w:val="000000"/>
                <w:sz w:val="24"/>
              </w:rPr>
              <w:t>1.26%</w:t>
            </w:r>
          </w:p>
        </w:tc>
        <w:tc>
          <w:tcPr>
            <w:vAlign w:val="center"/>
          </w:tcPr>
          <w:p>
            <w:pPr>
              <w:jc w:val="center"/>
            </w:pPr>
            <w:r>
              <w:rPr>
                <w:color w:val="000000"/>
                <w:sz w:val="24"/>
              </w:rPr>
              <w:t>0.01%</w:t>
            </w:r>
          </w:p>
        </w:tc>
        <w:tc>
          <w:tcPr>
            <w:vAlign w:val="center"/>
          </w:tcPr>
          <w:p>
            <w:pPr>
              <w:jc w:val="center"/>
            </w:pPr>
            <w:r>
              <w:rPr>
                <w:color w:val="000000"/>
                <w:sz w:val="24"/>
              </w:rPr>
              <w:t>0.69%</w:t>
            </w:r>
          </w:p>
        </w:tc>
        <w:tc>
          <w:tcPr>
            <w:vAlign w:val="center"/>
          </w:tcPr>
          <w:p>
            <w:pPr>
              <w:jc w:val="center"/>
            </w:pPr>
            <w:r>
              <w:rPr>
                <w:color w:val="000000"/>
                <w:sz w:val="24"/>
              </w:rPr>
              <w:t>0.08%</w:t>
            </w:r>
          </w:p>
        </w:tc>
      </w:tr>
      <w:tr>
        <w:tc>
          <w:tcPr>
            <w:vAlign w:val="center"/>
          </w:tcPr>
          <w:p>
            <w:pPr>
              <w:jc w:val="left"/>
            </w:pPr>
            <w:r>
              <w:rPr>
                <w:color w:val="000000"/>
                <w:sz w:val="24"/>
              </w:rPr>
              <w:t>过去一年</w:t>
            </w:r>
          </w:p>
        </w:tc>
        <w:tc>
          <w:tcPr>
            <w:vAlign w:val="center"/>
          </w:tcPr>
          <w:p>
            <w:pPr>
              <w:jc w:val="center"/>
            </w:pPr>
            <w:r>
              <w:rPr>
                <w:color w:val="000000"/>
                <w:sz w:val="24"/>
              </w:rPr>
              <w:t>3.73%</w:t>
            </w:r>
          </w:p>
        </w:tc>
        <w:tc>
          <w:tcPr>
            <w:vAlign w:val="center"/>
          </w:tcPr>
          <w:p>
            <w:pPr>
              <w:jc w:val="center"/>
            </w:pPr>
            <w:r>
              <w:rPr>
                <w:color w:val="000000"/>
                <w:sz w:val="24"/>
              </w:rPr>
              <w:t>0.07%</w:t>
            </w:r>
          </w:p>
        </w:tc>
        <w:tc>
          <w:tcPr>
            <w:vAlign w:val="center"/>
          </w:tcPr>
          <w:p>
            <w:pPr>
              <w:jc w:val="center"/>
            </w:pPr>
            <w:r>
              <w:rPr>
                <w:color w:val="000000"/>
                <w:sz w:val="24"/>
              </w:rPr>
              <w:t>2.54%</w:t>
            </w:r>
          </w:p>
        </w:tc>
        <w:tc>
          <w:tcPr>
            <w:vAlign w:val="center"/>
          </w:tcPr>
          <w:p>
            <w:pPr>
              <w:jc w:val="center"/>
            </w:pPr>
            <w:r>
              <w:rPr>
                <w:color w:val="000000"/>
                <w:sz w:val="24"/>
              </w:rPr>
              <w:t>0.01%</w:t>
            </w:r>
          </w:p>
        </w:tc>
        <w:tc>
          <w:tcPr>
            <w:vAlign w:val="center"/>
          </w:tcPr>
          <w:p>
            <w:pPr>
              <w:jc w:val="center"/>
            </w:pPr>
            <w:r>
              <w:rPr>
                <w:color w:val="000000"/>
                <w:sz w:val="24"/>
              </w:rPr>
              <w:t>1.19%</w:t>
            </w:r>
          </w:p>
        </w:tc>
        <w:tc>
          <w:tcPr>
            <w:vAlign w:val="center"/>
          </w:tcPr>
          <w:p>
            <w:pPr>
              <w:jc w:val="center"/>
            </w:pPr>
            <w:r>
              <w:rPr>
                <w:color w:val="000000"/>
                <w:sz w:val="24"/>
              </w:rPr>
              <w:t>0.06%</w:t>
            </w:r>
          </w:p>
        </w:tc>
      </w:tr>
      <w:tr>
        <w:tc>
          <w:tcPr>
            <w:vAlign w:val="center"/>
          </w:tcPr>
          <w:p>
            <w:pPr>
              <w:jc w:val="left"/>
            </w:pPr>
            <w:r>
              <w:rPr>
                <w:color w:val="000000"/>
                <w:sz w:val="24"/>
              </w:rPr>
              <w:t>过去三年</w:t>
            </w:r>
          </w:p>
        </w:tc>
        <w:tc>
          <w:tcPr>
            <w:vAlign w:val="center"/>
          </w:tcPr>
          <w:p>
            <w:pPr>
              <w:jc w:val="center"/>
            </w:pPr>
            <w:r>
              <w:rPr>
                <w:color w:val="000000"/>
                <w:sz w:val="24"/>
              </w:rPr>
              <w:t>15.36%</w:t>
            </w:r>
          </w:p>
        </w:tc>
        <w:tc>
          <w:tcPr>
            <w:vAlign w:val="center"/>
          </w:tcPr>
          <w:p>
            <w:pPr>
              <w:jc w:val="center"/>
            </w:pPr>
            <w:r>
              <w:rPr>
                <w:color w:val="000000"/>
                <w:sz w:val="24"/>
              </w:rPr>
              <w:t>0.06%</w:t>
            </w:r>
          </w:p>
        </w:tc>
        <w:tc>
          <w:tcPr>
            <w:vAlign w:val="center"/>
          </w:tcPr>
          <w:p>
            <w:pPr>
              <w:jc w:val="center"/>
            </w:pPr>
            <w:r>
              <w:rPr>
                <w:color w:val="000000"/>
                <w:sz w:val="24"/>
              </w:rPr>
              <w:t>7.61%</w:t>
            </w:r>
          </w:p>
        </w:tc>
        <w:tc>
          <w:tcPr>
            <w:vAlign w:val="center"/>
          </w:tcPr>
          <w:p>
            <w:pPr>
              <w:jc w:val="center"/>
            </w:pPr>
            <w:r>
              <w:rPr>
                <w:color w:val="000000"/>
                <w:sz w:val="24"/>
              </w:rPr>
              <w:t>0.01%</w:t>
            </w:r>
          </w:p>
        </w:tc>
        <w:tc>
          <w:tcPr>
            <w:vAlign w:val="center"/>
          </w:tcPr>
          <w:p>
            <w:pPr>
              <w:jc w:val="center"/>
            </w:pPr>
            <w:r>
              <w:rPr>
                <w:color w:val="000000"/>
                <w:sz w:val="24"/>
              </w:rPr>
              <w:t>7.75%</w:t>
            </w:r>
          </w:p>
        </w:tc>
        <w:tc>
          <w:tcPr>
            <w:vAlign w:val="center"/>
          </w:tcPr>
          <w:p>
            <w:pPr>
              <w:jc w:val="center"/>
            </w:pPr>
            <w:r>
              <w:rPr>
                <w:color w:val="000000"/>
                <w:sz w:val="24"/>
              </w:rPr>
              <w:t>0.05%</w:t>
            </w:r>
          </w:p>
        </w:tc>
      </w:tr>
      <w:tr>
        <w:tc>
          <w:tcPr>
            <w:vAlign w:val="center"/>
          </w:tcPr>
          <w:p>
            <w:pPr>
              <w:jc w:val="left"/>
            </w:pPr>
            <w:r>
              <w:rPr>
                <w:color w:val="000000"/>
                <w:sz w:val="24"/>
              </w:rPr>
              <w:t>过去五年</w:t>
            </w:r>
          </w:p>
        </w:tc>
        <w:tc>
          <w:tcPr>
            <w:vAlign w:val="center"/>
          </w:tcPr>
          <w:p>
            <w:pPr>
              <w:jc w:val="center"/>
            </w:pPr>
            <w:r>
              <w:rPr>
                <w:color w:val="000000"/>
                <w:sz w:val="24"/>
              </w:rPr>
              <w:t>24.39%</w:t>
            </w:r>
          </w:p>
        </w:tc>
        <w:tc>
          <w:tcPr>
            <w:vAlign w:val="center"/>
          </w:tcPr>
          <w:p>
            <w:pPr>
              <w:jc w:val="center"/>
            </w:pPr>
            <w:r>
              <w:rPr>
                <w:color w:val="000000"/>
                <w:sz w:val="24"/>
              </w:rPr>
              <w:t>0.06%</w:t>
            </w:r>
          </w:p>
        </w:tc>
        <w:tc>
          <w:tcPr>
            <w:vAlign w:val="center"/>
          </w:tcPr>
          <w:p>
            <w:pPr>
              <w:jc w:val="center"/>
            </w:pPr>
            <w:r>
              <w:rPr>
                <w:color w:val="000000"/>
                <w:sz w:val="24"/>
              </w:rPr>
              <w:t>12.81%</w:t>
            </w:r>
          </w:p>
        </w:tc>
        <w:tc>
          <w:tcPr>
            <w:vAlign w:val="center"/>
          </w:tcPr>
          <w:p>
            <w:pPr>
              <w:jc w:val="center"/>
            </w:pPr>
            <w:r>
              <w:rPr>
                <w:color w:val="000000"/>
                <w:sz w:val="24"/>
              </w:rPr>
              <w:t>0.01%</w:t>
            </w:r>
          </w:p>
        </w:tc>
        <w:tc>
          <w:tcPr>
            <w:vAlign w:val="center"/>
          </w:tcPr>
          <w:p>
            <w:pPr>
              <w:jc w:val="center"/>
            </w:pPr>
            <w:r>
              <w:rPr>
                <w:color w:val="000000"/>
                <w:sz w:val="24"/>
              </w:rPr>
              <w:t>11.58%</w:t>
            </w:r>
          </w:p>
        </w:tc>
        <w:tc>
          <w:tcPr>
            <w:vAlign w:val="center"/>
          </w:tcPr>
          <w:p>
            <w:pPr>
              <w:jc w:val="center"/>
            </w:pPr>
            <w:r>
              <w:rPr>
                <w:color w:val="000000"/>
                <w:sz w:val="24"/>
              </w:rPr>
              <w:t>0.05%</w:t>
            </w:r>
          </w:p>
        </w:tc>
      </w:tr>
      <w:tr>
        <w:tc>
          <w:tcPr>
            <w:vAlign w:val="center"/>
          </w:tcPr>
          <w:p>
            <w:pPr>
              <w:jc w:val="left"/>
            </w:pPr>
            <w:r>
              <w:rPr>
                <w:color w:val="000000"/>
                <w:sz w:val="24"/>
              </w:rPr>
              <w:t>自基金合同生效起至今</w:t>
            </w:r>
          </w:p>
        </w:tc>
        <w:tc>
          <w:tcPr>
            <w:vAlign w:val="center"/>
          </w:tcPr>
          <w:p>
            <w:pPr>
              <w:jc w:val="center"/>
            </w:pPr>
            <w:r>
              <w:rPr>
                <w:color w:val="000000"/>
                <w:sz w:val="24"/>
              </w:rPr>
              <w:t>42.07%</w:t>
            </w:r>
          </w:p>
        </w:tc>
        <w:tc>
          <w:tcPr>
            <w:vAlign w:val="center"/>
          </w:tcPr>
          <w:p>
            <w:pPr>
              <w:jc w:val="center"/>
            </w:pPr>
            <w:r>
              <w:rPr>
                <w:color w:val="000000"/>
                <w:sz w:val="24"/>
              </w:rPr>
              <w:t>0.07%</w:t>
            </w:r>
          </w:p>
        </w:tc>
        <w:tc>
          <w:tcPr>
            <w:vAlign w:val="center"/>
          </w:tcPr>
          <w:p>
            <w:pPr>
              <w:jc w:val="center"/>
            </w:pPr>
            <w:r>
              <w:rPr>
                <w:color w:val="000000"/>
                <w:sz w:val="24"/>
              </w:rPr>
              <w:t>20.32%</w:t>
            </w:r>
          </w:p>
        </w:tc>
        <w:tc>
          <w:tcPr>
            <w:vAlign w:val="center"/>
          </w:tcPr>
          <w:p>
            <w:pPr>
              <w:jc w:val="center"/>
            </w:pPr>
            <w:r>
              <w:rPr>
                <w:color w:val="000000"/>
                <w:sz w:val="24"/>
              </w:rPr>
              <w:t>0.01%</w:t>
            </w:r>
          </w:p>
        </w:tc>
        <w:tc>
          <w:tcPr>
            <w:vAlign w:val="center"/>
          </w:tcPr>
          <w:p>
            <w:pPr>
              <w:jc w:val="center"/>
            </w:pPr>
            <w:r>
              <w:rPr>
                <w:color w:val="000000"/>
                <w:sz w:val="24"/>
              </w:rPr>
              <w:t>21.75%</w:t>
            </w:r>
          </w:p>
        </w:tc>
        <w:tc>
          <w:tcPr>
            <w:vAlign w:val="center"/>
          </w:tcPr>
          <w:p>
            <w:pPr>
              <w:jc w:val="center"/>
            </w:pPr>
            <w:r>
              <w:rPr>
                <w:color w:val="000000"/>
                <w:sz w:val="24"/>
              </w:rPr>
              <w:t>0.06%</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易方达纯债1年定期开放债券型证券投资基金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（2013年7月30日至2020年6月30日）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易方达纯债1年定期开放债券A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易方达纯债1年定期开放债券C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注：自基金合同生效至报告期末，A类基金份额净值增长率为45.35%，C类基金份额净值增长率为42.07%，同期业绩比较基准收益率为20.32%。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李一硕</w:t>
            </w:r>
          </w:p>
        </w:tc>
        <w:tc>
          <w:tcPr>
            <w:vAlign w:val="center"/>
          </w:tcPr>
          <w:p>
            <w:pPr>
              <w:jc w:val="left"/>
            </w:pPr>
            <w:r>
              <w:rPr>
                <w:color w:val="000000"/>
                <w:sz w:val="24"/>
              </w:rPr>
              <w:t>本基金的基金经理、易方达永旭添利定期开放债券型证券投资基金的基金经理、易方达裕如灵活配置混合型证券投资基金的基金经理、易方达恒信定期开放债券型发起式证券投资基金的基金经理、易方达恒惠定期开放债券型发起式证券投资基金的基金经理、易方达安源中短债债券型证券投资基金的基金经理、易方达年年恒夏纯债一年定期开放债券型发起式证券投资基金的基金经理、易方达恒益定期开放债券型发起式证券投资基金的基金经理、易方达年年恒秋纯债一年定期开放债券型发起式证券投资基金的基金经理、易方达年年恒春纯债一年定期开放债券型发起式证券投资基金的基金经理、易方达稳健收益债券型证券投资基金的基金经理助理、易方达中债新综合债券指数发起式证券投资基金（LOF）的基金经理助理、易方达信用债债券型证券投资基金的基金经理助理、易方达裕惠回报定期开放式混合型发起式证券投资基金的基金经理助理、易方达瑞富灵活配置混合型证券投资基金的基金经理助理、易方达恒兴3个月定期开放债券型发起式证券投资基金的基金经理助理、易方达富惠纯债债券型证券投资基金的基金经理助理、易方达丰惠混合型证券投资基金的基金经理助理（自2019年01月18日至2020年06月09日）、固定收益投资部总经理助理</w:t>
            </w:r>
          </w:p>
        </w:tc>
        <w:tc>
          <w:tcPr>
            <w:vAlign w:val="center"/>
          </w:tcPr>
          <w:p>
            <w:pPr>
              <w:jc w:val="center"/>
            </w:pPr>
            <w:r>
              <w:rPr>
                <w:color w:val="000000"/>
                <w:sz w:val="24"/>
              </w:rPr>
              <w:t>2015-03-14</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瑞银证券有限公司研究员，中国国际金融有限公司研究员，易方达基金管理有限公司固定收益研究员、易方达瑞景灵活配置混合型证券投资基金基金经理、易方达新利灵活配置混合型证券投资基金基金经理、易方达新享灵活配置混合型证券投资基金基金经理、易方达富惠纯债债券型证券投资基金基金经理、易方达聚盈分级债券型发起式证券投资基金基金经理、易方达新利灵活配置混合型证券投资基金基金经理助理、易方达新享灵活配置混合型证券投资基金基金经理助理、易方达裕如灵活配置混合型证券投资基金基金经理助理、易方达瑞祥灵活配置混合型证券投资基金基金经理助理、易方达瑞兴灵活配置混合型证券投资基金基金经理助理、易方达瑞智灵活配置混合型证券投资基金基金经理助理、易方达恒益定期开放债券型发起式证券投资基金基金经理助理、易方达瑞祺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操作上，组合保持了偏高的杠杆水平。受到债券市场剧烈波动的影响，组合净值有所回撤。未来我们在维持久期匹配的整体策略下，将根据市场情况灵活调整组合的配置结构。</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截至报告期末，本基金A类基金份额净值为1.047元，本报告期份额净值增长率为0.10%，同期业绩比较基准收益率为0.63%；C类基金份额净值为1.044元，本报告期份额净值增长率为0.00%，同期业绩比较基准收益率为0.63%。</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3,221,978,002.40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96.31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3,131,780,002.40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93.61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90,198,000.00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2.70</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55,114,434.11</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1.65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68,365,327.31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3,345,457,763.82</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1,513,777,502.40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75.10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301,804,000.00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14.97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1,316,198,500.00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65.30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3,131,780,002.40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155.37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101900308</w:t>
            </w:r>
          </w:p>
        </w:tc>
        <w:tc>
          <w:tcPr>
            <w:vAlign w:val="center"/>
          </w:tcPr>
          <w:p>
            <w:pPr>
              <w:jc w:val="center"/>
            </w:pPr>
            <w:r>
              <w:rPr>
                <w:color w:val="000000"/>
                <w:sz w:val="24"/>
              </w:rPr>
              <w:t>19重汽MTN002</w:t>
            </w:r>
          </w:p>
        </w:tc>
        <w:tc>
          <w:tcPr>
            <w:vAlign w:val="center"/>
          </w:tcPr>
          <w:p>
            <w:pPr>
              <w:jc w:val="right"/>
            </w:pPr>
            <w:r>
              <w:rPr>
                <w:color w:val="000000"/>
                <w:sz w:val="24"/>
              </w:rPr>
              <w:t>800,000</w:t>
            </w:r>
          </w:p>
        </w:tc>
        <w:tc>
          <w:tcPr>
            <w:vAlign w:val="center"/>
          </w:tcPr>
          <w:p>
            <w:pPr>
              <w:jc w:val="right"/>
            </w:pPr>
            <w:r>
              <w:rPr>
                <w:color w:val="000000"/>
                <w:sz w:val="24"/>
              </w:rPr>
              <w:t>80,984,000.00</w:t>
            </w:r>
          </w:p>
        </w:tc>
        <w:tc>
          <w:tcPr>
            <w:vAlign w:val="center"/>
          </w:tcPr>
          <w:p>
            <w:pPr>
              <w:jc w:val="right"/>
            </w:pPr>
            <w:r>
              <w:rPr>
                <w:color w:val="000000"/>
                <w:sz w:val="24"/>
              </w:rPr>
              <w:t>4.02</w:t>
            </w:r>
          </w:p>
        </w:tc>
      </w:tr>
      <w:tr>
        <w:tc>
          <w:tcPr>
            <w:vAlign w:val="center"/>
          </w:tcPr>
          <w:p>
            <w:pPr>
              <w:jc w:val="center"/>
            </w:pPr>
            <w:r>
              <w:rPr>
                <w:color w:val="000000"/>
                <w:sz w:val="24"/>
              </w:rPr>
              <w:t>2</w:t>
            </w:r>
          </w:p>
        </w:tc>
        <w:tc>
          <w:tcPr>
            <w:vAlign w:val="center"/>
          </w:tcPr>
          <w:p>
            <w:pPr>
              <w:jc w:val="center"/>
            </w:pPr>
            <w:r>
              <w:rPr>
                <w:color w:val="000000"/>
                <w:sz w:val="24"/>
              </w:rPr>
              <w:t>101901075</w:t>
            </w:r>
          </w:p>
        </w:tc>
        <w:tc>
          <w:tcPr>
            <w:vAlign w:val="center"/>
          </w:tcPr>
          <w:p>
            <w:pPr>
              <w:jc w:val="center"/>
            </w:pPr>
            <w:r>
              <w:rPr>
                <w:color w:val="000000"/>
                <w:sz w:val="24"/>
              </w:rPr>
              <w:t>19吉利MTN002</w:t>
            </w:r>
          </w:p>
        </w:tc>
        <w:tc>
          <w:tcPr>
            <w:vAlign w:val="center"/>
          </w:tcPr>
          <w:p>
            <w:pPr>
              <w:jc w:val="right"/>
            </w:pPr>
            <w:r>
              <w:rPr>
                <w:color w:val="000000"/>
                <w:sz w:val="24"/>
              </w:rPr>
              <w:t>800,000</w:t>
            </w:r>
          </w:p>
        </w:tc>
        <w:tc>
          <w:tcPr>
            <w:vAlign w:val="center"/>
          </w:tcPr>
          <w:p>
            <w:pPr>
              <w:jc w:val="right"/>
            </w:pPr>
            <w:r>
              <w:rPr>
                <w:color w:val="000000"/>
                <w:sz w:val="24"/>
              </w:rPr>
              <w:t>80,928,000.00</w:t>
            </w:r>
          </w:p>
        </w:tc>
        <w:tc>
          <w:tcPr>
            <w:vAlign w:val="center"/>
          </w:tcPr>
          <w:p>
            <w:pPr>
              <w:jc w:val="right"/>
            </w:pPr>
            <w:r>
              <w:rPr>
                <w:color w:val="000000"/>
                <w:sz w:val="24"/>
              </w:rPr>
              <w:t>4.01</w:t>
            </w:r>
          </w:p>
        </w:tc>
      </w:tr>
      <w:tr>
        <w:tc>
          <w:tcPr>
            <w:vAlign w:val="center"/>
          </w:tcPr>
          <w:p>
            <w:pPr>
              <w:jc w:val="center"/>
            </w:pPr>
            <w:r>
              <w:rPr>
                <w:color w:val="000000"/>
                <w:sz w:val="24"/>
              </w:rPr>
              <w:t>3</w:t>
            </w:r>
          </w:p>
        </w:tc>
        <w:tc>
          <w:tcPr>
            <w:vAlign w:val="center"/>
          </w:tcPr>
          <w:p>
            <w:pPr>
              <w:jc w:val="center"/>
            </w:pPr>
            <w:r>
              <w:rPr>
                <w:color w:val="000000"/>
                <w:sz w:val="24"/>
              </w:rPr>
              <w:t>155444</w:t>
            </w:r>
          </w:p>
        </w:tc>
        <w:tc>
          <w:tcPr>
            <w:vAlign w:val="center"/>
          </w:tcPr>
          <w:p>
            <w:pPr>
              <w:jc w:val="center"/>
            </w:pPr>
            <w:r>
              <w:rPr>
                <w:color w:val="000000"/>
                <w:sz w:val="24"/>
              </w:rPr>
              <w:t>19津投13</w:t>
            </w:r>
          </w:p>
        </w:tc>
        <w:tc>
          <w:tcPr>
            <w:vAlign w:val="center"/>
          </w:tcPr>
          <w:p>
            <w:pPr>
              <w:jc w:val="right"/>
            </w:pPr>
            <w:r>
              <w:rPr>
                <w:color w:val="000000"/>
                <w:sz w:val="24"/>
              </w:rPr>
              <w:t>700,000</w:t>
            </w:r>
          </w:p>
        </w:tc>
        <w:tc>
          <w:tcPr>
            <w:vAlign w:val="center"/>
          </w:tcPr>
          <w:p>
            <w:pPr>
              <w:jc w:val="right"/>
            </w:pPr>
            <w:r>
              <w:rPr>
                <w:color w:val="000000"/>
                <w:sz w:val="24"/>
              </w:rPr>
              <w:t>70,889,000.00</w:t>
            </w:r>
          </w:p>
        </w:tc>
        <w:tc>
          <w:tcPr>
            <w:vAlign w:val="center"/>
          </w:tcPr>
          <w:p>
            <w:pPr>
              <w:jc w:val="right"/>
            </w:pPr>
            <w:r>
              <w:rPr>
                <w:color w:val="000000"/>
                <w:sz w:val="24"/>
              </w:rPr>
              <w:t>3.52</w:t>
            </w:r>
          </w:p>
        </w:tc>
      </w:tr>
      <w:tr>
        <w:tc>
          <w:tcPr>
            <w:vAlign w:val="center"/>
          </w:tcPr>
          <w:p>
            <w:pPr>
              <w:jc w:val="center"/>
            </w:pPr>
            <w:r>
              <w:rPr>
                <w:color w:val="000000"/>
                <w:sz w:val="24"/>
              </w:rPr>
              <w:t>4</w:t>
            </w:r>
          </w:p>
        </w:tc>
        <w:tc>
          <w:tcPr>
            <w:vAlign w:val="center"/>
          </w:tcPr>
          <w:p>
            <w:pPr>
              <w:jc w:val="center"/>
            </w:pPr>
            <w:r>
              <w:rPr>
                <w:color w:val="000000"/>
                <w:sz w:val="24"/>
              </w:rPr>
              <w:t>101901095</w:t>
            </w:r>
          </w:p>
        </w:tc>
        <w:tc>
          <w:tcPr>
            <w:vAlign w:val="center"/>
          </w:tcPr>
          <w:p>
            <w:pPr>
              <w:jc w:val="center"/>
            </w:pPr>
            <w:r>
              <w:rPr>
                <w:color w:val="000000"/>
                <w:sz w:val="24"/>
              </w:rPr>
              <w:t>19西南水泥MTN003</w:t>
            </w:r>
          </w:p>
        </w:tc>
        <w:tc>
          <w:tcPr>
            <w:vAlign w:val="center"/>
          </w:tcPr>
          <w:p>
            <w:pPr>
              <w:jc w:val="right"/>
            </w:pPr>
            <w:r>
              <w:rPr>
                <w:color w:val="000000"/>
                <w:sz w:val="24"/>
              </w:rPr>
              <w:t>600,000</w:t>
            </w:r>
          </w:p>
        </w:tc>
        <w:tc>
          <w:tcPr>
            <w:vAlign w:val="center"/>
          </w:tcPr>
          <w:p>
            <w:pPr>
              <w:jc w:val="right"/>
            </w:pPr>
            <w:r>
              <w:rPr>
                <w:color w:val="000000"/>
                <w:sz w:val="24"/>
              </w:rPr>
              <w:t>60,768,000.00</w:t>
            </w:r>
          </w:p>
        </w:tc>
        <w:tc>
          <w:tcPr>
            <w:vAlign w:val="center"/>
          </w:tcPr>
          <w:p>
            <w:pPr>
              <w:jc w:val="right"/>
            </w:pPr>
            <w:r>
              <w:rPr>
                <w:color w:val="000000"/>
                <w:sz w:val="24"/>
              </w:rPr>
              <w:t>3.01</w:t>
            </w:r>
          </w:p>
        </w:tc>
      </w:tr>
      <w:tr>
        <w:tc>
          <w:tcPr>
            <w:vAlign w:val="center"/>
          </w:tcPr>
          <w:p>
            <w:pPr>
              <w:jc w:val="center"/>
            </w:pPr>
            <w:r>
              <w:rPr>
                <w:color w:val="000000"/>
                <w:sz w:val="24"/>
              </w:rPr>
              <w:t>5</w:t>
            </w:r>
          </w:p>
        </w:tc>
        <w:tc>
          <w:tcPr>
            <w:vAlign w:val="center"/>
          </w:tcPr>
          <w:p>
            <w:pPr>
              <w:jc w:val="center"/>
            </w:pPr>
            <w:r>
              <w:rPr>
                <w:color w:val="000000"/>
                <w:sz w:val="24"/>
              </w:rPr>
              <w:t>136753</w:t>
            </w:r>
          </w:p>
        </w:tc>
        <w:tc>
          <w:tcPr>
            <w:vAlign w:val="center"/>
          </w:tcPr>
          <w:p>
            <w:pPr>
              <w:jc w:val="center"/>
            </w:pPr>
            <w:r>
              <w:rPr>
                <w:color w:val="000000"/>
                <w:sz w:val="24"/>
              </w:rPr>
              <w:t>16大华02</w:t>
            </w:r>
          </w:p>
        </w:tc>
        <w:tc>
          <w:tcPr>
            <w:vAlign w:val="center"/>
          </w:tcPr>
          <w:p>
            <w:pPr>
              <w:jc w:val="right"/>
            </w:pPr>
            <w:r>
              <w:rPr>
                <w:color w:val="000000"/>
                <w:sz w:val="24"/>
              </w:rPr>
              <w:t>580,000</w:t>
            </w:r>
          </w:p>
        </w:tc>
        <w:tc>
          <w:tcPr>
            <w:vAlign w:val="center"/>
          </w:tcPr>
          <w:p>
            <w:pPr>
              <w:jc w:val="right"/>
            </w:pPr>
            <w:r>
              <w:rPr>
                <w:color w:val="000000"/>
                <w:sz w:val="24"/>
              </w:rPr>
              <w:t>58,928,000.00</w:t>
            </w:r>
          </w:p>
        </w:tc>
        <w:tc>
          <w:tcPr>
            <w:vAlign w:val="center"/>
          </w:tcPr>
          <w:p>
            <w:pPr>
              <w:jc w:val="right"/>
            </w:pPr>
            <w:r>
              <w:rPr>
                <w:color w:val="000000"/>
                <w:sz w:val="24"/>
              </w:rPr>
              <w:t>2.92</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165272</w:t>
            </w:r>
          </w:p>
        </w:tc>
        <w:tc>
          <w:tcPr>
            <w:vAlign w:val="center"/>
          </w:tcPr>
          <w:p>
            <w:pPr>
              <w:jc w:val="center"/>
            </w:pPr>
            <w:r>
              <w:rPr>
                <w:color w:val="000000"/>
                <w:sz w:val="24"/>
              </w:rPr>
              <w:t>天信2A</w:t>
            </w:r>
          </w:p>
        </w:tc>
        <w:tc>
          <w:tcPr>
            <w:vAlign w:val="center"/>
          </w:tcPr>
          <w:p>
            <w:pPr>
              <w:jc w:val="right"/>
            </w:pPr>
            <w:r>
              <w:rPr>
                <w:color w:val="000000"/>
                <w:sz w:val="24"/>
              </w:rPr>
              <w:t>300,000</w:t>
            </w:r>
          </w:p>
        </w:tc>
        <w:tc>
          <w:tcPr>
            <w:vAlign w:val="center"/>
          </w:tcPr>
          <w:p>
            <w:pPr>
              <w:jc w:val="right"/>
            </w:pPr>
            <w:r>
              <w:rPr>
                <w:color w:val="000000"/>
                <w:sz w:val="24"/>
              </w:rPr>
              <w:t>30,084,000.00</w:t>
            </w:r>
          </w:p>
        </w:tc>
        <w:tc>
          <w:tcPr>
            <w:vAlign w:val="center"/>
          </w:tcPr>
          <w:p>
            <w:pPr>
              <w:jc w:val="right"/>
            </w:pPr>
            <w:r>
              <w:rPr>
                <w:color w:val="000000"/>
                <w:sz w:val="24"/>
              </w:rPr>
              <w:t>1.49</w:t>
            </w:r>
          </w:p>
        </w:tc>
      </w:tr>
      <w:tr>
        <w:tc>
          <w:tcPr>
            <w:vAlign w:val="center"/>
          </w:tcPr>
          <w:p>
            <w:pPr>
              <w:jc w:val="center"/>
            </w:pPr>
            <w:r>
              <w:rPr>
                <w:color w:val="000000"/>
                <w:sz w:val="24"/>
              </w:rPr>
              <w:t>2</w:t>
            </w:r>
          </w:p>
        </w:tc>
        <w:tc>
          <w:tcPr>
            <w:vAlign w:val="center"/>
          </w:tcPr>
          <w:p>
            <w:pPr>
              <w:jc w:val="center"/>
            </w:pPr>
            <w:r>
              <w:rPr>
                <w:color w:val="000000"/>
                <w:sz w:val="24"/>
              </w:rPr>
              <w:t>159690</w:t>
            </w:r>
          </w:p>
        </w:tc>
        <w:tc>
          <w:tcPr>
            <w:vAlign w:val="center"/>
          </w:tcPr>
          <w:p>
            <w:pPr>
              <w:jc w:val="center"/>
            </w:pPr>
            <w:r>
              <w:rPr>
                <w:color w:val="000000"/>
                <w:sz w:val="24"/>
              </w:rPr>
              <w:t>璀璨10A</w:t>
            </w:r>
          </w:p>
        </w:tc>
        <w:tc>
          <w:tcPr>
            <w:vAlign w:val="center"/>
          </w:tcPr>
          <w:p>
            <w:pPr>
              <w:jc w:val="right"/>
            </w:pPr>
            <w:r>
              <w:rPr>
                <w:color w:val="000000"/>
                <w:sz w:val="24"/>
              </w:rPr>
              <w:t>300,000</w:t>
            </w:r>
          </w:p>
        </w:tc>
        <w:tc>
          <w:tcPr>
            <w:vAlign w:val="center"/>
          </w:tcPr>
          <w:p>
            <w:pPr>
              <w:jc w:val="right"/>
            </w:pPr>
            <w:r>
              <w:rPr>
                <w:color w:val="000000"/>
                <w:sz w:val="24"/>
              </w:rPr>
              <w:t>29,970,000.00</w:t>
            </w:r>
          </w:p>
        </w:tc>
        <w:tc>
          <w:tcPr>
            <w:vAlign w:val="center"/>
          </w:tcPr>
          <w:p>
            <w:pPr>
              <w:jc w:val="right"/>
            </w:pPr>
            <w:r>
              <w:rPr>
                <w:color w:val="000000"/>
                <w:sz w:val="24"/>
              </w:rPr>
              <w:t>1.49</w:t>
            </w:r>
          </w:p>
        </w:tc>
      </w:tr>
      <w:tr>
        <w:tc>
          <w:tcPr>
            <w:vAlign w:val="center"/>
          </w:tcPr>
          <w:p>
            <w:pPr>
              <w:jc w:val="center"/>
            </w:pPr>
            <w:r>
              <w:rPr>
                <w:color w:val="000000"/>
                <w:sz w:val="24"/>
              </w:rPr>
              <w:t>3</w:t>
            </w:r>
          </w:p>
        </w:tc>
        <w:tc>
          <w:tcPr>
            <w:vAlign w:val="center"/>
          </w:tcPr>
          <w:p>
            <w:pPr>
              <w:jc w:val="center"/>
            </w:pPr>
            <w:r>
              <w:rPr>
                <w:color w:val="000000"/>
                <w:sz w:val="24"/>
              </w:rPr>
              <w:t>138221</w:t>
            </w:r>
          </w:p>
        </w:tc>
        <w:tc>
          <w:tcPr>
            <w:vAlign w:val="center"/>
          </w:tcPr>
          <w:p>
            <w:pPr>
              <w:jc w:val="center"/>
            </w:pPr>
            <w:r>
              <w:rPr>
                <w:color w:val="000000"/>
                <w:sz w:val="24"/>
              </w:rPr>
              <w:t>绿金6A1</w:t>
            </w:r>
          </w:p>
        </w:tc>
        <w:tc>
          <w:tcPr>
            <w:vAlign w:val="center"/>
          </w:tcPr>
          <w:p>
            <w:pPr>
              <w:jc w:val="right"/>
            </w:pPr>
            <w:r>
              <w:rPr>
                <w:color w:val="000000"/>
                <w:sz w:val="24"/>
              </w:rPr>
              <w:t>100,000</w:t>
            </w:r>
          </w:p>
        </w:tc>
        <w:tc>
          <w:tcPr>
            <w:vAlign w:val="center"/>
          </w:tcPr>
          <w:p>
            <w:pPr>
              <w:jc w:val="right"/>
            </w:pPr>
            <w:r>
              <w:rPr>
                <w:color w:val="000000"/>
                <w:sz w:val="24"/>
              </w:rPr>
              <w:t>10,063,000.00</w:t>
            </w:r>
          </w:p>
        </w:tc>
        <w:tc>
          <w:tcPr>
            <w:vAlign w:val="center"/>
          </w:tcPr>
          <w:p>
            <w:pPr>
              <w:jc w:val="right"/>
            </w:pPr>
            <w:r>
              <w:rPr>
                <w:color w:val="000000"/>
                <w:sz w:val="24"/>
              </w:rPr>
              <w:t>0.50</w:t>
            </w:r>
          </w:p>
        </w:tc>
      </w:tr>
      <w:tr>
        <w:tc>
          <w:tcPr>
            <w:vAlign w:val="center"/>
          </w:tcPr>
          <w:p>
            <w:pPr>
              <w:jc w:val="center"/>
            </w:pPr>
            <w:r>
              <w:rPr>
                <w:color w:val="000000"/>
                <w:sz w:val="24"/>
              </w:rPr>
              <w:t>4</w:t>
            </w:r>
          </w:p>
        </w:tc>
        <w:tc>
          <w:tcPr>
            <w:vAlign w:val="center"/>
          </w:tcPr>
          <w:p>
            <w:pPr>
              <w:jc w:val="center"/>
            </w:pPr>
            <w:r>
              <w:rPr>
                <w:color w:val="000000"/>
                <w:sz w:val="24"/>
              </w:rPr>
              <w:t>138332</w:t>
            </w:r>
          </w:p>
        </w:tc>
        <w:tc>
          <w:tcPr>
            <w:vAlign w:val="center"/>
          </w:tcPr>
          <w:p>
            <w:pPr>
              <w:jc w:val="center"/>
            </w:pPr>
            <w:r>
              <w:rPr>
                <w:color w:val="000000"/>
                <w:sz w:val="24"/>
              </w:rPr>
              <w:t>19桃源2A</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0.50</w:t>
            </w:r>
          </w:p>
        </w:tc>
      </w:tr>
      <w:tr>
        <w:tc>
          <w:tcPr>
            <w:vAlign w:val="center"/>
          </w:tcPr>
          <w:p>
            <w:pPr>
              <w:jc w:val="center"/>
            </w:pPr>
            <w:r>
              <w:rPr>
                <w:color w:val="000000"/>
                <w:sz w:val="24"/>
              </w:rPr>
              <w:t>5</w:t>
            </w:r>
          </w:p>
        </w:tc>
        <w:tc>
          <w:tcPr>
            <w:vAlign w:val="center"/>
          </w:tcPr>
          <w:p>
            <w:pPr>
              <w:jc w:val="center"/>
            </w:pPr>
            <w:r>
              <w:rPr>
                <w:color w:val="000000"/>
                <w:sz w:val="24"/>
              </w:rPr>
              <w:t>165519</w:t>
            </w:r>
          </w:p>
        </w:tc>
        <w:tc>
          <w:tcPr>
            <w:vAlign w:val="center"/>
          </w:tcPr>
          <w:p>
            <w:pPr>
              <w:jc w:val="center"/>
            </w:pPr>
            <w:r>
              <w:rPr>
                <w:color w:val="000000"/>
                <w:sz w:val="24"/>
              </w:rPr>
              <w:t>天信4A</w:t>
            </w:r>
          </w:p>
        </w:tc>
        <w:tc>
          <w:tcPr>
            <w:vAlign w:val="center"/>
          </w:tcPr>
          <w:p>
            <w:pPr>
              <w:jc w:val="right"/>
            </w:pPr>
            <w:r>
              <w:rPr>
                <w:color w:val="000000"/>
                <w:sz w:val="24"/>
              </w:rPr>
              <w:t>100,000</w:t>
            </w:r>
          </w:p>
        </w:tc>
        <w:tc>
          <w:tcPr>
            <w:vAlign w:val="center"/>
          </w:tcPr>
          <w:p>
            <w:pPr>
              <w:jc w:val="right"/>
            </w:pPr>
            <w:r>
              <w:rPr>
                <w:color w:val="000000"/>
                <w:sz w:val="24"/>
              </w:rPr>
              <w:t>10,023,000.00</w:t>
            </w:r>
          </w:p>
        </w:tc>
        <w:tc>
          <w:tcPr>
            <w:vAlign w:val="center"/>
          </w:tcPr>
          <w:p>
            <w:pPr>
              <w:jc w:val="right"/>
            </w:pPr>
            <w:r>
              <w:rPr>
                <w:color w:val="000000"/>
                <w:sz w:val="24"/>
              </w:rPr>
              <w:t>0.50</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8,698.64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68,356,628.67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68,365,327.31</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易方达纯债1年定期开放债券A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易方达纯债1年定期开放债券C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1,915,036,840.25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15,328,061.32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4,348,843.29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218,718.85</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1,910,687,996.96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15,109,342.47</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1.中国证监会核准易方达纯债1年定期开放债券型证券投资基金募集的文件；</w:t>
      </w:r>
    </w:p>
    <w:p>
      <w:pPr>
        <w:spacing w:line="360" w:lineRule="auto"/>
        <w:ind w:firstLine="480" w:firstLineChars="200"/>
        <w:rPr>
          <w:color w:val="000000"/>
          <w:sz w:val="24"/>
        </w:rPr>
      </w:pPr>
      <w:r>
        <w:rPr>
          <w:color w:val="000000"/>
          <w:sz w:val="24"/>
        </w:rPr>
        <w:t>2.《易方达纯债1年定期开放债券型证券投资基金基金合同》；</w:t>
      </w:r>
    </w:p>
    <w:p>
      <w:pPr>
        <w:spacing w:line="360" w:lineRule="auto"/>
        <w:ind w:firstLine="480" w:firstLineChars="200"/>
        <w:rPr>
          <w:color w:val="000000"/>
          <w:sz w:val="24"/>
        </w:rPr>
      </w:pPr>
      <w:r>
        <w:rPr>
          <w:color w:val="000000"/>
          <w:sz w:val="24"/>
        </w:rPr>
        <w:t>3.《易方达纯债1年定期开放债券型证券投资基金托管协议》；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易方达纯债1年定期开放债券型证券投资基金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