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易方达信用债债券型证券投资基金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中国工商银行股份有限公司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F62037" w:rsidRDefault="00336109">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F62037" w:rsidRDefault="00336109">
      <w:pPr>
        <w:spacing w:line="360" w:lineRule="auto"/>
        <w:ind w:firstLineChars="200" w:firstLine="480"/>
        <w:rPr>
          <w:color w:val="000000"/>
          <w:sz w:val="24"/>
        </w:rPr>
      </w:pPr>
      <w:r>
        <w:rPr>
          <w:color w:val="000000"/>
          <w:sz w:val="24"/>
        </w:rPr>
        <w:t>基金托管人中国工商银行股份有限公司根据本基金合同规定，于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F62037" w:rsidRDefault="00336109">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F62037" w:rsidRDefault="00336109">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F62037" w:rsidRDefault="00336109">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易方达信用债债券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000032</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2013</w:t>
            </w:r>
            <w:r w:rsidRPr="00C30CFF">
              <w:rPr>
                <w:color w:val="000000"/>
                <w:kern w:val="0"/>
                <w:sz w:val="24"/>
              </w:rPr>
              <w:t>年</w:t>
            </w:r>
            <w:r w:rsidRPr="00C30CFF">
              <w:rPr>
                <w:color w:val="000000"/>
                <w:kern w:val="0"/>
                <w:sz w:val="24"/>
              </w:rPr>
              <w:t>4</w:t>
            </w:r>
            <w:r w:rsidRPr="00C30CFF">
              <w:rPr>
                <w:color w:val="000000"/>
                <w:kern w:val="0"/>
                <w:sz w:val="24"/>
              </w:rPr>
              <w:t>月</w:t>
            </w:r>
            <w:r w:rsidRPr="00C30CFF">
              <w:rPr>
                <w:color w:val="000000"/>
                <w:kern w:val="0"/>
                <w:sz w:val="24"/>
              </w:rPr>
              <w:t>24</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5,959,452,775.67</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本基金主要投资于信用债券，力争获得高于业绩比较基准的投资收益。</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采取积极管理的投资策略，在分析和判断宏观经济运行状况和金融市场运行趋势的基础上，确定和动态调整信用债券、非信用债券和银行存款等资产类别的配置比例；自上而下地决定债券组合久期及类属配置；同时在严谨深入的信用分析的基础上，自下而上地精选个券，力争获得超越业绩比较</w:t>
            </w:r>
            <w:r w:rsidRPr="00C30CFF">
              <w:rPr>
                <w:color w:val="000000"/>
                <w:kern w:val="0"/>
                <w:sz w:val="24"/>
              </w:rPr>
              <w:lastRenderedPageBreak/>
              <w:t>基准的投资回报。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中债</w:t>
            </w:r>
            <w:r w:rsidRPr="00C30CFF">
              <w:rPr>
                <w:color w:val="000000"/>
                <w:kern w:val="0"/>
                <w:sz w:val="24"/>
              </w:rPr>
              <w:t>-</w:t>
            </w:r>
            <w:r w:rsidRPr="00C30CFF">
              <w:rPr>
                <w:color w:val="000000"/>
                <w:kern w:val="0"/>
                <w:sz w:val="24"/>
              </w:rPr>
              <w:t>信用债总指数</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中国工商银行股份有限公司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易方达信用债债券</w:t>
            </w:r>
            <w:r w:rsidRPr="00C30CFF">
              <w:rPr>
                <w:sz w:val="24"/>
              </w:rPr>
              <w:t>A</w:t>
            </w:r>
          </w:p>
        </w:tc>
        <w:tc>
          <w:tcPr>
            <w:tcW w:w="2790" w:type="dxa"/>
            <w:vAlign w:val="center"/>
          </w:tcPr>
          <w:p w:rsidR="00F016DD" w:rsidRPr="00C30CFF" w:rsidRDefault="00F016DD" w:rsidP="00950413">
            <w:pPr>
              <w:jc w:val="left"/>
              <w:rPr>
                <w:sz w:val="24"/>
              </w:rPr>
            </w:pPr>
            <w:r w:rsidRPr="00C30CFF">
              <w:rPr>
                <w:sz w:val="24"/>
              </w:rPr>
              <w:t>易方达信用债债券</w:t>
            </w:r>
            <w:r w:rsidRPr="00C30CFF">
              <w:rPr>
                <w:sz w:val="24"/>
              </w:rPr>
              <w:t>C</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000032</w:t>
            </w:r>
          </w:p>
        </w:tc>
        <w:tc>
          <w:tcPr>
            <w:tcW w:w="2790" w:type="dxa"/>
            <w:vAlign w:val="center"/>
          </w:tcPr>
          <w:p w:rsidR="00F016DD" w:rsidRPr="00C30CFF" w:rsidRDefault="00F016DD" w:rsidP="00950413">
            <w:pPr>
              <w:jc w:val="left"/>
              <w:rPr>
                <w:color w:val="000000"/>
                <w:sz w:val="24"/>
              </w:rPr>
            </w:pPr>
            <w:r w:rsidRPr="00C30CFF">
              <w:rPr>
                <w:color w:val="000000"/>
                <w:sz w:val="24"/>
              </w:rPr>
              <w:t>000033</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4,977,222,018.89</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982,230,756.78</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易方达信用债债券</w:t>
            </w:r>
            <w:r w:rsidRPr="00FA472B">
              <w:rPr>
                <w:sz w:val="24"/>
              </w:rPr>
              <w:t>A</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易方达信用债债券</w:t>
            </w:r>
            <w:r w:rsidRPr="00FA472B">
              <w:rPr>
                <w:sz w:val="24"/>
              </w:rPr>
              <w:t>C</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56,100,562.54</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11,851,310.83</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-21,515,178.59</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-9,719,232.01</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-0.0041</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-0.0080</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5,539,722,809.69</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1,088,647,710.53</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1.113</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1.108</w:t>
            </w:r>
          </w:p>
        </w:tc>
      </w:tr>
    </w:tbl>
    <w:p w:rsidR="00F62037" w:rsidRDefault="00336109">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t>2.</w:t>
      </w:r>
      <w:r w:rsidRPr="00C30CFF">
        <w:rPr>
          <w:color w:val="000000"/>
          <w:sz w:val="24"/>
        </w:rPr>
        <w:t>本期已实现收益指基金本期利息收入、投资收益、其他收入（不含公允价值变</w:t>
      </w:r>
      <w:r w:rsidRPr="00C30CFF">
        <w:rPr>
          <w:color w:val="000000"/>
          <w:sz w:val="24"/>
        </w:rPr>
        <w:lastRenderedPageBreak/>
        <w:t>动收益）扣除相关费用后的余额，本期利润为本期已实现收益加上本期公允价值变动收益。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易方达信用债债券A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F62037">
        <w:tc>
          <w:tcPr>
            <w:tcW w:w="1290" w:type="dxa"/>
            <w:vAlign w:val="center"/>
          </w:tcPr>
          <w:p w:rsidR="00F62037" w:rsidRDefault="00336109">
            <w:pPr>
              <w:jc w:val="left"/>
            </w:pPr>
            <w:r>
              <w:rPr>
                <w:color w:val="000000"/>
                <w:sz w:val="24"/>
              </w:rPr>
              <w:t>过去三个月</w:t>
            </w:r>
          </w:p>
        </w:tc>
        <w:tc>
          <w:tcPr>
            <w:tcW w:w="1291" w:type="dxa"/>
            <w:vAlign w:val="center"/>
          </w:tcPr>
          <w:p w:rsidR="00F62037" w:rsidRDefault="00336109">
            <w:pPr>
              <w:jc w:val="center"/>
            </w:pPr>
            <w:r>
              <w:rPr>
                <w:color w:val="000000"/>
                <w:sz w:val="24"/>
              </w:rPr>
              <w:t>-0.18%</w:t>
            </w:r>
          </w:p>
        </w:tc>
        <w:tc>
          <w:tcPr>
            <w:tcW w:w="1291" w:type="dxa"/>
            <w:vAlign w:val="center"/>
          </w:tcPr>
          <w:p w:rsidR="00F62037" w:rsidRDefault="00336109">
            <w:pPr>
              <w:jc w:val="center"/>
            </w:pPr>
            <w:r>
              <w:rPr>
                <w:color w:val="000000"/>
                <w:sz w:val="24"/>
              </w:rPr>
              <w:t>0.12%</w:t>
            </w:r>
          </w:p>
        </w:tc>
        <w:tc>
          <w:tcPr>
            <w:tcW w:w="1291" w:type="dxa"/>
            <w:vAlign w:val="center"/>
          </w:tcPr>
          <w:p w:rsidR="00F62037" w:rsidRDefault="00336109">
            <w:pPr>
              <w:jc w:val="center"/>
            </w:pPr>
            <w:r>
              <w:rPr>
                <w:color w:val="000000"/>
                <w:sz w:val="24"/>
              </w:rPr>
              <w:t>-0.45%</w:t>
            </w:r>
          </w:p>
        </w:tc>
        <w:tc>
          <w:tcPr>
            <w:tcW w:w="1291" w:type="dxa"/>
            <w:vAlign w:val="center"/>
          </w:tcPr>
          <w:p w:rsidR="00F62037" w:rsidRDefault="00336109">
            <w:pPr>
              <w:jc w:val="center"/>
            </w:pPr>
            <w:r>
              <w:rPr>
                <w:color w:val="000000"/>
                <w:sz w:val="24"/>
              </w:rPr>
              <w:t>0.06%</w:t>
            </w:r>
          </w:p>
        </w:tc>
        <w:tc>
          <w:tcPr>
            <w:tcW w:w="1291" w:type="dxa"/>
            <w:vAlign w:val="center"/>
          </w:tcPr>
          <w:p w:rsidR="00F62037" w:rsidRDefault="00336109">
            <w:pPr>
              <w:jc w:val="center"/>
            </w:pPr>
            <w:r>
              <w:rPr>
                <w:color w:val="000000"/>
                <w:sz w:val="24"/>
              </w:rPr>
              <w:t>0.27%</w:t>
            </w:r>
          </w:p>
        </w:tc>
        <w:tc>
          <w:tcPr>
            <w:tcW w:w="1291" w:type="dxa"/>
            <w:vAlign w:val="center"/>
          </w:tcPr>
          <w:p w:rsidR="00F62037" w:rsidRDefault="00336109">
            <w:pPr>
              <w:jc w:val="center"/>
            </w:pPr>
            <w:r>
              <w:rPr>
                <w:color w:val="000000"/>
                <w:sz w:val="24"/>
              </w:rPr>
              <w:t>0.06%</w:t>
            </w:r>
          </w:p>
        </w:tc>
      </w:tr>
      <w:tr w:rsidR="00F62037">
        <w:tc>
          <w:tcPr>
            <w:tcW w:w="1290" w:type="dxa"/>
            <w:vAlign w:val="center"/>
          </w:tcPr>
          <w:p w:rsidR="00F62037" w:rsidRDefault="00336109">
            <w:pPr>
              <w:jc w:val="left"/>
            </w:pPr>
            <w:r>
              <w:rPr>
                <w:color w:val="000000"/>
                <w:sz w:val="24"/>
              </w:rPr>
              <w:t>过去六个月</w:t>
            </w:r>
          </w:p>
        </w:tc>
        <w:tc>
          <w:tcPr>
            <w:tcW w:w="1291" w:type="dxa"/>
            <w:vAlign w:val="center"/>
          </w:tcPr>
          <w:p w:rsidR="00F62037" w:rsidRDefault="00336109">
            <w:pPr>
              <w:jc w:val="center"/>
            </w:pPr>
            <w:r>
              <w:rPr>
                <w:color w:val="000000"/>
                <w:sz w:val="24"/>
              </w:rPr>
              <w:t>1.98%</w:t>
            </w:r>
          </w:p>
        </w:tc>
        <w:tc>
          <w:tcPr>
            <w:tcW w:w="1291" w:type="dxa"/>
            <w:vAlign w:val="center"/>
          </w:tcPr>
          <w:p w:rsidR="00F62037" w:rsidRDefault="00336109">
            <w:pPr>
              <w:jc w:val="center"/>
            </w:pPr>
            <w:r>
              <w:rPr>
                <w:color w:val="000000"/>
                <w:sz w:val="24"/>
              </w:rPr>
              <w:t>0.10%</w:t>
            </w:r>
          </w:p>
        </w:tc>
        <w:tc>
          <w:tcPr>
            <w:tcW w:w="1291" w:type="dxa"/>
            <w:vAlign w:val="center"/>
          </w:tcPr>
          <w:p w:rsidR="00F62037" w:rsidRDefault="00336109">
            <w:pPr>
              <w:jc w:val="center"/>
            </w:pPr>
            <w:r>
              <w:rPr>
                <w:color w:val="000000"/>
                <w:sz w:val="24"/>
              </w:rPr>
              <w:t>0.62%</w:t>
            </w:r>
          </w:p>
        </w:tc>
        <w:tc>
          <w:tcPr>
            <w:tcW w:w="1291" w:type="dxa"/>
            <w:vAlign w:val="center"/>
          </w:tcPr>
          <w:p w:rsidR="00F62037" w:rsidRDefault="00336109">
            <w:pPr>
              <w:jc w:val="center"/>
            </w:pPr>
            <w:r>
              <w:rPr>
                <w:color w:val="000000"/>
                <w:sz w:val="24"/>
              </w:rPr>
              <w:t>0.06%</w:t>
            </w:r>
          </w:p>
        </w:tc>
        <w:tc>
          <w:tcPr>
            <w:tcW w:w="1291" w:type="dxa"/>
            <w:vAlign w:val="center"/>
          </w:tcPr>
          <w:p w:rsidR="00F62037" w:rsidRDefault="00336109">
            <w:pPr>
              <w:jc w:val="center"/>
            </w:pPr>
            <w:r>
              <w:rPr>
                <w:color w:val="000000"/>
                <w:sz w:val="24"/>
              </w:rPr>
              <w:t>1.36%</w:t>
            </w:r>
          </w:p>
        </w:tc>
        <w:tc>
          <w:tcPr>
            <w:tcW w:w="1291" w:type="dxa"/>
            <w:vAlign w:val="center"/>
          </w:tcPr>
          <w:p w:rsidR="00F62037" w:rsidRDefault="00336109">
            <w:pPr>
              <w:jc w:val="center"/>
            </w:pPr>
            <w:r>
              <w:rPr>
                <w:color w:val="000000"/>
                <w:sz w:val="24"/>
              </w:rPr>
              <w:t>0.04%</w:t>
            </w:r>
          </w:p>
        </w:tc>
      </w:tr>
      <w:tr w:rsidR="00F62037">
        <w:tc>
          <w:tcPr>
            <w:tcW w:w="1290" w:type="dxa"/>
            <w:vAlign w:val="center"/>
          </w:tcPr>
          <w:p w:rsidR="00F62037" w:rsidRDefault="00336109">
            <w:pPr>
              <w:jc w:val="left"/>
            </w:pPr>
            <w:r>
              <w:rPr>
                <w:color w:val="000000"/>
                <w:sz w:val="24"/>
              </w:rPr>
              <w:t>过去一年</w:t>
            </w:r>
          </w:p>
        </w:tc>
        <w:tc>
          <w:tcPr>
            <w:tcW w:w="1291" w:type="dxa"/>
            <w:vAlign w:val="center"/>
          </w:tcPr>
          <w:p w:rsidR="00F62037" w:rsidRDefault="00336109">
            <w:pPr>
              <w:jc w:val="center"/>
            </w:pPr>
            <w:r>
              <w:rPr>
                <w:color w:val="000000"/>
                <w:sz w:val="24"/>
              </w:rPr>
              <w:t>4.33%</w:t>
            </w:r>
          </w:p>
        </w:tc>
        <w:tc>
          <w:tcPr>
            <w:tcW w:w="1291" w:type="dxa"/>
            <w:vAlign w:val="center"/>
          </w:tcPr>
          <w:p w:rsidR="00F62037" w:rsidRDefault="00336109">
            <w:pPr>
              <w:jc w:val="center"/>
            </w:pPr>
            <w:r>
              <w:rPr>
                <w:color w:val="000000"/>
                <w:sz w:val="24"/>
              </w:rPr>
              <w:t>0.08%</w:t>
            </w:r>
          </w:p>
        </w:tc>
        <w:tc>
          <w:tcPr>
            <w:tcW w:w="1291" w:type="dxa"/>
            <w:vAlign w:val="center"/>
          </w:tcPr>
          <w:p w:rsidR="00F62037" w:rsidRDefault="00336109">
            <w:pPr>
              <w:jc w:val="center"/>
            </w:pPr>
            <w:r>
              <w:rPr>
                <w:color w:val="000000"/>
                <w:sz w:val="24"/>
              </w:rPr>
              <w:t>1.20%</w:t>
            </w:r>
          </w:p>
        </w:tc>
        <w:tc>
          <w:tcPr>
            <w:tcW w:w="1291" w:type="dxa"/>
            <w:vAlign w:val="center"/>
          </w:tcPr>
          <w:p w:rsidR="00F62037" w:rsidRDefault="00336109">
            <w:pPr>
              <w:jc w:val="center"/>
            </w:pPr>
            <w:r>
              <w:rPr>
                <w:color w:val="000000"/>
                <w:sz w:val="24"/>
              </w:rPr>
              <w:t>0.04%</w:t>
            </w:r>
          </w:p>
        </w:tc>
        <w:tc>
          <w:tcPr>
            <w:tcW w:w="1291" w:type="dxa"/>
            <w:vAlign w:val="center"/>
          </w:tcPr>
          <w:p w:rsidR="00F62037" w:rsidRDefault="00336109">
            <w:pPr>
              <w:jc w:val="center"/>
            </w:pPr>
            <w:r>
              <w:rPr>
                <w:color w:val="000000"/>
                <w:sz w:val="24"/>
              </w:rPr>
              <w:t>3.13%</w:t>
            </w:r>
          </w:p>
        </w:tc>
        <w:tc>
          <w:tcPr>
            <w:tcW w:w="1291" w:type="dxa"/>
            <w:vAlign w:val="center"/>
          </w:tcPr>
          <w:p w:rsidR="00F62037" w:rsidRDefault="00336109">
            <w:pPr>
              <w:jc w:val="center"/>
            </w:pPr>
            <w:r>
              <w:rPr>
                <w:color w:val="000000"/>
                <w:sz w:val="24"/>
              </w:rPr>
              <w:t>0.04%</w:t>
            </w:r>
          </w:p>
        </w:tc>
      </w:tr>
      <w:tr w:rsidR="00F62037">
        <w:tc>
          <w:tcPr>
            <w:tcW w:w="1290" w:type="dxa"/>
            <w:vAlign w:val="center"/>
          </w:tcPr>
          <w:p w:rsidR="00F62037" w:rsidRDefault="00336109">
            <w:pPr>
              <w:jc w:val="left"/>
            </w:pPr>
            <w:r>
              <w:rPr>
                <w:color w:val="000000"/>
                <w:sz w:val="24"/>
              </w:rPr>
              <w:t>过去三年</w:t>
            </w:r>
          </w:p>
        </w:tc>
        <w:tc>
          <w:tcPr>
            <w:tcW w:w="1291" w:type="dxa"/>
            <w:vAlign w:val="center"/>
          </w:tcPr>
          <w:p w:rsidR="00F62037" w:rsidRDefault="00336109">
            <w:pPr>
              <w:jc w:val="center"/>
            </w:pPr>
            <w:r>
              <w:rPr>
                <w:color w:val="000000"/>
                <w:sz w:val="24"/>
              </w:rPr>
              <w:t>15.49%</w:t>
            </w:r>
          </w:p>
        </w:tc>
        <w:tc>
          <w:tcPr>
            <w:tcW w:w="1291" w:type="dxa"/>
            <w:vAlign w:val="center"/>
          </w:tcPr>
          <w:p w:rsidR="00F62037" w:rsidRDefault="00336109">
            <w:pPr>
              <w:jc w:val="center"/>
            </w:pPr>
            <w:r>
              <w:rPr>
                <w:color w:val="000000"/>
                <w:sz w:val="24"/>
              </w:rPr>
              <w:t>0.07%</w:t>
            </w:r>
          </w:p>
        </w:tc>
        <w:tc>
          <w:tcPr>
            <w:tcW w:w="1291" w:type="dxa"/>
            <w:vAlign w:val="center"/>
          </w:tcPr>
          <w:p w:rsidR="00F62037" w:rsidRDefault="00336109">
            <w:pPr>
              <w:jc w:val="center"/>
            </w:pPr>
            <w:r>
              <w:rPr>
                <w:color w:val="000000"/>
                <w:sz w:val="24"/>
              </w:rPr>
              <w:t>4.43%</w:t>
            </w:r>
          </w:p>
        </w:tc>
        <w:tc>
          <w:tcPr>
            <w:tcW w:w="1291" w:type="dxa"/>
            <w:vAlign w:val="center"/>
          </w:tcPr>
          <w:p w:rsidR="00F62037" w:rsidRDefault="00336109">
            <w:pPr>
              <w:jc w:val="center"/>
            </w:pPr>
            <w:r>
              <w:rPr>
                <w:color w:val="000000"/>
                <w:sz w:val="24"/>
              </w:rPr>
              <w:t>0.04%</w:t>
            </w:r>
          </w:p>
        </w:tc>
        <w:tc>
          <w:tcPr>
            <w:tcW w:w="1291" w:type="dxa"/>
            <w:vAlign w:val="center"/>
          </w:tcPr>
          <w:p w:rsidR="00F62037" w:rsidRDefault="00336109">
            <w:pPr>
              <w:jc w:val="center"/>
            </w:pPr>
            <w:r>
              <w:rPr>
                <w:color w:val="000000"/>
                <w:sz w:val="24"/>
              </w:rPr>
              <w:t>11.06%</w:t>
            </w:r>
          </w:p>
        </w:tc>
        <w:tc>
          <w:tcPr>
            <w:tcW w:w="1291" w:type="dxa"/>
            <w:vAlign w:val="center"/>
          </w:tcPr>
          <w:p w:rsidR="00F62037" w:rsidRDefault="00336109">
            <w:pPr>
              <w:jc w:val="center"/>
            </w:pPr>
            <w:r>
              <w:rPr>
                <w:color w:val="000000"/>
                <w:sz w:val="24"/>
              </w:rPr>
              <w:t>0.03%</w:t>
            </w:r>
          </w:p>
        </w:tc>
      </w:tr>
      <w:tr w:rsidR="00F62037">
        <w:tc>
          <w:tcPr>
            <w:tcW w:w="1290" w:type="dxa"/>
            <w:vAlign w:val="center"/>
          </w:tcPr>
          <w:p w:rsidR="00F62037" w:rsidRDefault="00336109">
            <w:pPr>
              <w:jc w:val="left"/>
            </w:pPr>
            <w:r>
              <w:rPr>
                <w:color w:val="000000"/>
                <w:sz w:val="24"/>
              </w:rPr>
              <w:t>过去五年</w:t>
            </w:r>
          </w:p>
        </w:tc>
        <w:tc>
          <w:tcPr>
            <w:tcW w:w="1291" w:type="dxa"/>
            <w:vAlign w:val="center"/>
          </w:tcPr>
          <w:p w:rsidR="00F62037" w:rsidRDefault="00336109">
            <w:pPr>
              <w:jc w:val="center"/>
            </w:pPr>
            <w:r>
              <w:rPr>
                <w:color w:val="000000"/>
                <w:sz w:val="24"/>
              </w:rPr>
              <w:t>28.72%</w:t>
            </w:r>
          </w:p>
        </w:tc>
        <w:tc>
          <w:tcPr>
            <w:tcW w:w="1291" w:type="dxa"/>
            <w:vAlign w:val="center"/>
          </w:tcPr>
          <w:p w:rsidR="00F62037" w:rsidRDefault="00336109">
            <w:pPr>
              <w:jc w:val="center"/>
            </w:pPr>
            <w:r>
              <w:rPr>
                <w:color w:val="000000"/>
                <w:sz w:val="24"/>
              </w:rPr>
              <w:t>0.08%</w:t>
            </w:r>
          </w:p>
        </w:tc>
        <w:tc>
          <w:tcPr>
            <w:tcW w:w="1291" w:type="dxa"/>
            <w:vAlign w:val="center"/>
          </w:tcPr>
          <w:p w:rsidR="00F62037" w:rsidRDefault="00336109">
            <w:pPr>
              <w:jc w:val="center"/>
            </w:pPr>
            <w:r>
              <w:rPr>
                <w:color w:val="000000"/>
                <w:sz w:val="24"/>
              </w:rPr>
              <w:t>2.65%</w:t>
            </w:r>
          </w:p>
        </w:tc>
        <w:tc>
          <w:tcPr>
            <w:tcW w:w="1291" w:type="dxa"/>
            <w:vAlign w:val="center"/>
          </w:tcPr>
          <w:p w:rsidR="00F62037" w:rsidRDefault="00336109">
            <w:pPr>
              <w:jc w:val="center"/>
            </w:pPr>
            <w:r>
              <w:rPr>
                <w:color w:val="000000"/>
                <w:sz w:val="24"/>
              </w:rPr>
              <w:t>0.06%</w:t>
            </w:r>
          </w:p>
        </w:tc>
        <w:tc>
          <w:tcPr>
            <w:tcW w:w="1291" w:type="dxa"/>
            <w:vAlign w:val="center"/>
          </w:tcPr>
          <w:p w:rsidR="00F62037" w:rsidRDefault="00336109">
            <w:pPr>
              <w:jc w:val="center"/>
            </w:pPr>
            <w:r>
              <w:rPr>
                <w:color w:val="000000"/>
                <w:sz w:val="24"/>
              </w:rPr>
              <w:t>26.07%</w:t>
            </w:r>
          </w:p>
        </w:tc>
        <w:tc>
          <w:tcPr>
            <w:tcW w:w="1291" w:type="dxa"/>
            <w:vAlign w:val="center"/>
          </w:tcPr>
          <w:p w:rsidR="00F62037" w:rsidRDefault="00336109">
            <w:pPr>
              <w:jc w:val="center"/>
            </w:pPr>
            <w:r>
              <w:rPr>
                <w:color w:val="000000"/>
                <w:sz w:val="24"/>
              </w:rPr>
              <w:t>0.02%</w:t>
            </w:r>
          </w:p>
        </w:tc>
      </w:tr>
      <w:tr w:rsidR="00F62037">
        <w:tc>
          <w:tcPr>
            <w:tcW w:w="1290" w:type="dxa"/>
            <w:vAlign w:val="center"/>
          </w:tcPr>
          <w:p w:rsidR="00F62037" w:rsidRDefault="00336109">
            <w:pPr>
              <w:jc w:val="left"/>
            </w:pPr>
            <w:r>
              <w:rPr>
                <w:color w:val="000000"/>
                <w:sz w:val="24"/>
              </w:rPr>
              <w:t>自基金合同生效起至今</w:t>
            </w:r>
          </w:p>
        </w:tc>
        <w:tc>
          <w:tcPr>
            <w:tcW w:w="1291" w:type="dxa"/>
            <w:vAlign w:val="center"/>
          </w:tcPr>
          <w:p w:rsidR="00F62037" w:rsidRDefault="00336109">
            <w:pPr>
              <w:jc w:val="center"/>
            </w:pPr>
            <w:r>
              <w:rPr>
                <w:color w:val="000000"/>
                <w:sz w:val="24"/>
              </w:rPr>
              <w:t>42.63%</w:t>
            </w:r>
          </w:p>
        </w:tc>
        <w:tc>
          <w:tcPr>
            <w:tcW w:w="1291" w:type="dxa"/>
            <w:vAlign w:val="center"/>
          </w:tcPr>
          <w:p w:rsidR="00F62037" w:rsidRDefault="00336109">
            <w:pPr>
              <w:jc w:val="center"/>
            </w:pPr>
            <w:r>
              <w:rPr>
                <w:color w:val="000000"/>
                <w:sz w:val="24"/>
              </w:rPr>
              <w:t>0.10%</w:t>
            </w:r>
          </w:p>
        </w:tc>
        <w:tc>
          <w:tcPr>
            <w:tcW w:w="1291" w:type="dxa"/>
            <w:vAlign w:val="center"/>
          </w:tcPr>
          <w:p w:rsidR="00F62037" w:rsidRDefault="00336109">
            <w:pPr>
              <w:jc w:val="center"/>
            </w:pPr>
            <w:r>
              <w:rPr>
                <w:color w:val="000000"/>
                <w:sz w:val="24"/>
              </w:rPr>
              <w:t>6.83%</w:t>
            </w:r>
          </w:p>
        </w:tc>
        <w:tc>
          <w:tcPr>
            <w:tcW w:w="1291" w:type="dxa"/>
            <w:vAlign w:val="center"/>
          </w:tcPr>
          <w:p w:rsidR="00F62037" w:rsidRDefault="00336109">
            <w:pPr>
              <w:jc w:val="center"/>
            </w:pPr>
            <w:r>
              <w:rPr>
                <w:color w:val="000000"/>
                <w:sz w:val="24"/>
              </w:rPr>
              <w:t>0.07%</w:t>
            </w:r>
          </w:p>
        </w:tc>
        <w:tc>
          <w:tcPr>
            <w:tcW w:w="1291" w:type="dxa"/>
            <w:vAlign w:val="center"/>
          </w:tcPr>
          <w:p w:rsidR="00F62037" w:rsidRDefault="00336109">
            <w:pPr>
              <w:jc w:val="center"/>
            </w:pPr>
            <w:r>
              <w:rPr>
                <w:color w:val="000000"/>
                <w:sz w:val="24"/>
              </w:rPr>
              <w:t>35.80%</w:t>
            </w:r>
          </w:p>
        </w:tc>
        <w:tc>
          <w:tcPr>
            <w:tcW w:w="1291" w:type="dxa"/>
            <w:vAlign w:val="center"/>
          </w:tcPr>
          <w:p w:rsidR="00F62037" w:rsidRDefault="00336109">
            <w:pPr>
              <w:jc w:val="center"/>
            </w:pPr>
            <w:r>
              <w:rPr>
                <w:color w:val="000000"/>
                <w:sz w:val="24"/>
              </w:rPr>
              <w:t>0.03%</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易方达信用债债券C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F62037">
        <w:tc>
          <w:tcPr>
            <w:tcW w:w="1290" w:type="dxa"/>
            <w:vAlign w:val="center"/>
          </w:tcPr>
          <w:p w:rsidR="00F62037" w:rsidRDefault="00336109">
            <w:pPr>
              <w:jc w:val="left"/>
            </w:pPr>
            <w:r>
              <w:rPr>
                <w:color w:val="000000"/>
                <w:sz w:val="24"/>
              </w:rPr>
              <w:t>过去三个月</w:t>
            </w:r>
          </w:p>
        </w:tc>
        <w:tc>
          <w:tcPr>
            <w:tcW w:w="1291" w:type="dxa"/>
            <w:vAlign w:val="center"/>
          </w:tcPr>
          <w:p w:rsidR="00F62037" w:rsidRDefault="00336109">
            <w:pPr>
              <w:jc w:val="center"/>
            </w:pPr>
            <w:r>
              <w:rPr>
                <w:color w:val="000000"/>
                <w:sz w:val="24"/>
              </w:rPr>
              <w:t>-0.27%</w:t>
            </w:r>
          </w:p>
        </w:tc>
        <w:tc>
          <w:tcPr>
            <w:tcW w:w="1291" w:type="dxa"/>
            <w:vAlign w:val="center"/>
          </w:tcPr>
          <w:p w:rsidR="00F62037" w:rsidRDefault="00336109">
            <w:pPr>
              <w:jc w:val="center"/>
            </w:pPr>
            <w:r>
              <w:rPr>
                <w:color w:val="000000"/>
                <w:sz w:val="24"/>
              </w:rPr>
              <w:t>0.12%</w:t>
            </w:r>
          </w:p>
        </w:tc>
        <w:tc>
          <w:tcPr>
            <w:tcW w:w="1291" w:type="dxa"/>
            <w:vAlign w:val="center"/>
          </w:tcPr>
          <w:p w:rsidR="00F62037" w:rsidRDefault="00336109">
            <w:pPr>
              <w:jc w:val="center"/>
            </w:pPr>
            <w:r>
              <w:rPr>
                <w:color w:val="000000"/>
                <w:sz w:val="24"/>
              </w:rPr>
              <w:t>-0.45%</w:t>
            </w:r>
          </w:p>
        </w:tc>
        <w:tc>
          <w:tcPr>
            <w:tcW w:w="1291" w:type="dxa"/>
            <w:vAlign w:val="center"/>
          </w:tcPr>
          <w:p w:rsidR="00F62037" w:rsidRDefault="00336109">
            <w:pPr>
              <w:jc w:val="center"/>
            </w:pPr>
            <w:r>
              <w:rPr>
                <w:color w:val="000000"/>
                <w:sz w:val="24"/>
              </w:rPr>
              <w:t>0.06%</w:t>
            </w:r>
          </w:p>
        </w:tc>
        <w:tc>
          <w:tcPr>
            <w:tcW w:w="1291" w:type="dxa"/>
            <w:vAlign w:val="center"/>
          </w:tcPr>
          <w:p w:rsidR="00F62037" w:rsidRDefault="00336109">
            <w:pPr>
              <w:jc w:val="center"/>
            </w:pPr>
            <w:r>
              <w:rPr>
                <w:color w:val="000000"/>
                <w:sz w:val="24"/>
              </w:rPr>
              <w:t>0.18%</w:t>
            </w:r>
          </w:p>
        </w:tc>
        <w:tc>
          <w:tcPr>
            <w:tcW w:w="1291" w:type="dxa"/>
            <w:vAlign w:val="center"/>
          </w:tcPr>
          <w:p w:rsidR="00F62037" w:rsidRDefault="00336109">
            <w:pPr>
              <w:jc w:val="center"/>
            </w:pPr>
            <w:r>
              <w:rPr>
                <w:color w:val="000000"/>
                <w:sz w:val="24"/>
              </w:rPr>
              <w:t>0.06%</w:t>
            </w:r>
          </w:p>
        </w:tc>
      </w:tr>
      <w:tr w:rsidR="00F62037">
        <w:tc>
          <w:tcPr>
            <w:tcW w:w="1290" w:type="dxa"/>
            <w:vAlign w:val="center"/>
          </w:tcPr>
          <w:p w:rsidR="00F62037" w:rsidRDefault="00336109">
            <w:pPr>
              <w:jc w:val="left"/>
            </w:pPr>
            <w:r>
              <w:rPr>
                <w:color w:val="000000"/>
                <w:sz w:val="24"/>
              </w:rPr>
              <w:t>过去六个月</w:t>
            </w:r>
          </w:p>
        </w:tc>
        <w:tc>
          <w:tcPr>
            <w:tcW w:w="1291" w:type="dxa"/>
            <w:vAlign w:val="center"/>
          </w:tcPr>
          <w:p w:rsidR="00F62037" w:rsidRDefault="00336109">
            <w:pPr>
              <w:jc w:val="center"/>
            </w:pPr>
            <w:r>
              <w:rPr>
                <w:color w:val="000000"/>
                <w:sz w:val="24"/>
              </w:rPr>
              <w:t>1.81%</w:t>
            </w:r>
          </w:p>
        </w:tc>
        <w:tc>
          <w:tcPr>
            <w:tcW w:w="1291" w:type="dxa"/>
            <w:vAlign w:val="center"/>
          </w:tcPr>
          <w:p w:rsidR="00F62037" w:rsidRDefault="00336109">
            <w:pPr>
              <w:jc w:val="center"/>
            </w:pPr>
            <w:r>
              <w:rPr>
                <w:color w:val="000000"/>
                <w:sz w:val="24"/>
              </w:rPr>
              <w:t>0.10%</w:t>
            </w:r>
          </w:p>
        </w:tc>
        <w:tc>
          <w:tcPr>
            <w:tcW w:w="1291" w:type="dxa"/>
            <w:vAlign w:val="center"/>
          </w:tcPr>
          <w:p w:rsidR="00F62037" w:rsidRDefault="00336109">
            <w:pPr>
              <w:jc w:val="center"/>
            </w:pPr>
            <w:r>
              <w:rPr>
                <w:color w:val="000000"/>
                <w:sz w:val="24"/>
              </w:rPr>
              <w:t>0.62%</w:t>
            </w:r>
          </w:p>
        </w:tc>
        <w:tc>
          <w:tcPr>
            <w:tcW w:w="1291" w:type="dxa"/>
            <w:vAlign w:val="center"/>
          </w:tcPr>
          <w:p w:rsidR="00F62037" w:rsidRDefault="00336109">
            <w:pPr>
              <w:jc w:val="center"/>
            </w:pPr>
            <w:r>
              <w:rPr>
                <w:color w:val="000000"/>
                <w:sz w:val="24"/>
              </w:rPr>
              <w:t>0.06%</w:t>
            </w:r>
          </w:p>
        </w:tc>
        <w:tc>
          <w:tcPr>
            <w:tcW w:w="1291" w:type="dxa"/>
            <w:vAlign w:val="center"/>
          </w:tcPr>
          <w:p w:rsidR="00F62037" w:rsidRDefault="00336109">
            <w:pPr>
              <w:jc w:val="center"/>
            </w:pPr>
            <w:r>
              <w:rPr>
                <w:color w:val="000000"/>
                <w:sz w:val="24"/>
              </w:rPr>
              <w:t>1.19%</w:t>
            </w:r>
          </w:p>
        </w:tc>
        <w:tc>
          <w:tcPr>
            <w:tcW w:w="1291" w:type="dxa"/>
            <w:vAlign w:val="center"/>
          </w:tcPr>
          <w:p w:rsidR="00F62037" w:rsidRDefault="00336109">
            <w:pPr>
              <w:jc w:val="center"/>
            </w:pPr>
            <w:r>
              <w:rPr>
                <w:color w:val="000000"/>
                <w:sz w:val="24"/>
              </w:rPr>
              <w:t>0.04%</w:t>
            </w:r>
          </w:p>
        </w:tc>
      </w:tr>
      <w:tr w:rsidR="00F62037">
        <w:tc>
          <w:tcPr>
            <w:tcW w:w="1290" w:type="dxa"/>
            <w:vAlign w:val="center"/>
          </w:tcPr>
          <w:p w:rsidR="00F62037" w:rsidRDefault="00336109">
            <w:pPr>
              <w:jc w:val="left"/>
            </w:pPr>
            <w:r>
              <w:rPr>
                <w:color w:val="000000"/>
                <w:sz w:val="24"/>
              </w:rPr>
              <w:t>过去一年</w:t>
            </w:r>
          </w:p>
        </w:tc>
        <w:tc>
          <w:tcPr>
            <w:tcW w:w="1291" w:type="dxa"/>
            <w:vAlign w:val="center"/>
          </w:tcPr>
          <w:p w:rsidR="00F62037" w:rsidRDefault="00336109">
            <w:pPr>
              <w:jc w:val="center"/>
            </w:pPr>
            <w:r>
              <w:rPr>
                <w:color w:val="000000"/>
                <w:sz w:val="24"/>
              </w:rPr>
              <w:t>3.91%</w:t>
            </w:r>
          </w:p>
        </w:tc>
        <w:tc>
          <w:tcPr>
            <w:tcW w:w="1291" w:type="dxa"/>
            <w:vAlign w:val="center"/>
          </w:tcPr>
          <w:p w:rsidR="00F62037" w:rsidRDefault="00336109">
            <w:pPr>
              <w:jc w:val="center"/>
            </w:pPr>
            <w:r>
              <w:rPr>
                <w:color w:val="000000"/>
                <w:sz w:val="24"/>
              </w:rPr>
              <w:t>0.08%</w:t>
            </w:r>
          </w:p>
        </w:tc>
        <w:tc>
          <w:tcPr>
            <w:tcW w:w="1291" w:type="dxa"/>
            <w:vAlign w:val="center"/>
          </w:tcPr>
          <w:p w:rsidR="00F62037" w:rsidRDefault="00336109">
            <w:pPr>
              <w:jc w:val="center"/>
            </w:pPr>
            <w:r>
              <w:rPr>
                <w:color w:val="000000"/>
                <w:sz w:val="24"/>
              </w:rPr>
              <w:t>1.20%</w:t>
            </w:r>
          </w:p>
        </w:tc>
        <w:tc>
          <w:tcPr>
            <w:tcW w:w="1291" w:type="dxa"/>
            <w:vAlign w:val="center"/>
          </w:tcPr>
          <w:p w:rsidR="00F62037" w:rsidRDefault="00336109">
            <w:pPr>
              <w:jc w:val="center"/>
            </w:pPr>
            <w:r>
              <w:rPr>
                <w:color w:val="000000"/>
                <w:sz w:val="24"/>
              </w:rPr>
              <w:t>0.04%</w:t>
            </w:r>
          </w:p>
        </w:tc>
        <w:tc>
          <w:tcPr>
            <w:tcW w:w="1291" w:type="dxa"/>
            <w:vAlign w:val="center"/>
          </w:tcPr>
          <w:p w:rsidR="00F62037" w:rsidRDefault="00336109">
            <w:pPr>
              <w:jc w:val="center"/>
            </w:pPr>
            <w:r>
              <w:rPr>
                <w:color w:val="000000"/>
                <w:sz w:val="24"/>
              </w:rPr>
              <w:t>2.71%</w:t>
            </w:r>
          </w:p>
        </w:tc>
        <w:tc>
          <w:tcPr>
            <w:tcW w:w="1291" w:type="dxa"/>
            <w:vAlign w:val="center"/>
          </w:tcPr>
          <w:p w:rsidR="00F62037" w:rsidRDefault="00336109">
            <w:pPr>
              <w:jc w:val="center"/>
            </w:pPr>
            <w:r>
              <w:rPr>
                <w:color w:val="000000"/>
                <w:sz w:val="24"/>
              </w:rPr>
              <w:t>0.04%</w:t>
            </w:r>
          </w:p>
        </w:tc>
      </w:tr>
      <w:tr w:rsidR="00F62037">
        <w:tc>
          <w:tcPr>
            <w:tcW w:w="1290" w:type="dxa"/>
            <w:vAlign w:val="center"/>
          </w:tcPr>
          <w:p w:rsidR="00F62037" w:rsidRDefault="00336109">
            <w:pPr>
              <w:jc w:val="left"/>
            </w:pPr>
            <w:r>
              <w:rPr>
                <w:color w:val="000000"/>
                <w:sz w:val="24"/>
              </w:rPr>
              <w:t>过去三年</w:t>
            </w:r>
          </w:p>
        </w:tc>
        <w:tc>
          <w:tcPr>
            <w:tcW w:w="1291" w:type="dxa"/>
            <w:vAlign w:val="center"/>
          </w:tcPr>
          <w:p w:rsidR="00F62037" w:rsidRDefault="00336109">
            <w:pPr>
              <w:jc w:val="center"/>
            </w:pPr>
            <w:r>
              <w:rPr>
                <w:color w:val="000000"/>
                <w:sz w:val="24"/>
              </w:rPr>
              <w:t>14.41%</w:t>
            </w:r>
          </w:p>
        </w:tc>
        <w:tc>
          <w:tcPr>
            <w:tcW w:w="1291" w:type="dxa"/>
            <w:vAlign w:val="center"/>
          </w:tcPr>
          <w:p w:rsidR="00F62037" w:rsidRDefault="00336109">
            <w:pPr>
              <w:jc w:val="center"/>
            </w:pPr>
            <w:r>
              <w:rPr>
                <w:color w:val="000000"/>
                <w:sz w:val="24"/>
              </w:rPr>
              <w:t>0.07%</w:t>
            </w:r>
          </w:p>
        </w:tc>
        <w:tc>
          <w:tcPr>
            <w:tcW w:w="1291" w:type="dxa"/>
            <w:vAlign w:val="center"/>
          </w:tcPr>
          <w:p w:rsidR="00F62037" w:rsidRDefault="00336109">
            <w:pPr>
              <w:jc w:val="center"/>
            </w:pPr>
            <w:r>
              <w:rPr>
                <w:color w:val="000000"/>
                <w:sz w:val="24"/>
              </w:rPr>
              <w:t>4.43%</w:t>
            </w:r>
          </w:p>
        </w:tc>
        <w:tc>
          <w:tcPr>
            <w:tcW w:w="1291" w:type="dxa"/>
            <w:vAlign w:val="center"/>
          </w:tcPr>
          <w:p w:rsidR="00F62037" w:rsidRDefault="00336109">
            <w:pPr>
              <w:jc w:val="center"/>
            </w:pPr>
            <w:r>
              <w:rPr>
                <w:color w:val="000000"/>
                <w:sz w:val="24"/>
              </w:rPr>
              <w:t>0.04%</w:t>
            </w:r>
          </w:p>
        </w:tc>
        <w:tc>
          <w:tcPr>
            <w:tcW w:w="1291" w:type="dxa"/>
            <w:vAlign w:val="center"/>
          </w:tcPr>
          <w:p w:rsidR="00F62037" w:rsidRDefault="00336109">
            <w:pPr>
              <w:jc w:val="center"/>
            </w:pPr>
            <w:r>
              <w:rPr>
                <w:color w:val="000000"/>
                <w:sz w:val="24"/>
              </w:rPr>
              <w:t>9.98%</w:t>
            </w:r>
          </w:p>
        </w:tc>
        <w:tc>
          <w:tcPr>
            <w:tcW w:w="1291" w:type="dxa"/>
            <w:vAlign w:val="center"/>
          </w:tcPr>
          <w:p w:rsidR="00F62037" w:rsidRDefault="00336109">
            <w:pPr>
              <w:jc w:val="center"/>
            </w:pPr>
            <w:r>
              <w:rPr>
                <w:color w:val="000000"/>
                <w:sz w:val="24"/>
              </w:rPr>
              <w:t>0.03%</w:t>
            </w:r>
          </w:p>
        </w:tc>
      </w:tr>
      <w:tr w:rsidR="00F62037">
        <w:tc>
          <w:tcPr>
            <w:tcW w:w="1290" w:type="dxa"/>
            <w:vAlign w:val="center"/>
          </w:tcPr>
          <w:p w:rsidR="00F62037" w:rsidRDefault="00336109">
            <w:pPr>
              <w:jc w:val="left"/>
            </w:pPr>
            <w:r>
              <w:rPr>
                <w:color w:val="000000"/>
                <w:sz w:val="24"/>
              </w:rPr>
              <w:t>过去五年</w:t>
            </w:r>
          </w:p>
        </w:tc>
        <w:tc>
          <w:tcPr>
            <w:tcW w:w="1291" w:type="dxa"/>
            <w:vAlign w:val="center"/>
          </w:tcPr>
          <w:p w:rsidR="00F62037" w:rsidRDefault="00336109">
            <w:pPr>
              <w:jc w:val="center"/>
            </w:pPr>
            <w:r>
              <w:rPr>
                <w:color w:val="000000"/>
                <w:sz w:val="24"/>
              </w:rPr>
              <w:t>26.51%</w:t>
            </w:r>
          </w:p>
        </w:tc>
        <w:tc>
          <w:tcPr>
            <w:tcW w:w="1291" w:type="dxa"/>
            <w:vAlign w:val="center"/>
          </w:tcPr>
          <w:p w:rsidR="00F62037" w:rsidRDefault="00336109">
            <w:pPr>
              <w:jc w:val="center"/>
            </w:pPr>
            <w:r>
              <w:rPr>
                <w:color w:val="000000"/>
                <w:sz w:val="24"/>
              </w:rPr>
              <w:t>0.08%</w:t>
            </w:r>
          </w:p>
        </w:tc>
        <w:tc>
          <w:tcPr>
            <w:tcW w:w="1291" w:type="dxa"/>
            <w:vAlign w:val="center"/>
          </w:tcPr>
          <w:p w:rsidR="00F62037" w:rsidRDefault="00336109">
            <w:pPr>
              <w:jc w:val="center"/>
            </w:pPr>
            <w:r>
              <w:rPr>
                <w:color w:val="000000"/>
                <w:sz w:val="24"/>
              </w:rPr>
              <w:t>2.65%</w:t>
            </w:r>
          </w:p>
        </w:tc>
        <w:tc>
          <w:tcPr>
            <w:tcW w:w="1291" w:type="dxa"/>
            <w:vAlign w:val="center"/>
          </w:tcPr>
          <w:p w:rsidR="00F62037" w:rsidRDefault="00336109">
            <w:pPr>
              <w:jc w:val="center"/>
            </w:pPr>
            <w:r>
              <w:rPr>
                <w:color w:val="000000"/>
                <w:sz w:val="24"/>
              </w:rPr>
              <w:t>0.06%</w:t>
            </w:r>
          </w:p>
        </w:tc>
        <w:tc>
          <w:tcPr>
            <w:tcW w:w="1291" w:type="dxa"/>
            <w:vAlign w:val="center"/>
          </w:tcPr>
          <w:p w:rsidR="00F62037" w:rsidRDefault="00336109">
            <w:pPr>
              <w:jc w:val="center"/>
            </w:pPr>
            <w:r>
              <w:rPr>
                <w:color w:val="000000"/>
                <w:sz w:val="24"/>
              </w:rPr>
              <w:t>23.86%</w:t>
            </w:r>
          </w:p>
        </w:tc>
        <w:tc>
          <w:tcPr>
            <w:tcW w:w="1291" w:type="dxa"/>
            <w:vAlign w:val="center"/>
          </w:tcPr>
          <w:p w:rsidR="00F62037" w:rsidRDefault="00336109">
            <w:pPr>
              <w:jc w:val="center"/>
            </w:pPr>
            <w:r>
              <w:rPr>
                <w:color w:val="000000"/>
                <w:sz w:val="24"/>
              </w:rPr>
              <w:t>0.02%</w:t>
            </w:r>
          </w:p>
        </w:tc>
      </w:tr>
      <w:tr w:rsidR="00F62037">
        <w:tc>
          <w:tcPr>
            <w:tcW w:w="1290" w:type="dxa"/>
            <w:vAlign w:val="center"/>
          </w:tcPr>
          <w:p w:rsidR="00F62037" w:rsidRDefault="00336109">
            <w:pPr>
              <w:jc w:val="left"/>
            </w:pPr>
            <w:r>
              <w:rPr>
                <w:color w:val="000000"/>
                <w:sz w:val="24"/>
              </w:rPr>
              <w:t>自基金合同生效起至今</w:t>
            </w:r>
          </w:p>
        </w:tc>
        <w:tc>
          <w:tcPr>
            <w:tcW w:w="1291" w:type="dxa"/>
            <w:vAlign w:val="center"/>
          </w:tcPr>
          <w:p w:rsidR="00F62037" w:rsidRDefault="00336109">
            <w:pPr>
              <w:jc w:val="center"/>
            </w:pPr>
            <w:r>
              <w:rPr>
                <w:color w:val="000000"/>
                <w:sz w:val="24"/>
              </w:rPr>
              <w:t>38.78%</w:t>
            </w:r>
          </w:p>
        </w:tc>
        <w:tc>
          <w:tcPr>
            <w:tcW w:w="1291" w:type="dxa"/>
            <w:vAlign w:val="center"/>
          </w:tcPr>
          <w:p w:rsidR="00F62037" w:rsidRDefault="00336109">
            <w:pPr>
              <w:jc w:val="center"/>
            </w:pPr>
            <w:r>
              <w:rPr>
                <w:color w:val="000000"/>
                <w:sz w:val="24"/>
              </w:rPr>
              <w:t>0.10%</w:t>
            </w:r>
          </w:p>
        </w:tc>
        <w:tc>
          <w:tcPr>
            <w:tcW w:w="1291" w:type="dxa"/>
            <w:vAlign w:val="center"/>
          </w:tcPr>
          <w:p w:rsidR="00F62037" w:rsidRDefault="00336109">
            <w:pPr>
              <w:jc w:val="center"/>
            </w:pPr>
            <w:r>
              <w:rPr>
                <w:color w:val="000000"/>
                <w:sz w:val="24"/>
              </w:rPr>
              <w:t>6.83%</w:t>
            </w:r>
          </w:p>
        </w:tc>
        <w:tc>
          <w:tcPr>
            <w:tcW w:w="1291" w:type="dxa"/>
            <w:vAlign w:val="center"/>
          </w:tcPr>
          <w:p w:rsidR="00F62037" w:rsidRDefault="00336109">
            <w:pPr>
              <w:jc w:val="center"/>
            </w:pPr>
            <w:r>
              <w:rPr>
                <w:color w:val="000000"/>
                <w:sz w:val="24"/>
              </w:rPr>
              <w:t>0.07%</w:t>
            </w:r>
          </w:p>
        </w:tc>
        <w:tc>
          <w:tcPr>
            <w:tcW w:w="1291" w:type="dxa"/>
            <w:vAlign w:val="center"/>
          </w:tcPr>
          <w:p w:rsidR="00F62037" w:rsidRDefault="00336109">
            <w:pPr>
              <w:jc w:val="center"/>
            </w:pPr>
            <w:r>
              <w:rPr>
                <w:color w:val="000000"/>
                <w:sz w:val="24"/>
              </w:rPr>
              <w:t>31.95%</w:t>
            </w:r>
          </w:p>
        </w:tc>
        <w:tc>
          <w:tcPr>
            <w:tcW w:w="1291" w:type="dxa"/>
            <w:vAlign w:val="center"/>
          </w:tcPr>
          <w:p w:rsidR="00F62037" w:rsidRDefault="00336109">
            <w:pPr>
              <w:jc w:val="center"/>
            </w:pPr>
            <w:r>
              <w:rPr>
                <w:color w:val="000000"/>
                <w:sz w:val="24"/>
              </w:rPr>
              <w:t>0.03%</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t>易方达信用债债券型证券投资基金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lastRenderedPageBreak/>
        <w:t>（</w:t>
      </w:r>
      <w:r w:rsidRPr="00526282">
        <w:rPr>
          <w:rFonts w:ascii="Times New Roman" w:hAnsi="Times New Roman"/>
          <w:sz w:val="24"/>
          <w:szCs w:val="24"/>
        </w:rPr>
        <w:t>2013</w:t>
      </w:r>
      <w:r w:rsidRPr="00526282">
        <w:rPr>
          <w:rFonts w:ascii="Times New Roman" w:hAnsi="Times New Roman"/>
          <w:sz w:val="24"/>
          <w:szCs w:val="24"/>
        </w:rPr>
        <w:t>年</w:t>
      </w:r>
      <w:r w:rsidRPr="00526282">
        <w:rPr>
          <w:rFonts w:ascii="Times New Roman" w:hAnsi="Times New Roman"/>
          <w:sz w:val="24"/>
          <w:szCs w:val="24"/>
        </w:rPr>
        <w:t>4</w:t>
      </w:r>
      <w:r w:rsidRPr="00526282">
        <w:rPr>
          <w:rFonts w:ascii="Times New Roman" w:hAnsi="Times New Roman"/>
          <w:sz w:val="24"/>
          <w:szCs w:val="24"/>
        </w:rPr>
        <w:t>月</w:t>
      </w:r>
      <w:r w:rsidRPr="00526282">
        <w:rPr>
          <w:rFonts w:ascii="Times New Roman" w:hAnsi="Times New Roman"/>
          <w:sz w:val="24"/>
          <w:szCs w:val="24"/>
        </w:rPr>
        <w:t>24</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易方达信用债债券</w:t>
      </w:r>
      <w:r w:rsidRPr="00611CB2">
        <w:rPr>
          <w:color w:val="000000"/>
          <w:sz w:val="24"/>
        </w:rPr>
        <w:t>A</w:t>
      </w:r>
    </w:p>
    <w:p w:rsidR="00F016DD" w:rsidRPr="0078105B" w:rsidRDefault="000D4DA2"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易方达信用债债券</w:t>
      </w:r>
      <w:r w:rsidRPr="00611CB2">
        <w:rPr>
          <w:color w:val="000000"/>
          <w:sz w:val="24"/>
        </w:rPr>
        <w:t>C</w:t>
      </w:r>
    </w:p>
    <w:p w:rsidR="00F016DD" w:rsidRPr="0078105B" w:rsidRDefault="000D4DA2" w:rsidP="00FC7F43">
      <w:pPr>
        <w:pStyle w:val="20"/>
        <w:spacing w:line="288" w:lineRule="auto"/>
        <w:ind w:firstLineChars="0" w:firstLine="0"/>
        <w:jc w:val="center"/>
        <w:rPr>
          <w:color w:val="000000"/>
        </w:rPr>
      </w:pPr>
      <w:r>
        <w:rPr>
          <w:noProof/>
          <w:color w:val="000000"/>
        </w:rPr>
        <w:pict>
          <v:shape id="图片 3" o:spid="_x0000_i1026" type="#_x0000_t75" style="width:435.75pt;height:257.95pt;visibility:visible">
            <v:imagedata r:id="rId10" o:title=""/>
          </v:shape>
        </w:pict>
      </w:r>
    </w:p>
    <w:p w:rsidR="00F016DD" w:rsidRPr="00DF18FE" w:rsidRDefault="00F016DD" w:rsidP="00DF18FE">
      <w:pPr>
        <w:spacing w:line="360" w:lineRule="auto"/>
        <w:ind w:firstLineChars="200" w:firstLine="480"/>
        <w:rPr>
          <w:color w:val="000000"/>
          <w:sz w:val="24"/>
        </w:rPr>
      </w:pPr>
      <w:r w:rsidRPr="00DF18FE">
        <w:rPr>
          <w:color w:val="000000"/>
          <w:sz w:val="24"/>
        </w:rPr>
        <w:t>注：自基金合同生效至报告期末，</w:t>
      </w:r>
      <w:r w:rsidRPr="00DF18FE">
        <w:rPr>
          <w:color w:val="000000"/>
          <w:sz w:val="24"/>
        </w:rPr>
        <w:t>A</w:t>
      </w:r>
      <w:r w:rsidRPr="00DF18FE">
        <w:rPr>
          <w:color w:val="000000"/>
          <w:sz w:val="24"/>
        </w:rPr>
        <w:t>类基金份额净值增长率为</w:t>
      </w:r>
      <w:r w:rsidRPr="00DF18FE">
        <w:rPr>
          <w:color w:val="000000"/>
          <w:sz w:val="24"/>
        </w:rPr>
        <w:t>42.63%</w:t>
      </w:r>
      <w:r w:rsidRPr="00DF18FE">
        <w:rPr>
          <w:color w:val="000000"/>
          <w:sz w:val="24"/>
        </w:rPr>
        <w:t>，</w:t>
      </w:r>
      <w:r w:rsidRPr="00DF18FE">
        <w:rPr>
          <w:color w:val="000000"/>
          <w:sz w:val="24"/>
        </w:rPr>
        <w:t>C</w:t>
      </w:r>
      <w:r w:rsidRPr="00DF18FE">
        <w:rPr>
          <w:color w:val="000000"/>
          <w:sz w:val="24"/>
        </w:rPr>
        <w:t>类基金份额净值增长率为</w:t>
      </w:r>
      <w:r w:rsidRPr="00DF18FE">
        <w:rPr>
          <w:color w:val="000000"/>
          <w:sz w:val="24"/>
        </w:rPr>
        <w:t>38.78%</w:t>
      </w:r>
      <w:r w:rsidRPr="00DF18FE">
        <w:rPr>
          <w:color w:val="000000"/>
          <w:sz w:val="24"/>
        </w:rPr>
        <w:t>，同期业绩比较基准收益率为</w:t>
      </w:r>
      <w:r w:rsidRPr="00DF18FE">
        <w:rPr>
          <w:color w:val="000000"/>
          <w:sz w:val="24"/>
        </w:rPr>
        <w:t>6.83%</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F62037">
        <w:tc>
          <w:tcPr>
            <w:tcW w:w="567" w:type="dxa"/>
            <w:vAlign w:val="center"/>
          </w:tcPr>
          <w:p w:rsidR="00F62037" w:rsidRDefault="00336109">
            <w:pPr>
              <w:jc w:val="center"/>
            </w:pPr>
            <w:r>
              <w:rPr>
                <w:color w:val="000000"/>
                <w:sz w:val="24"/>
              </w:rPr>
              <w:t>胡剑</w:t>
            </w:r>
          </w:p>
        </w:tc>
        <w:tc>
          <w:tcPr>
            <w:tcW w:w="2835" w:type="dxa"/>
            <w:vAlign w:val="center"/>
          </w:tcPr>
          <w:p w:rsidR="00F62037" w:rsidRDefault="00336109">
            <w:pPr>
              <w:jc w:val="left"/>
            </w:pPr>
            <w:r>
              <w:rPr>
                <w:color w:val="000000"/>
                <w:sz w:val="24"/>
              </w:rPr>
              <w:t>本基金的基金经理、易方达稳健收益债券型证券投资基金的基金经理、易方达裕惠回报定期开放式混合型发起式证券投资基金的基金经理、易方达丰惠混合型证券投资基金的基金经理（自</w:t>
            </w:r>
            <w:r>
              <w:rPr>
                <w:color w:val="000000"/>
                <w:sz w:val="24"/>
              </w:rPr>
              <w:t>2017</w:t>
            </w:r>
            <w:r>
              <w:rPr>
                <w:color w:val="000000"/>
                <w:sz w:val="24"/>
              </w:rPr>
              <w:t>年</w:t>
            </w:r>
            <w:r>
              <w:rPr>
                <w:color w:val="000000"/>
                <w:sz w:val="24"/>
              </w:rPr>
              <w:t>03</w:t>
            </w:r>
            <w:r>
              <w:rPr>
                <w:color w:val="000000"/>
                <w:sz w:val="24"/>
              </w:rPr>
              <w:t>月</w:t>
            </w:r>
            <w:r>
              <w:rPr>
                <w:color w:val="000000"/>
                <w:sz w:val="24"/>
              </w:rPr>
              <w:t>24</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08</w:t>
            </w:r>
            <w:r>
              <w:rPr>
                <w:color w:val="000000"/>
                <w:sz w:val="24"/>
              </w:rPr>
              <w:t>日）、易方达瑞富灵活配置混合型证券投资基金的基金经理、易方达</w:t>
            </w:r>
            <w:r>
              <w:rPr>
                <w:color w:val="000000"/>
                <w:sz w:val="24"/>
              </w:rPr>
              <w:t>3</w:t>
            </w:r>
            <w:r>
              <w:rPr>
                <w:color w:val="000000"/>
                <w:sz w:val="24"/>
              </w:rPr>
              <w:t>年封闭运作战略配售灵活配置混合型证券投资基金（</w:t>
            </w:r>
            <w:r>
              <w:rPr>
                <w:color w:val="000000"/>
                <w:sz w:val="24"/>
              </w:rPr>
              <w:t>LOF</w:t>
            </w:r>
            <w:r>
              <w:rPr>
                <w:color w:val="000000"/>
                <w:sz w:val="24"/>
              </w:rPr>
              <w:t>）的基金经理、易方达岁丰添利债券型证券投资基金的基金经理、易方达恒利</w:t>
            </w:r>
            <w:r>
              <w:rPr>
                <w:color w:val="000000"/>
                <w:sz w:val="24"/>
              </w:rPr>
              <w:t>3</w:t>
            </w:r>
            <w:r>
              <w:rPr>
                <w:color w:val="000000"/>
                <w:sz w:val="24"/>
              </w:rPr>
              <w:t>个月定期开放债券型发起式证券投资基金的基金经理、易方达恒益定期开放债券型发起式证券投资基金的基金经理、易方达恒盛</w:t>
            </w:r>
            <w:r>
              <w:rPr>
                <w:color w:val="000000"/>
                <w:sz w:val="24"/>
              </w:rPr>
              <w:t>3</w:t>
            </w:r>
            <w:r>
              <w:rPr>
                <w:color w:val="000000"/>
                <w:sz w:val="24"/>
              </w:rPr>
              <w:t>个月定期开放混合型发起式证券投资基金的基金经理、易方达富惠纯债债券型证券投资基金的基金经理、易方达中债</w:t>
            </w:r>
            <w:r>
              <w:rPr>
                <w:color w:val="000000"/>
                <w:sz w:val="24"/>
              </w:rPr>
              <w:t>7-10</w:t>
            </w:r>
            <w:r>
              <w:rPr>
                <w:color w:val="000000"/>
                <w:sz w:val="24"/>
              </w:rPr>
              <w:t>年期国开行债券指数证券投资基金的基金经理、易方达中债</w:t>
            </w:r>
            <w:r>
              <w:rPr>
                <w:color w:val="000000"/>
                <w:sz w:val="24"/>
              </w:rPr>
              <w:t>3-5</w:t>
            </w:r>
            <w:r>
              <w:rPr>
                <w:color w:val="000000"/>
                <w:sz w:val="24"/>
              </w:rPr>
              <w:t>年期国债指数证券投资基金的基金经理、固定收益研究部总经理、固定收益投资部总经理</w:t>
            </w:r>
          </w:p>
        </w:tc>
        <w:tc>
          <w:tcPr>
            <w:tcW w:w="851" w:type="dxa"/>
            <w:vAlign w:val="center"/>
          </w:tcPr>
          <w:p w:rsidR="00F62037" w:rsidRDefault="00336109">
            <w:pPr>
              <w:jc w:val="center"/>
            </w:pPr>
            <w:r>
              <w:rPr>
                <w:color w:val="000000"/>
                <w:sz w:val="24"/>
              </w:rPr>
              <w:t>2013-04-24</w:t>
            </w:r>
          </w:p>
        </w:tc>
        <w:tc>
          <w:tcPr>
            <w:tcW w:w="850" w:type="dxa"/>
            <w:vAlign w:val="center"/>
          </w:tcPr>
          <w:p w:rsidR="00F62037" w:rsidRDefault="00336109">
            <w:pPr>
              <w:jc w:val="center"/>
            </w:pPr>
            <w:r>
              <w:rPr>
                <w:color w:val="000000"/>
                <w:sz w:val="24"/>
              </w:rPr>
              <w:t>-</w:t>
            </w:r>
          </w:p>
        </w:tc>
        <w:tc>
          <w:tcPr>
            <w:tcW w:w="851" w:type="dxa"/>
            <w:vAlign w:val="center"/>
          </w:tcPr>
          <w:p w:rsidR="00F62037" w:rsidRDefault="00336109">
            <w:pPr>
              <w:jc w:val="center"/>
            </w:pPr>
            <w:r>
              <w:rPr>
                <w:color w:val="000000"/>
                <w:sz w:val="24"/>
              </w:rPr>
              <w:t>14</w:t>
            </w:r>
            <w:r>
              <w:rPr>
                <w:color w:val="000000"/>
                <w:sz w:val="24"/>
              </w:rPr>
              <w:t>年</w:t>
            </w:r>
          </w:p>
        </w:tc>
        <w:tc>
          <w:tcPr>
            <w:tcW w:w="2977" w:type="dxa"/>
            <w:vAlign w:val="center"/>
          </w:tcPr>
          <w:p w:rsidR="00F62037" w:rsidRDefault="00336109">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w:t>
            </w:r>
            <w:r>
              <w:rPr>
                <w:color w:val="000000"/>
                <w:sz w:val="24"/>
              </w:rPr>
              <w:t>LOF</w:t>
            </w:r>
            <w:r>
              <w:rPr>
                <w:color w:val="000000"/>
                <w:sz w:val="24"/>
              </w:rPr>
              <w:t>）基金经理、易方达纯债债券型证券投资基金基金经理、易方达永旭添利定期开放债券型证券投资基金基金经理、易方达纯债</w:t>
            </w:r>
            <w:r>
              <w:rPr>
                <w:color w:val="000000"/>
                <w:sz w:val="24"/>
              </w:rPr>
              <w:t>1</w:t>
            </w:r>
            <w:r>
              <w:rPr>
                <w:color w:val="000000"/>
                <w:sz w:val="24"/>
              </w:rPr>
              <w:t>年定期开放债券型证券投资基金基金经理、易方达裕景添利</w:t>
            </w:r>
            <w:r>
              <w:rPr>
                <w:color w:val="000000"/>
                <w:sz w:val="24"/>
              </w:rPr>
              <w:t>6</w:t>
            </w:r>
            <w:r>
              <w:rPr>
                <w:color w:val="000000"/>
                <w:sz w:val="24"/>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F62037">
        <w:tc>
          <w:tcPr>
            <w:tcW w:w="567" w:type="dxa"/>
            <w:vAlign w:val="center"/>
          </w:tcPr>
          <w:p w:rsidR="00F62037" w:rsidRDefault="00336109">
            <w:pPr>
              <w:jc w:val="center"/>
            </w:pPr>
            <w:r>
              <w:rPr>
                <w:color w:val="000000"/>
                <w:sz w:val="24"/>
              </w:rPr>
              <w:lastRenderedPageBreak/>
              <w:t>纪玲云</w:t>
            </w:r>
          </w:p>
        </w:tc>
        <w:tc>
          <w:tcPr>
            <w:tcW w:w="2835" w:type="dxa"/>
            <w:vAlign w:val="center"/>
          </w:tcPr>
          <w:p w:rsidR="00F62037" w:rsidRDefault="00336109">
            <w:pPr>
              <w:jc w:val="left"/>
            </w:pPr>
            <w:r>
              <w:rPr>
                <w:color w:val="000000"/>
                <w:sz w:val="24"/>
              </w:rPr>
              <w:t>本基金的基金经理、易方达</w:t>
            </w:r>
            <w:r>
              <w:rPr>
                <w:color w:val="000000"/>
                <w:sz w:val="24"/>
              </w:rPr>
              <w:t>3</w:t>
            </w:r>
            <w:r>
              <w:rPr>
                <w:color w:val="000000"/>
                <w:sz w:val="24"/>
              </w:rPr>
              <w:t>年封闭运作战略配售灵活配置混合型证券投资基金（</w:t>
            </w:r>
            <w:r>
              <w:rPr>
                <w:color w:val="000000"/>
                <w:sz w:val="24"/>
              </w:rPr>
              <w:t>LOF</w:t>
            </w:r>
            <w:r>
              <w:rPr>
                <w:color w:val="000000"/>
                <w:sz w:val="24"/>
              </w:rPr>
              <w:t>）的基金经理、易方达瑞财灵活配置混合型证券投资基金的基金经理、易方达恒利</w:t>
            </w:r>
            <w:r>
              <w:rPr>
                <w:color w:val="000000"/>
                <w:sz w:val="24"/>
              </w:rPr>
              <w:t>3</w:t>
            </w:r>
            <w:r>
              <w:rPr>
                <w:color w:val="000000"/>
                <w:sz w:val="24"/>
              </w:rPr>
              <w:t>个月定期开放债券型发起式证券投资基金的基金经理、易方达恒盛</w:t>
            </w:r>
            <w:r>
              <w:rPr>
                <w:color w:val="000000"/>
                <w:sz w:val="24"/>
              </w:rPr>
              <w:t>3</w:t>
            </w:r>
            <w:r>
              <w:rPr>
                <w:color w:val="000000"/>
                <w:sz w:val="24"/>
              </w:rPr>
              <w:t>个月定期开放混合型发起式证券投资基金的基金经理、易方达恒裕一年定期开放债券型发起式证券投资基金的基金经理、易方达稳健收益债券型证券投资基金的基金经理助理、易方达丰惠混合型证券投资基金的基金经理助理（自</w:t>
            </w:r>
            <w:r>
              <w:rPr>
                <w:color w:val="000000"/>
                <w:sz w:val="24"/>
              </w:rPr>
              <w:t>2019</w:t>
            </w:r>
            <w:r>
              <w:rPr>
                <w:color w:val="000000"/>
                <w:sz w:val="24"/>
              </w:rPr>
              <w:t>年</w:t>
            </w:r>
            <w:r>
              <w:rPr>
                <w:color w:val="000000"/>
                <w:sz w:val="24"/>
              </w:rPr>
              <w:t>01</w:t>
            </w:r>
            <w:r>
              <w:rPr>
                <w:color w:val="000000"/>
                <w:sz w:val="24"/>
              </w:rPr>
              <w:t>月</w:t>
            </w:r>
            <w:r>
              <w:rPr>
                <w:color w:val="000000"/>
                <w:sz w:val="24"/>
              </w:rPr>
              <w:t>18</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09</w:t>
            </w:r>
            <w:r>
              <w:rPr>
                <w:color w:val="000000"/>
                <w:sz w:val="24"/>
              </w:rPr>
              <w:t>日）、固定收益研究部总经理助理、投资经理</w:t>
            </w:r>
          </w:p>
        </w:tc>
        <w:tc>
          <w:tcPr>
            <w:tcW w:w="851" w:type="dxa"/>
            <w:vAlign w:val="center"/>
          </w:tcPr>
          <w:p w:rsidR="00F62037" w:rsidRDefault="00336109">
            <w:pPr>
              <w:jc w:val="center"/>
            </w:pPr>
            <w:r>
              <w:rPr>
                <w:color w:val="000000"/>
                <w:sz w:val="24"/>
              </w:rPr>
              <w:t>2013-09-14</w:t>
            </w:r>
          </w:p>
        </w:tc>
        <w:tc>
          <w:tcPr>
            <w:tcW w:w="850" w:type="dxa"/>
            <w:vAlign w:val="center"/>
          </w:tcPr>
          <w:p w:rsidR="00F62037" w:rsidRDefault="00336109">
            <w:pPr>
              <w:jc w:val="center"/>
            </w:pPr>
            <w:r>
              <w:rPr>
                <w:color w:val="000000"/>
                <w:sz w:val="24"/>
              </w:rPr>
              <w:t>-</w:t>
            </w:r>
          </w:p>
        </w:tc>
        <w:tc>
          <w:tcPr>
            <w:tcW w:w="851" w:type="dxa"/>
            <w:vAlign w:val="center"/>
          </w:tcPr>
          <w:p w:rsidR="00F62037" w:rsidRDefault="00336109">
            <w:pPr>
              <w:jc w:val="center"/>
            </w:pPr>
            <w:r>
              <w:rPr>
                <w:color w:val="000000"/>
                <w:sz w:val="24"/>
              </w:rPr>
              <w:t>11</w:t>
            </w:r>
            <w:r>
              <w:rPr>
                <w:color w:val="000000"/>
                <w:sz w:val="24"/>
              </w:rPr>
              <w:t>年</w:t>
            </w:r>
          </w:p>
        </w:tc>
        <w:tc>
          <w:tcPr>
            <w:tcW w:w="2977" w:type="dxa"/>
            <w:vAlign w:val="center"/>
          </w:tcPr>
          <w:p w:rsidR="00F62037" w:rsidRDefault="00336109">
            <w:r>
              <w:rPr>
                <w:color w:val="000000"/>
                <w:sz w:val="24"/>
              </w:rPr>
              <w:t>硕士研究生，具有基金从业资格。曾任易方达基金管理有限公司固定收益研究员、投资经理助理。</w:t>
            </w:r>
          </w:p>
        </w:tc>
      </w:tr>
    </w:tbl>
    <w:p w:rsidR="0025623F" w:rsidRDefault="000D4DA2" w:rsidP="0025623F">
      <w:pPr>
        <w:spacing w:line="360" w:lineRule="auto"/>
        <w:rPr>
          <w:color w:val="000000"/>
          <w:sz w:val="24"/>
        </w:rPr>
      </w:pPr>
      <w:r w:rsidRPr="000D4DA2">
        <w:rPr>
          <w:noProof/>
          <w:color w:val="000000"/>
          <w:sz w:val="24"/>
        </w:rPr>
        <w:drawing>
          <wp:inline distT="0" distB="0" distL="0" distR="0">
            <wp:extent cx="5600700" cy="3562112"/>
            <wp:effectExtent l="0" t="0" r="0" b="0"/>
            <wp:docPr id="2" name="图片 2" descr="d:\Users\wenxueqian\Desktop\20200716-截图更新\纪玲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纪玲云.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562112"/>
                    </a:xfrm>
                    <a:prstGeom prst="rect">
                      <a:avLst/>
                    </a:prstGeom>
                    <a:noFill/>
                    <a:ln>
                      <a:noFill/>
                    </a:ln>
                  </pic:spPr>
                </pic:pic>
              </a:graphicData>
            </a:graphic>
          </wp:inline>
        </w:drawing>
      </w:r>
      <w:bookmarkStart w:id="0" w:name="_GoBack"/>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w:t>
      </w:r>
      <w:r w:rsidRPr="00DF18FE">
        <w:rPr>
          <w:color w:val="000000"/>
          <w:sz w:val="24"/>
        </w:rPr>
        <w:lastRenderedPageBreak/>
        <w:t>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F62037" w:rsidRDefault="00336109">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F62037" w:rsidRDefault="00336109">
      <w:pPr>
        <w:spacing w:line="360" w:lineRule="auto"/>
        <w:ind w:firstLineChars="200" w:firstLine="480"/>
        <w:rPr>
          <w:color w:val="000000"/>
          <w:sz w:val="24"/>
        </w:rPr>
      </w:pPr>
      <w:r>
        <w:rPr>
          <w:color w:val="000000"/>
          <w:sz w:val="24"/>
        </w:rPr>
        <w:t>2020</w:t>
      </w:r>
      <w:r>
        <w:rPr>
          <w:color w:val="000000"/>
          <w:sz w:val="24"/>
        </w:rPr>
        <w:t>年二季度经济基本面进入疫情后的回升阶段。</w:t>
      </w:r>
      <w:r>
        <w:rPr>
          <w:color w:val="000000"/>
          <w:sz w:val="24"/>
        </w:rPr>
        <w:t>4</w:t>
      </w:r>
      <w:r>
        <w:rPr>
          <w:color w:val="000000"/>
          <w:sz w:val="24"/>
        </w:rPr>
        <w:t>月份经济增长出现较为快速的回升，结构上表现为工业增速好于投资增速、投资增速好于需求增速的特点。进入</w:t>
      </w:r>
      <w:r>
        <w:rPr>
          <w:color w:val="000000"/>
          <w:sz w:val="24"/>
        </w:rPr>
        <w:t>5</w:t>
      </w:r>
      <w:r>
        <w:rPr>
          <w:color w:val="000000"/>
          <w:sz w:val="24"/>
        </w:rPr>
        <w:t>月份之后经济回升速度有所放缓，但是下游需求恢复有所加强。从细分情况来看，基建投资和房地产投资恢复较快，房地产和汽车等非必须消费品销售恢复较快；制造业投资恢复较慢，截至</w:t>
      </w:r>
      <w:r>
        <w:rPr>
          <w:color w:val="000000"/>
          <w:sz w:val="24"/>
        </w:rPr>
        <w:t>5</w:t>
      </w:r>
      <w:r>
        <w:rPr>
          <w:color w:val="000000"/>
          <w:sz w:val="24"/>
        </w:rPr>
        <w:t>月份较疫情前仍有</w:t>
      </w:r>
      <w:r>
        <w:rPr>
          <w:color w:val="000000"/>
          <w:sz w:val="24"/>
        </w:rPr>
        <w:t>15%</w:t>
      </w:r>
      <w:r>
        <w:rPr>
          <w:color w:val="000000"/>
          <w:sz w:val="24"/>
        </w:rPr>
        <w:t>左右的降幅，零售中的餐饮恢复也相对较慢，截至</w:t>
      </w:r>
      <w:r>
        <w:rPr>
          <w:color w:val="000000"/>
          <w:sz w:val="24"/>
        </w:rPr>
        <w:t>5</w:t>
      </w:r>
      <w:r>
        <w:rPr>
          <w:color w:val="000000"/>
          <w:sz w:val="24"/>
        </w:rPr>
        <w:t>月份较疫情前仍有</w:t>
      </w:r>
      <w:r>
        <w:rPr>
          <w:color w:val="000000"/>
          <w:sz w:val="24"/>
        </w:rPr>
        <w:t>23%</w:t>
      </w:r>
      <w:r>
        <w:rPr>
          <w:color w:val="000000"/>
          <w:sz w:val="24"/>
        </w:rPr>
        <w:t>的降幅。</w:t>
      </w:r>
    </w:p>
    <w:p w:rsidR="00F62037" w:rsidRDefault="00336109">
      <w:pPr>
        <w:spacing w:line="360" w:lineRule="auto"/>
        <w:ind w:firstLineChars="200" w:firstLine="480"/>
        <w:rPr>
          <w:color w:val="000000"/>
          <w:sz w:val="24"/>
        </w:rPr>
      </w:pPr>
      <w:r>
        <w:rPr>
          <w:color w:val="000000"/>
          <w:sz w:val="24"/>
        </w:rPr>
        <w:t>政策对冲在二季度有所加码，财政方面通过增加发行特别国债、增加专项债额度和提高赤字率的方式在短期内快速提升基建投资力度。货币政策则通过增加银行信贷额度、增加专项再贷款额度等方式侧重进行结构性宽松，并探索开发直达实体经济的货币宽松工具。总量货币政策在</w:t>
      </w:r>
      <w:r>
        <w:rPr>
          <w:color w:val="000000"/>
          <w:sz w:val="24"/>
        </w:rPr>
        <w:t>3</w:t>
      </w:r>
      <w:r>
        <w:rPr>
          <w:color w:val="000000"/>
          <w:sz w:val="24"/>
        </w:rPr>
        <w:t>、</w:t>
      </w:r>
      <w:r>
        <w:rPr>
          <w:color w:val="000000"/>
          <w:sz w:val="24"/>
        </w:rPr>
        <w:t>4</w:t>
      </w:r>
      <w:r>
        <w:rPr>
          <w:color w:val="000000"/>
          <w:sz w:val="24"/>
        </w:rPr>
        <w:t>月份宽松后，随即在</w:t>
      </w:r>
      <w:r>
        <w:rPr>
          <w:color w:val="000000"/>
          <w:sz w:val="24"/>
        </w:rPr>
        <w:t>5</w:t>
      </w:r>
      <w:r>
        <w:rPr>
          <w:color w:val="000000"/>
          <w:sz w:val="24"/>
        </w:rPr>
        <w:t>月份快速边际收紧，银</w:t>
      </w:r>
      <w:r>
        <w:rPr>
          <w:color w:val="000000"/>
          <w:sz w:val="24"/>
        </w:rPr>
        <w:lastRenderedPageBreak/>
        <w:t>行间融资成本从最低的</w:t>
      </w:r>
      <w:r>
        <w:rPr>
          <w:color w:val="000000"/>
          <w:sz w:val="24"/>
        </w:rPr>
        <w:t>1%</w:t>
      </w:r>
      <w:r>
        <w:rPr>
          <w:color w:val="000000"/>
          <w:sz w:val="24"/>
        </w:rPr>
        <w:t>以下的水平回升至</w:t>
      </w:r>
      <w:r>
        <w:rPr>
          <w:color w:val="000000"/>
          <w:sz w:val="24"/>
        </w:rPr>
        <w:t>2.2%</w:t>
      </w:r>
      <w:r>
        <w:rPr>
          <w:color w:val="000000"/>
          <w:sz w:val="24"/>
        </w:rPr>
        <w:t>附近。</w:t>
      </w:r>
    </w:p>
    <w:p w:rsidR="00F62037" w:rsidRDefault="00336109">
      <w:pPr>
        <w:spacing w:line="360" w:lineRule="auto"/>
        <w:ind w:firstLineChars="200" w:firstLine="480"/>
        <w:rPr>
          <w:color w:val="000000"/>
          <w:sz w:val="24"/>
        </w:rPr>
      </w:pPr>
      <w:r>
        <w:rPr>
          <w:color w:val="000000"/>
          <w:sz w:val="24"/>
        </w:rPr>
        <w:t>债券市场收益率中枢和期限利差水平受货币政策变化影响，出现较为明显的波动。收益率曲线先陡峭化下行，</w:t>
      </w:r>
      <w:r>
        <w:rPr>
          <w:color w:val="000000"/>
          <w:sz w:val="24"/>
        </w:rPr>
        <w:t>5</w:t>
      </w:r>
      <w:r>
        <w:rPr>
          <w:color w:val="000000"/>
          <w:sz w:val="24"/>
        </w:rPr>
        <w:t>月之后出现快速的熊平走势，至</w:t>
      </w:r>
      <w:r>
        <w:rPr>
          <w:color w:val="000000"/>
          <w:sz w:val="24"/>
        </w:rPr>
        <w:t>6</w:t>
      </w:r>
      <w:r>
        <w:rPr>
          <w:color w:val="000000"/>
          <w:sz w:val="24"/>
        </w:rPr>
        <w:t>月底收益率水平基本达到疫情之后第一个工作日的水平。单看二季度的情况，</w:t>
      </w:r>
      <w:r>
        <w:rPr>
          <w:color w:val="000000"/>
          <w:sz w:val="24"/>
        </w:rPr>
        <w:t>10</w:t>
      </w:r>
      <w:r>
        <w:rPr>
          <w:color w:val="000000"/>
          <w:sz w:val="24"/>
        </w:rPr>
        <w:t>年金融债收益率上行</w:t>
      </w:r>
      <w:r>
        <w:rPr>
          <w:color w:val="000000"/>
          <w:sz w:val="24"/>
        </w:rPr>
        <w:t>15BP</w:t>
      </w:r>
      <w:r>
        <w:rPr>
          <w:color w:val="000000"/>
          <w:sz w:val="24"/>
        </w:rPr>
        <w:t>，</w:t>
      </w:r>
      <w:r>
        <w:rPr>
          <w:color w:val="000000"/>
          <w:sz w:val="24"/>
        </w:rPr>
        <w:t>3-5</w:t>
      </w:r>
      <w:r>
        <w:rPr>
          <w:color w:val="000000"/>
          <w:sz w:val="24"/>
        </w:rPr>
        <w:t>年金融债收益率上行</w:t>
      </w:r>
      <w:r>
        <w:rPr>
          <w:color w:val="000000"/>
          <w:sz w:val="24"/>
        </w:rPr>
        <w:t>30-40BP</w:t>
      </w:r>
      <w:r>
        <w:rPr>
          <w:color w:val="000000"/>
          <w:sz w:val="24"/>
        </w:rPr>
        <w:t>。信用债券的利差同样出现先走扩后收缩的走势，高等级利差波动达到</w:t>
      </w:r>
      <w:r>
        <w:rPr>
          <w:color w:val="000000"/>
          <w:sz w:val="24"/>
        </w:rPr>
        <w:t>20-30BP</w:t>
      </w:r>
      <w:r>
        <w:rPr>
          <w:color w:val="000000"/>
          <w:sz w:val="24"/>
        </w:rPr>
        <w:t>。</w:t>
      </w:r>
      <w:r>
        <w:rPr>
          <w:color w:val="000000"/>
          <w:sz w:val="24"/>
        </w:rPr>
        <w:t>3</w:t>
      </w:r>
      <w:r>
        <w:rPr>
          <w:color w:val="000000"/>
          <w:sz w:val="24"/>
        </w:rPr>
        <w:t>、</w:t>
      </w:r>
      <w:r>
        <w:rPr>
          <w:color w:val="000000"/>
          <w:sz w:val="24"/>
        </w:rPr>
        <w:t>4</w:t>
      </w:r>
      <w:r>
        <w:rPr>
          <w:color w:val="000000"/>
          <w:sz w:val="24"/>
        </w:rPr>
        <w:t>月份基于货币政策宽松带来的期限利差和信用利差的拉升体现出市场更多地将疫情的影响视为短期负面冲击。</w:t>
      </w:r>
    </w:p>
    <w:p w:rsidR="00F016DD" w:rsidRPr="00DF18FE" w:rsidRDefault="00F016DD" w:rsidP="00DF18FE">
      <w:pPr>
        <w:spacing w:line="360" w:lineRule="auto"/>
        <w:ind w:firstLineChars="200" w:firstLine="480"/>
        <w:rPr>
          <w:color w:val="000000"/>
          <w:sz w:val="24"/>
        </w:rPr>
      </w:pPr>
      <w:r w:rsidRPr="00DF18FE">
        <w:rPr>
          <w:color w:val="000000"/>
          <w:sz w:val="24"/>
        </w:rPr>
        <w:t>操作上，组合自</w:t>
      </w:r>
      <w:r w:rsidRPr="00DF18FE">
        <w:rPr>
          <w:color w:val="000000"/>
          <w:sz w:val="24"/>
        </w:rPr>
        <w:t>4</w:t>
      </w:r>
      <w:r w:rsidRPr="00DF18FE">
        <w:rPr>
          <w:color w:val="000000"/>
          <w:sz w:val="24"/>
        </w:rPr>
        <w:t>月中下旬开始降低久期，并积极调整期限结构，降低</w:t>
      </w:r>
      <w:r w:rsidRPr="00DF18FE">
        <w:rPr>
          <w:color w:val="000000"/>
          <w:sz w:val="24"/>
        </w:rPr>
        <w:t>0-3</w:t>
      </w:r>
      <w:r w:rsidRPr="00DF18FE">
        <w:rPr>
          <w:color w:val="000000"/>
          <w:sz w:val="24"/>
        </w:rPr>
        <w:t>年信用债券的持仓，在后续曲线平坦化上行的过程中降低了对净值的负面冲击。</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1.113</w:t>
      </w:r>
      <w:r w:rsidRPr="00DF18FE">
        <w:rPr>
          <w:color w:val="000000"/>
          <w:sz w:val="24"/>
        </w:rPr>
        <w:t>元，本报告期份额净值增长率为</w:t>
      </w:r>
      <w:r w:rsidRPr="00DF18FE">
        <w:rPr>
          <w:color w:val="000000"/>
          <w:sz w:val="24"/>
        </w:rPr>
        <w:t>-0.18%</w:t>
      </w:r>
      <w:r w:rsidRPr="00DF18FE">
        <w:rPr>
          <w:color w:val="000000"/>
          <w:sz w:val="24"/>
        </w:rPr>
        <w:t>，同期业绩比较基准收益率为</w:t>
      </w:r>
      <w:r w:rsidRPr="00DF18FE">
        <w:rPr>
          <w:color w:val="000000"/>
          <w:sz w:val="24"/>
        </w:rPr>
        <w:t>-0.45%</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1.108</w:t>
      </w:r>
      <w:r w:rsidRPr="00DF18FE">
        <w:rPr>
          <w:color w:val="000000"/>
          <w:sz w:val="24"/>
        </w:rPr>
        <w:t>元，本报告期份额净值增长率为</w:t>
      </w:r>
      <w:r w:rsidRPr="00DF18FE">
        <w:rPr>
          <w:color w:val="000000"/>
          <w:sz w:val="24"/>
        </w:rPr>
        <w:t>-0.27%</w:t>
      </w:r>
      <w:r w:rsidRPr="00DF18FE">
        <w:rPr>
          <w:color w:val="000000"/>
          <w:sz w:val="24"/>
        </w:rPr>
        <w:t>，同期业绩比较基准收益率为</w:t>
      </w:r>
      <w:r w:rsidRPr="00DF18FE">
        <w:rPr>
          <w:color w:val="000000"/>
          <w:sz w:val="24"/>
        </w:rPr>
        <w:t>-0.45%</w:t>
      </w:r>
      <w:r w:rsidRPr="00DF18FE">
        <w:rPr>
          <w:color w:val="000000"/>
          <w:sz w:val="24"/>
        </w:rPr>
        <w:t>。</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7,303,058,705.20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96.58</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7,141,861,705.20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94.45</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161,197,000.00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2.13</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lastRenderedPageBreak/>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122,112,215.30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1.61</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136,664,044.89</w:t>
            </w:r>
          </w:p>
        </w:tc>
        <w:tc>
          <w:tcPr>
            <w:tcW w:w="1843" w:type="dxa"/>
            <w:vAlign w:val="center"/>
          </w:tcPr>
          <w:p w:rsidR="00F016DD" w:rsidRPr="00FA472B" w:rsidRDefault="00F016DD" w:rsidP="00F4518C">
            <w:pPr>
              <w:jc w:val="right"/>
              <w:rPr>
                <w:color w:val="000000"/>
                <w:sz w:val="24"/>
              </w:rPr>
            </w:pPr>
            <w:r w:rsidRPr="00FA472B">
              <w:rPr>
                <w:color w:val="000000"/>
                <w:sz w:val="24"/>
              </w:rPr>
              <w:t>1.81</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7,561,834,965.39</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p w:rsidR="00874AA3" w:rsidRPr="00EA6415" w:rsidRDefault="00874AA3" w:rsidP="00EA6415">
      <w:pPr>
        <w:spacing w:line="360" w:lineRule="auto"/>
        <w:ind w:firstLineChars="200" w:firstLine="480"/>
        <w:rPr>
          <w:color w:val="000000"/>
          <w:sz w:val="24"/>
        </w:rPr>
      </w:pPr>
      <w:r w:rsidRPr="00EA6415">
        <w:rPr>
          <w:color w:val="000000"/>
          <w:sz w:val="24"/>
        </w:rPr>
        <w:t>本基金本报告期末未持有境内股票。</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本基金本报告期末未持有股票。</w:t>
      </w:r>
    </w:p>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341,739,000.00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5.16</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341,739,000.00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5.16</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2,302,352,705.20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34.73</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50,253,000.00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0.76</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4,447,517,000.00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67.10</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7,141,861,705.20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107.75</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F62037">
        <w:tc>
          <w:tcPr>
            <w:tcW w:w="802" w:type="dxa"/>
            <w:vAlign w:val="center"/>
          </w:tcPr>
          <w:p w:rsidR="00F62037" w:rsidRDefault="00336109">
            <w:pPr>
              <w:jc w:val="center"/>
            </w:pPr>
            <w:r>
              <w:rPr>
                <w:color w:val="000000"/>
                <w:sz w:val="24"/>
              </w:rPr>
              <w:t>1</w:t>
            </w:r>
          </w:p>
        </w:tc>
        <w:tc>
          <w:tcPr>
            <w:tcW w:w="1559" w:type="dxa"/>
            <w:vAlign w:val="center"/>
          </w:tcPr>
          <w:p w:rsidR="00F62037" w:rsidRDefault="00336109">
            <w:pPr>
              <w:jc w:val="center"/>
            </w:pPr>
            <w:r>
              <w:rPr>
                <w:color w:val="000000"/>
                <w:sz w:val="24"/>
              </w:rPr>
              <w:t>101651031</w:t>
            </w:r>
          </w:p>
        </w:tc>
        <w:tc>
          <w:tcPr>
            <w:tcW w:w="1985" w:type="dxa"/>
            <w:vAlign w:val="center"/>
          </w:tcPr>
          <w:p w:rsidR="00F62037" w:rsidRDefault="00336109">
            <w:pPr>
              <w:jc w:val="center"/>
            </w:pPr>
            <w:r>
              <w:rPr>
                <w:color w:val="000000"/>
                <w:sz w:val="24"/>
              </w:rPr>
              <w:t>16</w:t>
            </w:r>
            <w:r>
              <w:rPr>
                <w:color w:val="000000"/>
                <w:sz w:val="24"/>
              </w:rPr>
              <w:t>贵州高速</w:t>
            </w:r>
            <w:r>
              <w:rPr>
                <w:color w:val="000000"/>
                <w:sz w:val="24"/>
              </w:rPr>
              <w:lastRenderedPageBreak/>
              <w:t>MTN001</w:t>
            </w:r>
          </w:p>
        </w:tc>
        <w:tc>
          <w:tcPr>
            <w:tcW w:w="1559" w:type="dxa"/>
            <w:vAlign w:val="center"/>
          </w:tcPr>
          <w:p w:rsidR="00F62037" w:rsidRDefault="00336109">
            <w:pPr>
              <w:jc w:val="right"/>
            </w:pPr>
            <w:r>
              <w:rPr>
                <w:color w:val="000000"/>
                <w:sz w:val="24"/>
              </w:rPr>
              <w:lastRenderedPageBreak/>
              <w:t>1,800,000</w:t>
            </w:r>
          </w:p>
        </w:tc>
        <w:tc>
          <w:tcPr>
            <w:tcW w:w="2126" w:type="dxa"/>
            <w:vAlign w:val="center"/>
          </w:tcPr>
          <w:p w:rsidR="00F62037" w:rsidRDefault="00336109">
            <w:pPr>
              <w:jc w:val="right"/>
            </w:pPr>
            <w:r>
              <w:rPr>
                <w:color w:val="000000"/>
                <w:sz w:val="24"/>
              </w:rPr>
              <w:t>182,754,000.00</w:t>
            </w:r>
          </w:p>
        </w:tc>
        <w:tc>
          <w:tcPr>
            <w:tcW w:w="990" w:type="dxa"/>
            <w:vAlign w:val="center"/>
          </w:tcPr>
          <w:p w:rsidR="00F62037" w:rsidRDefault="00336109">
            <w:pPr>
              <w:jc w:val="right"/>
            </w:pPr>
            <w:r>
              <w:rPr>
                <w:color w:val="000000"/>
                <w:sz w:val="24"/>
              </w:rPr>
              <w:t>2.76</w:t>
            </w:r>
          </w:p>
        </w:tc>
      </w:tr>
      <w:tr w:rsidR="00F62037">
        <w:tc>
          <w:tcPr>
            <w:tcW w:w="802" w:type="dxa"/>
            <w:vAlign w:val="center"/>
          </w:tcPr>
          <w:p w:rsidR="00F62037" w:rsidRDefault="00336109">
            <w:pPr>
              <w:jc w:val="center"/>
            </w:pPr>
            <w:r>
              <w:rPr>
                <w:color w:val="000000"/>
                <w:sz w:val="24"/>
              </w:rPr>
              <w:t>2</w:t>
            </w:r>
          </w:p>
        </w:tc>
        <w:tc>
          <w:tcPr>
            <w:tcW w:w="1559" w:type="dxa"/>
            <w:vAlign w:val="center"/>
          </w:tcPr>
          <w:p w:rsidR="00F62037" w:rsidRDefault="00336109">
            <w:pPr>
              <w:jc w:val="center"/>
            </w:pPr>
            <w:r>
              <w:rPr>
                <w:color w:val="000000"/>
                <w:sz w:val="24"/>
              </w:rPr>
              <w:t>101901150</w:t>
            </w:r>
          </w:p>
        </w:tc>
        <w:tc>
          <w:tcPr>
            <w:tcW w:w="1985" w:type="dxa"/>
            <w:vAlign w:val="center"/>
          </w:tcPr>
          <w:p w:rsidR="00F62037" w:rsidRDefault="00336109">
            <w:pPr>
              <w:jc w:val="center"/>
            </w:pPr>
            <w:r>
              <w:rPr>
                <w:color w:val="000000"/>
                <w:sz w:val="24"/>
              </w:rPr>
              <w:t>19</w:t>
            </w:r>
            <w:r>
              <w:rPr>
                <w:color w:val="000000"/>
                <w:sz w:val="24"/>
              </w:rPr>
              <w:t>赣高速</w:t>
            </w:r>
            <w:r>
              <w:rPr>
                <w:color w:val="000000"/>
                <w:sz w:val="24"/>
              </w:rPr>
              <w:t>MTN002</w:t>
            </w:r>
          </w:p>
        </w:tc>
        <w:tc>
          <w:tcPr>
            <w:tcW w:w="1559" w:type="dxa"/>
            <w:vAlign w:val="center"/>
          </w:tcPr>
          <w:p w:rsidR="00F62037" w:rsidRDefault="00336109">
            <w:pPr>
              <w:jc w:val="right"/>
            </w:pPr>
            <w:r>
              <w:rPr>
                <w:color w:val="000000"/>
                <w:sz w:val="24"/>
              </w:rPr>
              <w:t>1,500,000</w:t>
            </w:r>
          </w:p>
        </w:tc>
        <w:tc>
          <w:tcPr>
            <w:tcW w:w="2126" w:type="dxa"/>
            <w:vAlign w:val="center"/>
          </w:tcPr>
          <w:p w:rsidR="00F62037" w:rsidRDefault="00336109">
            <w:pPr>
              <w:jc w:val="right"/>
            </w:pPr>
            <w:r>
              <w:rPr>
                <w:color w:val="000000"/>
                <w:sz w:val="24"/>
              </w:rPr>
              <w:t>152,775,000.00</w:t>
            </w:r>
          </w:p>
        </w:tc>
        <w:tc>
          <w:tcPr>
            <w:tcW w:w="990" w:type="dxa"/>
            <w:vAlign w:val="center"/>
          </w:tcPr>
          <w:p w:rsidR="00F62037" w:rsidRDefault="00336109">
            <w:pPr>
              <w:jc w:val="right"/>
            </w:pPr>
            <w:r>
              <w:rPr>
                <w:color w:val="000000"/>
                <w:sz w:val="24"/>
              </w:rPr>
              <w:t>2.30</w:t>
            </w:r>
          </w:p>
        </w:tc>
      </w:tr>
      <w:tr w:rsidR="00F62037">
        <w:tc>
          <w:tcPr>
            <w:tcW w:w="802" w:type="dxa"/>
            <w:vAlign w:val="center"/>
          </w:tcPr>
          <w:p w:rsidR="00F62037" w:rsidRDefault="00336109">
            <w:pPr>
              <w:jc w:val="center"/>
            </w:pPr>
            <w:r>
              <w:rPr>
                <w:color w:val="000000"/>
                <w:sz w:val="24"/>
              </w:rPr>
              <w:t>3</w:t>
            </w:r>
          </w:p>
        </w:tc>
        <w:tc>
          <w:tcPr>
            <w:tcW w:w="1559" w:type="dxa"/>
            <w:vAlign w:val="center"/>
          </w:tcPr>
          <w:p w:rsidR="00F62037" w:rsidRDefault="00336109">
            <w:pPr>
              <w:jc w:val="center"/>
            </w:pPr>
            <w:r>
              <w:rPr>
                <w:color w:val="000000"/>
                <w:sz w:val="24"/>
              </w:rPr>
              <w:t>102000425</w:t>
            </w:r>
          </w:p>
        </w:tc>
        <w:tc>
          <w:tcPr>
            <w:tcW w:w="1985" w:type="dxa"/>
            <w:vAlign w:val="center"/>
          </w:tcPr>
          <w:p w:rsidR="00F62037" w:rsidRDefault="00336109">
            <w:pPr>
              <w:jc w:val="center"/>
            </w:pPr>
            <w:r>
              <w:rPr>
                <w:color w:val="000000"/>
                <w:sz w:val="24"/>
              </w:rPr>
              <w:t>20</w:t>
            </w:r>
            <w:r>
              <w:rPr>
                <w:color w:val="000000"/>
                <w:sz w:val="24"/>
              </w:rPr>
              <w:t>青岛国信</w:t>
            </w:r>
            <w:r>
              <w:rPr>
                <w:color w:val="000000"/>
                <w:sz w:val="24"/>
              </w:rPr>
              <w:t>MTN003</w:t>
            </w:r>
          </w:p>
        </w:tc>
        <w:tc>
          <w:tcPr>
            <w:tcW w:w="1559" w:type="dxa"/>
            <w:vAlign w:val="center"/>
          </w:tcPr>
          <w:p w:rsidR="00F62037" w:rsidRDefault="00336109">
            <w:pPr>
              <w:jc w:val="right"/>
            </w:pPr>
            <w:r>
              <w:rPr>
                <w:color w:val="000000"/>
                <w:sz w:val="24"/>
              </w:rPr>
              <w:t>1,200,000</w:t>
            </w:r>
          </w:p>
        </w:tc>
        <w:tc>
          <w:tcPr>
            <w:tcW w:w="2126" w:type="dxa"/>
            <w:vAlign w:val="center"/>
          </w:tcPr>
          <w:p w:rsidR="00F62037" w:rsidRDefault="00336109">
            <w:pPr>
              <w:jc w:val="right"/>
            </w:pPr>
            <w:r>
              <w:rPr>
                <w:color w:val="000000"/>
                <w:sz w:val="24"/>
              </w:rPr>
              <w:t>119,028,000.00</w:t>
            </w:r>
          </w:p>
        </w:tc>
        <w:tc>
          <w:tcPr>
            <w:tcW w:w="990" w:type="dxa"/>
            <w:vAlign w:val="center"/>
          </w:tcPr>
          <w:p w:rsidR="00F62037" w:rsidRDefault="00336109">
            <w:pPr>
              <w:jc w:val="right"/>
            </w:pPr>
            <w:r>
              <w:rPr>
                <w:color w:val="000000"/>
                <w:sz w:val="24"/>
              </w:rPr>
              <w:t>1.80</w:t>
            </w:r>
          </w:p>
        </w:tc>
      </w:tr>
      <w:tr w:rsidR="00F62037">
        <w:tc>
          <w:tcPr>
            <w:tcW w:w="802" w:type="dxa"/>
            <w:vAlign w:val="center"/>
          </w:tcPr>
          <w:p w:rsidR="00F62037" w:rsidRDefault="00336109">
            <w:pPr>
              <w:jc w:val="center"/>
            </w:pPr>
            <w:r>
              <w:rPr>
                <w:color w:val="000000"/>
                <w:sz w:val="24"/>
              </w:rPr>
              <w:t>4</w:t>
            </w:r>
          </w:p>
        </w:tc>
        <w:tc>
          <w:tcPr>
            <w:tcW w:w="1559" w:type="dxa"/>
            <w:vAlign w:val="center"/>
          </w:tcPr>
          <w:p w:rsidR="00F62037" w:rsidRDefault="00336109">
            <w:pPr>
              <w:jc w:val="center"/>
            </w:pPr>
            <w:r>
              <w:rPr>
                <w:color w:val="000000"/>
                <w:sz w:val="24"/>
              </w:rPr>
              <w:t>101801485</w:t>
            </w:r>
          </w:p>
        </w:tc>
        <w:tc>
          <w:tcPr>
            <w:tcW w:w="1985" w:type="dxa"/>
            <w:vAlign w:val="center"/>
          </w:tcPr>
          <w:p w:rsidR="00F62037" w:rsidRDefault="00336109">
            <w:pPr>
              <w:jc w:val="center"/>
            </w:pPr>
            <w:r>
              <w:rPr>
                <w:color w:val="000000"/>
                <w:sz w:val="24"/>
              </w:rPr>
              <w:t>18</w:t>
            </w:r>
            <w:r>
              <w:rPr>
                <w:color w:val="000000"/>
                <w:sz w:val="24"/>
              </w:rPr>
              <w:t>中铁股</w:t>
            </w:r>
            <w:r>
              <w:rPr>
                <w:color w:val="000000"/>
                <w:sz w:val="24"/>
              </w:rPr>
              <w:t>MTN002A</w:t>
            </w:r>
          </w:p>
        </w:tc>
        <w:tc>
          <w:tcPr>
            <w:tcW w:w="1559" w:type="dxa"/>
            <w:vAlign w:val="center"/>
          </w:tcPr>
          <w:p w:rsidR="00F62037" w:rsidRDefault="00336109">
            <w:pPr>
              <w:jc w:val="right"/>
            </w:pPr>
            <w:r>
              <w:rPr>
                <w:color w:val="000000"/>
                <w:sz w:val="24"/>
              </w:rPr>
              <w:t>1,000,000</w:t>
            </w:r>
          </w:p>
        </w:tc>
        <w:tc>
          <w:tcPr>
            <w:tcW w:w="2126" w:type="dxa"/>
            <w:vAlign w:val="center"/>
          </w:tcPr>
          <w:p w:rsidR="00F62037" w:rsidRDefault="00336109">
            <w:pPr>
              <w:jc w:val="right"/>
            </w:pPr>
            <w:r>
              <w:rPr>
                <w:color w:val="000000"/>
                <w:sz w:val="24"/>
              </w:rPr>
              <w:t>102,490,000.00</w:t>
            </w:r>
          </w:p>
        </w:tc>
        <w:tc>
          <w:tcPr>
            <w:tcW w:w="990" w:type="dxa"/>
            <w:vAlign w:val="center"/>
          </w:tcPr>
          <w:p w:rsidR="00F62037" w:rsidRDefault="00336109">
            <w:pPr>
              <w:jc w:val="right"/>
            </w:pPr>
            <w:r>
              <w:rPr>
                <w:color w:val="000000"/>
                <w:sz w:val="24"/>
              </w:rPr>
              <w:t>1.55</w:t>
            </w:r>
          </w:p>
        </w:tc>
      </w:tr>
      <w:tr w:rsidR="00F62037">
        <w:tc>
          <w:tcPr>
            <w:tcW w:w="802" w:type="dxa"/>
            <w:vAlign w:val="center"/>
          </w:tcPr>
          <w:p w:rsidR="00F62037" w:rsidRDefault="00336109">
            <w:pPr>
              <w:jc w:val="center"/>
            </w:pPr>
            <w:r>
              <w:rPr>
                <w:color w:val="000000"/>
                <w:sz w:val="24"/>
              </w:rPr>
              <w:t>5</w:t>
            </w:r>
          </w:p>
        </w:tc>
        <w:tc>
          <w:tcPr>
            <w:tcW w:w="1559" w:type="dxa"/>
            <w:vAlign w:val="center"/>
          </w:tcPr>
          <w:p w:rsidR="00F62037" w:rsidRDefault="00336109">
            <w:pPr>
              <w:jc w:val="center"/>
            </w:pPr>
            <w:r>
              <w:rPr>
                <w:color w:val="000000"/>
                <w:sz w:val="24"/>
              </w:rPr>
              <w:t>101901238</w:t>
            </w:r>
          </w:p>
        </w:tc>
        <w:tc>
          <w:tcPr>
            <w:tcW w:w="1985" w:type="dxa"/>
            <w:vAlign w:val="center"/>
          </w:tcPr>
          <w:p w:rsidR="00F62037" w:rsidRDefault="00336109">
            <w:pPr>
              <w:jc w:val="center"/>
            </w:pPr>
            <w:r>
              <w:rPr>
                <w:color w:val="000000"/>
                <w:sz w:val="24"/>
              </w:rPr>
              <w:t>19</w:t>
            </w:r>
            <w:r>
              <w:rPr>
                <w:color w:val="000000"/>
                <w:sz w:val="24"/>
              </w:rPr>
              <w:t>大唐集</w:t>
            </w:r>
            <w:r>
              <w:rPr>
                <w:color w:val="000000"/>
                <w:sz w:val="24"/>
              </w:rPr>
              <w:t>MTN002</w:t>
            </w:r>
          </w:p>
        </w:tc>
        <w:tc>
          <w:tcPr>
            <w:tcW w:w="1559" w:type="dxa"/>
            <w:vAlign w:val="center"/>
          </w:tcPr>
          <w:p w:rsidR="00F62037" w:rsidRDefault="00336109">
            <w:pPr>
              <w:jc w:val="right"/>
            </w:pPr>
            <w:r>
              <w:rPr>
                <w:color w:val="000000"/>
                <w:sz w:val="24"/>
              </w:rPr>
              <w:t>1,000,000</w:t>
            </w:r>
          </w:p>
        </w:tc>
        <w:tc>
          <w:tcPr>
            <w:tcW w:w="2126" w:type="dxa"/>
            <w:vAlign w:val="center"/>
          </w:tcPr>
          <w:p w:rsidR="00F62037" w:rsidRDefault="00336109">
            <w:pPr>
              <w:jc w:val="right"/>
            </w:pPr>
            <w:r>
              <w:rPr>
                <w:color w:val="000000"/>
                <w:sz w:val="24"/>
              </w:rPr>
              <w:t>102,210,000.00</w:t>
            </w:r>
          </w:p>
        </w:tc>
        <w:tc>
          <w:tcPr>
            <w:tcW w:w="990" w:type="dxa"/>
            <w:vAlign w:val="center"/>
          </w:tcPr>
          <w:p w:rsidR="00F62037" w:rsidRDefault="00336109">
            <w:pPr>
              <w:jc w:val="right"/>
            </w:pPr>
            <w:r>
              <w:rPr>
                <w:color w:val="000000"/>
                <w:sz w:val="24"/>
              </w:rPr>
              <w:t>1.54</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9"/>
        <w:gridCol w:w="1313"/>
        <w:gridCol w:w="1377"/>
        <w:gridCol w:w="1782"/>
        <w:gridCol w:w="1694"/>
        <w:gridCol w:w="1696"/>
      </w:tblGrid>
      <w:tr w:rsidR="00F016DD" w:rsidRPr="0078105B" w:rsidTr="00174038">
        <w:tc>
          <w:tcPr>
            <w:tcW w:w="1187"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3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w="1263"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w="181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w="1698"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17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rsidR="00F62037">
        <w:tc>
          <w:tcPr>
            <w:tcW w:w="0" w:type="auto"/>
            <w:vAlign w:val="center"/>
          </w:tcPr>
          <w:p w:rsidR="00F62037" w:rsidRDefault="00336109">
            <w:pPr>
              <w:jc w:val="center"/>
            </w:pPr>
            <w:r>
              <w:rPr>
                <w:color w:val="000000"/>
                <w:sz w:val="24"/>
              </w:rPr>
              <w:t>1</w:t>
            </w:r>
          </w:p>
        </w:tc>
        <w:tc>
          <w:tcPr>
            <w:tcW w:w="0" w:type="auto"/>
            <w:vAlign w:val="center"/>
          </w:tcPr>
          <w:p w:rsidR="00F62037" w:rsidRDefault="00336109">
            <w:pPr>
              <w:jc w:val="center"/>
            </w:pPr>
            <w:r>
              <w:rPr>
                <w:color w:val="000000"/>
                <w:sz w:val="24"/>
              </w:rPr>
              <w:t>138393</w:t>
            </w:r>
          </w:p>
        </w:tc>
        <w:tc>
          <w:tcPr>
            <w:tcW w:w="0" w:type="auto"/>
            <w:vAlign w:val="center"/>
          </w:tcPr>
          <w:p w:rsidR="00F62037" w:rsidRDefault="00336109">
            <w:pPr>
              <w:jc w:val="center"/>
            </w:pPr>
            <w:r>
              <w:rPr>
                <w:color w:val="000000"/>
                <w:sz w:val="24"/>
              </w:rPr>
              <w:t>云庐</w:t>
            </w:r>
            <w:r>
              <w:rPr>
                <w:color w:val="000000"/>
                <w:sz w:val="24"/>
              </w:rPr>
              <w:t>2A1</w:t>
            </w:r>
          </w:p>
        </w:tc>
        <w:tc>
          <w:tcPr>
            <w:tcW w:w="0" w:type="auto"/>
            <w:vAlign w:val="center"/>
          </w:tcPr>
          <w:p w:rsidR="00F62037" w:rsidRDefault="00336109">
            <w:pPr>
              <w:jc w:val="right"/>
            </w:pPr>
            <w:r>
              <w:rPr>
                <w:color w:val="000000"/>
                <w:sz w:val="24"/>
              </w:rPr>
              <w:t>300,000</w:t>
            </w:r>
          </w:p>
        </w:tc>
        <w:tc>
          <w:tcPr>
            <w:tcW w:w="0" w:type="auto"/>
            <w:vAlign w:val="center"/>
          </w:tcPr>
          <w:p w:rsidR="00F62037" w:rsidRDefault="00336109">
            <w:pPr>
              <w:jc w:val="right"/>
            </w:pPr>
            <w:r>
              <w:rPr>
                <w:color w:val="000000"/>
                <w:sz w:val="24"/>
              </w:rPr>
              <w:t>30,144,000.00</w:t>
            </w:r>
          </w:p>
        </w:tc>
        <w:tc>
          <w:tcPr>
            <w:tcW w:w="0" w:type="auto"/>
            <w:vAlign w:val="center"/>
          </w:tcPr>
          <w:p w:rsidR="00F62037" w:rsidRDefault="00336109">
            <w:pPr>
              <w:jc w:val="right"/>
            </w:pPr>
            <w:r>
              <w:rPr>
                <w:color w:val="000000"/>
                <w:sz w:val="24"/>
              </w:rPr>
              <w:t>0.45</w:t>
            </w:r>
          </w:p>
        </w:tc>
      </w:tr>
      <w:tr w:rsidR="00F62037">
        <w:tc>
          <w:tcPr>
            <w:tcW w:w="0" w:type="auto"/>
            <w:vAlign w:val="center"/>
          </w:tcPr>
          <w:p w:rsidR="00F62037" w:rsidRDefault="00336109">
            <w:pPr>
              <w:jc w:val="center"/>
            </w:pPr>
            <w:r>
              <w:rPr>
                <w:color w:val="000000"/>
                <w:sz w:val="24"/>
              </w:rPr>
              <w:t>2</w:t>
            </w:r>
          </w:p>
        </w:tc>
        <w:tc>
          <w:tcPr>
            <w:tcW w:w="0" w:type="auto"/>
            <w:vAlign w:val="center"/>
          </w:tcPr>
          <w:p w:rsidR="00F62037" w:rsidRDefault="00336109">
            <w:pPr>
              <w:jc w:val="center"/>
            </w:pPr>
            <w:r>
              <w:rPr>
                <w:color w:val="000000"/>
                <w:sz w:val="24"/>
              </w:rPr>
              <w:t>165814</w:t>
            </w:r>
          </w:p>
        </w:tc>
        <w:tc>
          <w:tcPr>
            <w:tcW w:w="0" w:type="auto"/>
            <w:vAlign w:val="center"/>
          </w:tcPr>
          <w:p w:rsidR="00F62037" w:rsidRDefault="00336109">
            <w:pPr>
              <w:jc w:val="center"/>
            </w:pPr>
            <w:r>
              <w:rPr>
                <w:color w:val="000000"/>
                <w:sz w:val="24"/>
              </w:rPr>
              <w:t>PR</w:t>
            </w:r>
            <w:r>
              <w:rPr>
                <w:color w:val="000000"/>
                <w:sz w:val="24"/>
              </w:rPr>
              <w:t>安吉</w:t>
            </w:r>
            <w:r>
              <w:rPr>
                <w:color w:val="000000"/>
                <w:sz w:val="24"/>
              </w:rPr>
              <w:t>5A</w:t>
            </w:r>
          </w:p>
        </w:tc>
        <w:tc>
          <w:tcPr>
            <w:tcW w:w="0" w:type="auto"/>
            <w:vAlign w:val="center"/>
          </w:tcPr>
          <w:p w:rsidR="00F62037" w:rsidRDefault="00336109">
            <w:pPr>
              <w:jc w:val="right"/>
            </w:pPr>
            <w:r>
              <w:rPr>
                <w:color w:val="000000"/>
                <w:sz w:val="24"/>
              </w:rPr>
              <w:t>300,000</w:t>
            </w:r>
          </w:p>
        </w:tc>
        <w:tc>
          <w:tcPr>
            <w:tcW w:w="0" w:type="auto"/>
            <w:vAlign w:val="center"/>
          </w:tcPr>
          <w:p w:rsidR="00F62037" w:rsidRDefault="00336109">
            <w:pPr>
              <w:jc w:val="right"/>
            </w:pPr>
            <w:r>
              <w:rPr>
                <w:color w:val="000000"/>
                <w:sz w:val="24"/>
              </w:rPr>
              <w:t>20,661,000.00</w:t>
            </w:r>
          </w:p>
        </w:tc>
        <w:tc>
          <w:tcPr>
            <w:tcW w:w="0" w:type="auto"/>
            <w:vAlign w:val="center"/>
          </w:tcPr>
          <w:p w:rsidR="00F62037" w:rsidRDefault="00336109">
            <w:pPr>
              <w:jc w:val="right"/>
            </w:pPr>
            <w:r>
              <w:rPr>
                <w:color w:val="000000"/>
                <w:sz w:val="24"/>
              </w:rPr>
              <w:t>0.31</w:t>
            </w:r>
          </w:p>
        </w:tc>
      </w:tr>
      <w:tr w:rsidR="00F62037">
        <w:tc>
          <w:tcPr>
            <w:tcW w:w="0" w:type="auto"/>
            <w:vAlign w:val="center"/>
          </w:tcPr>
          <w:p w:rsidR="00F62037" w:rsidRDefault="00336109">
            <w:pPr>
              <w:jc w:val="center"/>
            </w:pPr>
            <w:r>
              <w:rPr>
                <w:color w:val="000000"/>
                <w:sz w:val="24"/>
              </w:rPr>
              <w:t>3</w:t>
            </w:r>
          </w:p>
        </w:tc>
        <w:tc>
          <w:tcPr>
            <w:tcW w:w="0" w:type="auto"/>
            <w:vAlign w:val="center"/>
          </w:tcPr>
          <w:p w:rsidR="00F62037" w:rsidRDefault="00336109">
            <w:pPr>
              <w:jc w:val="center"/>
            </w:pPr>
            <w:r>
              <w:rPr>
                <w:color w:val="000000"/>
                <w:sz w:val="24"/>
              </w:rPr>
              <w:t>138332</w:t>
            </w:r>
          </w:p>
        </w:tc>
        <w:tc>
          <w:tcPr>
            <w:tcW w:w="0" w:type="auto"/>
            <w:vAlign w:val="center"/>
          </w:tcPr>
          <w:p w:rsidR="00F62037" w:rsidRDefault="00336109">
            <w:pPr>
              <w:jc w:val="center"/>
            </w:pPr>
            <w:r>
              <w:rPr>
                <w:color w:val="000000"/>
                <w:sz w:val="24"/>
              </w:rPr>
              <w:t>19</w:t>
            </w:r>
            <w:r>
              <w:rPr>
                <w:color w:val="000000"/>
                <w:sz w:val="24"/>
              </w:rPr>
              <w:t>桃源</w:t>
            </w:r>
            <w:r>
              <w:rPr>
                <w:color w:val="000000"/>
                <w:sz w:val="24"/>
              </w:rPr>
              <w:t>2A</w:t>
            </w:r>
          </w:p>
        </w:tc>
        <w:tc>
          <w:tcPr>
            <w:tcW w:w="0" w:type="auto"/>
            <w:vAlign w:val="center"/>
          </w:tcPr>
          <w:p w:rsidR="00F62037" w:rsidRDefault="00336109">
            <w:pPr>
              <w:jc w:val="right"/>
            </w:pPr>
            <w:r>
              <w:rPr>
                <w:color w:val="000000"/>
                <w:sz w:val="24"/>
              </w:rPr>
              <w:t>100,000</w:t>
            </w:r>
          </w:p>
        </w:tc>
        <w:tc>
          <w:tcPr>
            <w:tcW w:w="0" w:type="auto"/>
            <w:vAlign w:val="center"/>
          </w:tcPr>
          <w:p w:rsidR="00F62037" w:rsidRDefault="00336109">
            <w:pPr>
              <w:jc w:val="right"/>
            </w:pPr>
            <w:r>
              <w:rPr>
                <w:color w:val="000000"/>
                <w:sz w:val="24"/>
              </w:rPr>
              <w:t>10,058,000.00</w:t>
            </w:r>
          </w:p>
        </w:tc>
        <w:tc>
          <w:tcPr>
            <w:tcW w:w="0" w:type="auto"/>
            <w:vAlign w:val="center"/>
          </w:tcPr>
          <w:p w:rsidR="00F62037" w:rsidRDefault="00336109">
            <w:pPr>
              <w:jc w:val="right"/>
            </w:pPr>
            <w:r>
              <w:rPr>
                <w:color w:val="000000"/>
                <w:sz w:val="24"/>
              </w:rPr>
              <w:t>0.15</w:t>
            </w:r>
          </w:p>
        </w:tc>
      </w:tr>
      <w:tr w:rsidR="00F62037">
        <w:tc>
          <w:tcPr>
            <w:tcW w:w="0" w:type="auto"/>
            <w:vAlign w:val="center"/>
          </w:tcPr>
          <w:p w:rsidR="00F62037" w:rsidRDefault="00336109">
            <w:pPr>
              <w:jc w:val="center"/>
            </w:pPr>
            <w:r>
              <w:rPr>
                <w:color w:val="000000"/>
                <w:sz w:val="24"/>
              </w:rPr>
              <w:t>4</w:t>
            </w:r>
          </w:p>
        </w:tc>
        <w:tc>
          <w:tcPr>
            <w:tcW w:w="0" w:type="auto"/>
            <w:vAlign w:val="center"/>
          </w:tcPr>
          <w:p w:rsidR="00F62037" w:rsidRDefault="00336109">
            <w:pPr>
              <w:jc w:val="center"/>
            </w:pPr>
            <w:r>
              <w:rPr>
                <w:color w:val="000000"/>
                <w:sz w:val="24"/>
              </w:rPr>
              <w:t>138379</w:t>
            </w:r>
          </w:p>
        </w:tc>
        <w:tc>
          <w:tcPr>
            <w:tcW w:w="0" w:type="auto"/>
            <w:vAlign w:val="center"/>
          </w:tcPr>
          <w:p w:rsidR="00F62037" w:rsidRDefault="00336109">
            <w:pPr>
              <w:jc w:val="center"/>
            </w:pPr>
            <w:r>
              <w:rPr>
                <w:color w:val="000000"/>
                <w:sz w:val="24"/>
              </w:rPr>
              <w:t>永熙优</w:t>
            </w:r>
            <w:r>
              <w:rPr>
                <w:color w:val="000000"/>
                <w:sz w:val="24"/>
              </w:rPr>
              <w:t>22</w:t>
            </w:r>
          </w:p>
        </w:tc>
        <w:tc>
          <w:tcPr>
            <w:tcW w:w="0" w:type="auto"/>
            <w:vAlign w:val="center"/>
          </w:tcPr>
          <w:p w:rsidR="00F62037" w:rsidRDefault="00336109">
            <w:pPr>
              <w:jc w:val="right"/>
            </w:pPr>
            <w:r>
              <w:rPr>
                <w:color w:val="000000"/>
                <w:sz w:val="24"/>
              </w:rPr>
              <w:t>100,000</w:t>
            </w:r>
          </w:p>
        </w:tc>
        <w:tc>
          <w:tcPr>
            <w:tcW w:w="0" w:type="auto"/>
            <w:vAlign w:val="center"/>
          </w:tcPr>
          <w:p w:rsidR="00F62037" w:rsidRDefault="00336109">
            <w:pPr>
              <w:jc w:val="right"/>
            </w:pPr>
            <w:r>
              <w:rPr>
                <w:color w:val="000000"/>
                <w:sz w:val="24"/>
              </w:rPr>
              <w:t>10,048,000.00</w:t>
            </w:r>
          </w:p>
        </w:tc>
        <w:tc>
          <w:tcPr>
            <w:tcW w:w="0" w:type="auto"/>
            <w:vAlign w:val="center"/>
          </w:tcPr>
          <w:p w:rsidR="00F62037" w:rsidRDefault="00336109">
            <w:pPr>
              <w:jc w:val="right"/>
            </w:pPr>
            <w:r>
              <w:rPr>
                <w:color w:val="000000"/>
                <w:sz w:val="24"/>
              </w:rPr>
              <w:t>0.15</w:t>
            </w:r>
          </w:p>
        </w:tc>
      </w:tr>
      <w:tr w:rsidR="00F62037">
        <w:tc>
          <w:tcPr>
            <w:tcW w:w="0" w:type="auto"/>
            <w:vAlign w:val="center"/>
          </w:tcPr>
          <w:p w:rsidR="00F62037" w:rsidRDefault="00336109">
            <w:pPr>
              <w:jc w:val="center"/>
            </w:pPr>
            <w:r>
              <w:rPr>
                <w:color w:val="000000"/>
                <w:sz w:val="24"/>
              </w:rPr>
              <w:t>4</w:t>
            </w:r>
          </w:p>
        </w:tc>
        <w:tc>
          <w:tcPr>
            <w:tcW w:w="0" w:type="auto"/>
            <w:vAlign w:val="center"/>
          </w:tcPr>
          <w:p w:rsidR="00F62037" w:rsidRDefault="00336109">
            <w:pPr>
              <w:jc w:val="center"/>
            </w:pPr>
            <w:r>
              <w:rPr>
                <w:color w:val="000000"/>
                <w:sz w:val="24"/>
              </w:rPr>
              <w:t>138380</w:t>
            </w:r>
          </w:p>
        </w:tc>
        <w:tc>
          <w:tcPr>
            <w:tcW w:w="0" w:type="auto"/>
            <w:vAlign w:val="center"/>
          </w:tcPr>
          <w:p w:rsidR="00F62037" w:rsidRDefault="00336109">
            <w:pPr>
              <w:jc w:val="center"/>
            </w:pPr>
            <w:r>
              <w:rPr>
                <w:color w:val="000000"/>
                <w:sz w:val="24"/>
              </w:rPr>
              <w:t>永熙优</w:t>
            </w:r>
            <w:r>
              <w:rPr>
                <w:color w:val="000000"/>
                <w:sz w:val="24"/>
              </w:rPr>
              <w:t>23</w:t>
            </w:r>
          </w:p>
        </w:tc>
        <w:tc>
          <w:tcPr>
            <w:tcW w:w="0" w:type="auto"/>
            <w:vAlign w:val="center"/>
          </w:tcPr>
          <w:p w:rsidR="00F62037" w:rsidRDefault="00336109">
            <w:pPr>
              <w:jc w:val="right"/>
            </w:pPr>
            <w:r>
              <w:rPr>
                <w:color w:val="000000"/>
                <w:sz w:val="24"/>
              </w:rPr>
              <w:t>100,000</w:t>
            </w:r>
          </w:p>
        </w:tc>
        <w:tc>
          <w:tcPr>
            <w:tcW w:w="0" w:type="auto"/>
            <w:vAlign w:val="center"/>
          </w:tcPr>
          <w:p w:rsidR="00F62037" w:rsidRDefault="00336109">
            <w:pPr>
              <w:jc w:val="right"/>
            </w:pPr>
            <w:r>
              <w:rPr>
                <w:color w:val="000000"/>
                <w:sz w:val="24"/>
              </w:rPr>
              <w:t>10,048,000.00</w:t>
            </w:r>
          </w:p>
        </w:tc>
        <w:tc>
          <w:tcPr>
            <w:tcW w:w="0" w:type="auto"/>
            <w:vAlign w:val="center"/>
          </w:tcPr>
          <w:p w:rsidR="00F62037" w:rsidRDefault="00336109">
            <w:pPr>
              <w:jc w:val="right"/>
            </w:pPr>
            <w:r>
              <w:rPr>
                <w:color w:val="000000"/>
                <w:sz w:val="24"/>
              </w:rPr>
              <w:t>0.15</w:t>
            </w:r>
          </w:p>
        </w:tc>
      </w:tr>
      <w:tr w:rsidR="00F62037">
        <w:tc>
          <w:tcPr>
            <w:tcW w:w="0" w:type="auto"/>
            <w:vAlign w:val="center"/>
          </w:tcPr>
          <w:p w:rsidR="00F62037" w:rsidRDefault="00336109">
            <w:pPr>
              <w:jc w:val="center"/>
            </w:pPr>
            <w:r>
              <w:rPr>
                <w:color w:val="000000"/>
                <w:sz w:val="24"/>
              </w:rPr>
              <w:t>4</w:t>
            </w:r>
          </w:p>
        </w:tc>
        <w:tc>
          <w:tcPr>
            <w:tcW w:w="0" w:type="auto"/>
            <w:vAlign w:val="center"/>
          </w:tcPr>
          <w:p w:rsidR="00F62037" w:rsidRDefault="00336109">
            <w:pPr>
              <w:jc w:val="center"/>
            </w:pPr>
            <w:r>
              <w:rPr>
                <w:color w:val="000000"/>
                <w:sz w:val="24"/>
              </w:rPr>
              <w:t>138381</w:t>
            </w:r>
          </w:p>
        </w:tc>
        <w:tc>
          <w:tcPr>
            <w:tcW w:w="0" w:type="auto"/>
            <w:vAlign w:val="center"/>
          </w:tcPr>
          <w:p w:rsidR="00F62037" w:rsidRDefault="00336109">
            <w:pPr>
              <w:jc w:val="center"/>
            </w:pPr>
            <w:r>
              <w:rPr>
                <w:color w:val="000000"/>
                <w:sz w:val="24"/>
              </w:rPr>
              <w:t>云庐</w:t>
            </w:r>
            <w:r>
              <w:rPr>
                <w:color w:val="000000"/>
                <w:sz w:val="24"/>
              </w:rPr>
              <w:t>1A1</w:t>
            </w:r>
          </w:p>
        </w:tc>
        <w:tc>
          <w:tcPr>
            <w:tcW w:w="0" w:type="auto"/>
            <w:vAlign w:val="center"/>
          </w:tcPr>
          <w:p w:rsidR="00F62037" w:rsidRDefault="00336109">
            <w:pPr>
              <w:jc w:val="right"/>
            </w:pPr>
            <w:r>
              <w:rPr>
                <w:color w:val="000000"/>
                <w:sz w:val="24"/>
              </w:rPr>
              <w:t>100,000</w:t>
            </w:r>
          </w:p>
        </w:tc>
        <w:tc>
          <w:tcPr>
            <w:tcW w:w="0" w:type="auto"/>
            <w:vAlign w:val="center"/>
          </w:tcPr>
          <w:p w:rsidR="00F62037" w:rsidRDefault="00336109">
            <w:pPr>
              <w:jc w:val="right"/>
            </w:pPr>
            <w:r>
              <w:rPr>
                <w:color w:val="000000"/>
                <w:sz w:val="24"/>
              </w:rPr>
              <w:t>10,048,000.00</w:t>
            </w:r>
          </w:p>
        </w:tc>
        <w:tc>
          <w:tcPr>
            <w:tcW w:w="0" w:type="auto"/>
            <w:vAlign w:val="center"/>
          </w:tcPr>
          <w:p w:rsidR="00F62037" w:rsidRDefault="00336109">
            <w:pPr>
              <w:jc w:val="right"/>
            </w:pPr>
            <w:r>
              <w:rPr>
                <w:color w:val="000000"/>
                <w:sz w:val="24"/>
              </w:rPr>
              <w:t>0.15</w:t>
            </w:r>
          </w:p>
        </w:tc>
      </w:tr>
      <w:tr w:rsidR="00F62037">
        <w:tc>
          <w:tcPr>
            <w:tcW w:w="0" w:type="auto"/>
            <w:vAlign w:val="center"/>
          </w:tcPr>
          <w:p w:rsidR="00F62037" w:rsidRDefault="00336109">
            <w:pPr>
              <w:jc w:val="center"/>
            </w:pPr>
            <w:r>
              <w:rPr>
                <w:color w:val="000000"/>
                <w:sz w:val="24"/>
              </w:rPr>
              <w:t>4</w:t>
            </w:r>
          </w:p>
        </w:tc>
        <w:tc>
          <w:tcPr>
            <w:tcW w:w="0" w:type="auto"/>
            <w:vAlign w:val="center"/>
          </w:tcPr>
          <w:p w:rsidR="00F62037" w:rsidRDefault="00336109">
            <w:pPr>
              <w:jc w:val="center"/>
            </w:pPr>
            <w:r>
              <w:rPr>
                <w:color w:val="000000"/>
                <w:sz w:val="24"/>
              </w:rPr>
              <w:t>138407</w:t>
            </w:r>
          </w:p>
        </w:tc>
        <w:tc>
          <w:tcPr>
            <w:tcW w:w="0" w:type="auto"/>
            <w:vAlign w:val="center"/>
          </w:tcPr>
          <w:p w:rsidR="00F62037" w:rsidRDefault="00336109">
            <w:pPr>
              <w:jc w:val="center"/>
            </w:pPr>
            <w:r>
              <w:rPr>
                <w:color w:val="000000"/>
                <w:sz w:val="24"/>
              </w:rPr>
              <w:t>联易融</w:t>
            </w:r>
            <w:r>
              <w:rPr>
                <w:color w:val="000000"/>
                <w:sz w:val="24"/>
              </w:rPr>
              <w:t>18</w:t>
            </w:r>
          </w:p>
        </w:tc>
        <w:tc>
          <w:tcPr>
            <w:tcW w:w="0" w:type="auto"/>
            <w:vAlign w:val="center"/>
          </w:tcPr>
          <w:p w:rsidR="00F62037" w:rsidRDefault="00336109">
            <w:pPr>
              <w:jc w:val="right"/>
            </w:pPr>
            <w:r>
              <w:rPr>
                <w:color w:val="000000"/>
                <w:sz w:val="24"/>
              </w:rPr>
              <w:t>100,000</w:t>
            </w:r>
          </w:p>
        </w:tc>
        <w:tc>
          <w:tcPr>
            <w:tcW w:w="0" w:type="auto"/>
            <w:vAlign w:val="center"/>
          </w:tcPr>
          <w:p w:rsidR="00F62037" w:rsidRDefault="00336109">
            <w:pPr>
              <w:jc w:val="right"/>
            </w:pPr>
            <w:r>
              <w:rPr>
                <w:color w:val="000000"/>
                <w:sz w:val="24"/>
              </w:rPr>
              <w:t>10,048,000.00</w:t>
            </w:r>
          </w:p>
        </w:tc>
        <w:tc>
          <w:tcPr>
            <w:tcW w:w="0" w:type="auto"/>
            <w:vAlign w:val="center"/>
          </w:tcPr>
          <w:p w:rsidR="00F62037" w:rsidRDefault="00336109">
            <w:pPr>
              <w:jc w:val="right"/>
            </w:pPr>
            <w:r>
              <w:rPr>
                <w:color w:val="000000"/>
                <w:sz w:val="24"/>
              </w:rPr>
              <w:t>0.15</w:t>
            </w:r>
          </w:p>
        </w:tc>
      </w:tr>
      <w:tr w:rsidR="00F62037">
        <w:tc>
          <w:tcPr>
            <w:tcW w:w="0" w:type="auto"/>
            <w:vAlign w:val="center"/>
          </w:tcPr>
          <w:p w:rsidR="00F62037" w:rsidRDefault="00336109">
            <w:pPr>
              <w:jc w:val="center"/>
            </w:pPr>
            <w:r>
              <w:rPr>
                <w:color w:val="000000"/>
                <w:sz w:val="24"/>
              </w:rPr>
              <w:t>8</w:t>
            </w:r>
          </w:p>
        </w:tc>
        <w:tc>
          <w:tcPr>
            <w:tcW w:w="0" w:type="auto"/>
            <w:vAlign w:val="center"/>
          </w:tcPr>
          <w:p w:rsidR="00F62037" w:rsidRDefault="00336109">
            <w:pPr>
              <w:jc w:val="center"/>
            </w:pPr>
            <w:r>
              <w:rPr>
                <w:color w:val="000000"/>
                <w:sz w:val="24"/>
              </w:rPr>
              <w:t>138427</w:t>
            </w:r>
          </w:p>
        </w:tc>
        <w:tc>
          <w:tcPr>
            <w:tcW w:w="0" w:type="auto"/>
            <w:vAlign w:val="center"/>
          </w:tcPr>
          <w:p w:rsidR="00F62037" w:rsidRDefault="00336109">
            <w:pPr>
              <w:jc w:val="center"/>
            </w:pPr>
            <w:r>
              <w:rPr>
                <w:color w:val="000000"/>
                <w:sz w:val="24"/>
              </w:rPr>
              <w:t>桂语</w:t>
            </w:r>
            <w:r>
              <w:rPr>
                <w:color w:val="000000"/>
                <w:sz w:val="24"/>
              </w:rPr>
              <w:t>1A1</w:t>
            </w:r>
          </w:p>
        </w:tc>
        <w:tc>
          <w:tcPr>
            <w:tcW w:w="0" w:type="auto"/>
            <w:vAlign w:val="center"/>
          </w:tcPr>
          <w:p w:rsidR="00F62037" w:rsidRDefault="00336109">
            <w:pPr>
              <w:jc w:val="right"/>
            </w:pPr>
            <w:r>
              <w:rPr>
                <w:color w:val="000000"/>
                <w:sz w:val="24"/>
              </w:rPr>
              <w:t>100,000</w:t>
            </w:r>
          </w:p>
        </w:tc>
        <w:tc>
          <w:tcPr>
            <w:tcW w:w="0" w:type="auto"/>
            <w:vAlign w:val="center"/>
          </w:tcPr>
          <w:p w:rsidR="00F62037" w:rsidRDefault="00336109">
            <w:pPr>
              <w:jc w:val="right"/>
            </w:pPr>
            <w:r>
              <w:rPr>
                <w:color w:val="000000"/>
                <w:sz w:val="24"/>
              </w:rPr>
              <w:t>10,046,000.00</w:t>
            </w:r>
          </w:p>
        </w:tc>
        <w:tc>
          <w:tcPr>
            <w:tcW w:w="0" w:type="auto"/>
            <w:vAlign w:val="center"/>
          </w:tcPr>
          <w:p w:rsidR="00F62037" w:rsidRDefault="00336109">
            <w:pPr>
              <w:jc w:val="right"/>
            </w:pPr>
            <w:r>
              <w:rPr>
                <w:color w:val="000000"/>
                <w:sz w:val="24"/>
              </w:rPr>
              <w:t>0.15</w:t>
            </w:r>
          </w:p>
        </w:tc>
      </w:tr>
      <w:tr w:rsidR="00F62037">
        <w:tc>
          <w:tcPr>
            <w:tcW w:w="0" w:type="auto"/>
            <w:vAlign w:val="center"/>
          </w:tcPr>
          <w:p w:rsidR="00F62037" w:rsidRDefault="00336109">
            <w:pPr>
              <w:jc w:val="center"/>
            </w:pPr>
            <w:r>
              <w:rPr>
                <w:color w:val="000000"/>
                <w:sz w:val="24"/>
              </w:rPr>
              <w:t>9</w:t>
            </w:r>
          </w:p>
        </w:tc>
        <w:tc>
          <w:tcPr>
            <w:tcW w:w="0" w:type="auto"/>
            <w:vAlign w:val="center"/>
          </w:tcPr>
          <w:p w:rsidR="00F62037" w:rsidRDefault="00336109">
            <w:pPr>
              <w:jc w:val="center"/>
            </w:pPr>
            <w:r>
              <w:rPr>
                <w:color w:val="000000"/>
                <w:sz w:val="24"/>
              </w:rPr>
              <w:t>138452</w:t>
            </w:r>
          </w:p>
        </w:tc>
        <w:tc>
          <w:tcPr>
            <w:tcW w:w="0" w:type="auto"/>
            <w:vAlign w:val="center"/>
          </w:tcPr>
          <w:p w:rsidR="00F62037" w:rsidRDefault="00336109">
            <w:pPr>
              <w:jc w:val="center"/>
            </w:pPr>
            <w:r>
              <w:rPr>
                <w:color w:val="000000"/>
                <w:sz w:val="24"/>
              </w:rPr>
              <w:t>瑞新</w:t>
            </w:r>
            <w:r>
              <w:rPr>
                <w:color w:val="000000"/>
                <w:sz w:val="24"/>
              </w:rPr>
              <w:t>14A1</w:t>
            </w:r>
          </w:p>
        </w:tc>
        <w:tc>
          <w:tcPr>
            <w:tcW w:w="0" w:type="auto"/>
            <w:vAlign w:val="center"/>
          </w:tcPr>
          <w:p w:rsidR="00F62037" w:rsidRDefault="00336109">
            <w:pPr>
              <w:jc w:val="right"/>
            </w:pPr>
            <w:r>
              <w:rPr>
                <w:color w:val="000000"/>
                <w:sz w:val="24"/>
              </w:rPr>
              <w:t>100,000</w:t>
            </w:r>
          </w:p>
        </w:tc>
        <w:tc>
          <w:tcPr>
            <w:tcW w:w="0" w:type="auto"/>
            <w:vAlign w:val="center"/>
          </w:tcPr>
          <w:p w:rsidR="00F62037" w:rsidRDefault="00336109">
            <w:pPr>
              <w:jc w:val="right"/>
            </w:pPr>
            <w:r>
              <w:rPr>
                <w:color w:val="000000"/>
                <w:sz w:val="24"/>
              </w:rPr>
              <w:t>10,029,000.00</w:t>
            </w:r>
          </w:p>
        </w:tc>
        <w:tc>
          <w:tcPr>
            <w:tcW w:w="0" w:type="auto"/>
            <w:vAlign w:val="center"/>
          </w:tcPr>
          <w:p w:rsidR="00F62037" w:rsidRDefault="00336109">
            <w:pPr>
              <w:jc w:val="right"/>
            </w:pPr>
            <w:r>
              <w:rPr>
                <w:color w:val="000000"/>
                <w:sz w:val="24"/>
              </w:rPr>
              <w:t>0.15</w:t>
            </w:r>
          </w:p>
        </w:tc>
      </w:tr>
      <w:tr w:rsidR="00F62037">
        <w:tc>
          <w:tcPr>
            <w:tcW w:w="0" w:type="auto"/>
            <w:vAlign w:val="center"/>
          </w:tcPr>
          <w:p w:rsidR="00F62037" w:rsidRDefault="00336109">
            <w:pPr>
              <w:jc w:val="center"/>
            </w:pPr>
            <w:r>
              <w:rPr>
                <w:color w:val="000000"/>
                <w:sz w:val="24"/>
              </w:rPr>
              <w:t>10</w:t>
            </w:r>
          </w:p>
        </w:tc>
        <w:tc>
          <w:tcPr>
            <w:tcW w:w="0" w:type="auto"/>
            <w:vAlign w:val="center"/>
          </w:tcPr>
          <w:p w:rsidR="00F62037" w:rsidRDefault="00336109">
            <w:pPr>
              <w:jc w:val="center"/>
            </w:pPr>
            <w:r>
              <w:rPr>
                <w:color w:val="000000"/>
                <w:sz w:val="24"/>
              </w:rPr>
              <w:t>138456</w:t>
            </w:r>
          </w:p>
        </w:tc>
        <w:tc>
          <w:tcPr>
            <w:tcW w:w="0" w:type="auto"/>
            <w:vAlign w:val="center"/>
          </w:tcPr>
          <w:p w:rsidR="00F62037" w:rsidRDefault="00336109">
            <w:pPr>
              <w:jc w:val="center"/>
            </w:pPr>
            <w:r>
              <w:rPr>
                <w:color w:val="000000"/>
                <w:sz w:val="24"/>
              </w:rPr>
              <w:t>链融</w:t>
            </w:r>
            <w:r>
              <w:rPr>
                <w:color w:val="000000"/>
                <w:sz w:val="24"/>
              </w:rPr>
              <w:t>22A1</w:t>
            </w:r>
          </w:p>
        </w:tc>
        <w:tc>
          <w:tcPr>
            <w:tcW w:w="0" w:type="auto"/>
            <w:vAlign w:val="center"/>
          </w:tcPr>
          <w:p w:rsidR="00F62037" w:rsidRDefault="00336109">
            <w:pPr>
              <w:jc w:val="right"/>
            </w:pPr>
            <w:r>
              <w:rPr>
                <w:color w:val="000000"/>
                <w:sz w:val="24"/>
              </w:rPr>
              <w:t>100,000</w:t>
            </w:r>
          </w:p>
        </w:tc>
        <w:tc>
          <w:tcPr>
            <w:tcW w:w="0" w:type="auto"/>
            <w:vAlign w:val="center"/>
          </w:tcPr>
          <w:p w:rsidR="00F62037" w:rsidRDefault="00336109">
            <w:pPr>
              <w:jc w:val="right"/>
            </w:pPr>
            <w:r>
              <w:rPr>
                <w:color w:val="000000"/>
                <w:sz w:val="24"/>
              </w:rPr>
              <w:t>10,028,000.00</w:t>
            </w:r>
          </w:p>
        </w:tc>
        <w:tc>
          <w:tcPr>
            <w:tcW w:w="0" w:type="auto"/>
            <w:vAlign w:val="center"/>
          </w:tcPr>
          <w:p w:rsidR="00F62037" w:rsidRDefault="00336109">
            <w:pPr>
              <w:jc w:val="right"/>
            </w:pPr>
            <w:r>
              <w:rPr>
                <w:color w:val="000000"/>
                <w:sz w:val="24"/>
              </w:rPr>
              <w:t>0.15</w:t>
            </w:r>
          </w:p>
        </w:tc>
      </w:tr>
    </w:tbl>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B249C0" w:rsidRDefault="00B249C0" w:rsidP="00B249C0">
      <w:pPr>
        <w:spacing w:line="360" w:lineRule="auto"/>
        <w:ind w:firstLineChars="200" w:firstLine="480"/>
      </w:pPr>
      <w:r>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t>5.11.1</w:t>
      </w:r>
      <w:r w:rsidR="00293065">
        <w:rPr>
          <w:rFonts w:hint="eastAsia"/>
          <w:color w:val="000000"/>
          <w:sz w:val="24"/>
        </w:rPr>
        <w:t xml:space="preserve"> </w:t>
      </w:r>
      <w:r w:rsidRPr="00414367">
        <w:rPr>
          <w:color w:val="000000"/>
          <w:sz w:val="24"/>
        </w:rPr>
        <w:t>2020</w:t>
      </w:r>
      <w:r w:rsidRPr="00414367">
        <w:rPr>
          <w:color w:val="000000"/>
          <w:sz w:val="24"/>
        </w:rPr>
        <w:t>年</w:t>
      </w:r>
      <w:r w:rsidRPr="00414367">
        <w:rPr>
          <w:color w:val="000000"/>
          <w:sz w:val="24"/>
        </w:rPr>
        <w:t>1</w:t>
      </w:r>
      <w:r w:rsidRPr="00414367">
        <w:rPr>
          <w:color w:val="000000"/>
          <w:sz w:val="24"/>
        </w:rPr>
        <w:t>月</w:t>
      </w:r>
      <w:r w:rsidRPr="00414367">
        <w:rPr>
          <w:color w:val="000000"/>
          <w:sz w:val="24"/>
        </w:rPr>
        <w:t>6</w:t>
      </w:r>
      <w:r w:rsidRPr="00414367">
        <w:rPr>
          <w:color w:val="000000"/>
          <w:sz w:val="24"/>
        </w:rPr>
        <w:t>日，深圳市交通运输局依据《建设工程安全生产管理条例》第六十二条第（三）项、《中华人民共和国安全生产法》第九十六条第（一）项，对中国中铁股份有限公司</w:t>
      </w:r>
      <w:r w:rsidRPr="00414367">
        <w:rPr>
          <w:color w:val="000000"/>
          <w:sz w:val="24"/>
        </w:rPr>
        <w:t>“</w:t>
      </w:r>
      <w:r w:rsidRPr="00414367">
        <w:rPr>
          <w:color w:val="000000"/>
          <w:sz w:val="24"/>
        </w:rPr>
        <w:t>未在施工现场的危险部位设置明显的安全警示标志，或者未按照国家有关规定在施工现场设置消防通道、消防水源、配备消防设施和灭火器材</w:t>
      </w:r>
      <w:r w:rsidRPr="00414367">
        <w:rPr>
          <w:color w:val="000000"/>
          <w:sz w:val="24"/>
        </w:rPr>
        <w:t>“</w:t>
      </w:r>
      <w:r w:rsidRPr="00414367">
        <w:rPr>
          <w:color w:val="000000"/>
          <w:sz w:val="24"/>
        </w:rPr>
        <w:t>、</w:t>
      </w:r>
      <w:r w:rsidRPr="00414367">
        <w:rPr>
          <w:color w:val="000000"/>
          <w:sz w:val="24"/>
        </w:rPr>
        <w:t>”</w:t>
      </w:r>
      <w:r w:rsidRPr="00414367">
        <w:rPr>
          <w:color w:val="000000"/>
          <w:sz w:val="24"/>
        </w:rPr>
        <w:t>未</w:t>
      </w:r>
      <w:r w:rsidRPr="00414367">
        <w:rPr>
          <w:color w:val="000000"/>
          <w:sz w:val="24"/>
        </w:rPr>
        <w:lastRenderedPageBreak/>
        <w:t>在有较大危险因素的生产经营场所和有关设施、设备上设置明显的安全警示标志</w:t>
      </w:r>
      <w:r w:rsidRPr="00414367">
        <w:rPr>
          <w:color w:val="000000"/>
          <w:sz w:val="24"/>
        </w:rPr>
        <w:t>”</w:t>
      </w:r>
      <w:r w:rsidRPr="00414367">
        <w:rPr>
          <w:color w:val="000000"/>
          <w:sz w:val="24"/>
        </w:rPr>
        <w:t>的行为罚款</w:t>
      </w:r>
      <w:r w:rsidRPr="00414367">
        <w:rPr>
          <w:color w:val="000000"/>
          <w:sz w:val="24"/>
        </w:rPr>
        <w:t>10000</w:t>
      </w:r>
      <w:r w:rsidRPr="00414367">
        <w:rPr>
          <w:color w:val="000000"/>
          <w:sz w:val="24"/>
        </w:rPr>
        <w:t>元。</w:t>
      </w:r>
    </w:p>
    <w:p w:rsidR="00F62037" w:rsidRDefault="00336109">
      <w:pPr>
        <w:widowControl/>
        <w:spacing w:line="360" w:lineRule="auto"/>
        <w:rPr>
          <w:color w:val="000000"/>
          <w:sz w:val="24"/>
        </w:rPr>
      </w:pPr>
      <w:r>
        <w:rPr>
          <w:color w:val="000000"/>
          <w:sz w:val="24"/>
        </w:rPr>
        <w:t>本基金投资</w:t>
      </w:r>
      <w:r>
        <w:rPr>
          <w:color w:val="000000"/>
          <w:sz w:val="24"/>
        </w:rPr>
        <w:t>18</w:t>
      </w:r>
      <w:r>
        <w:rPr>
          <w:color w:val="000000"/>
          <w:sz w:val="24"/>
        </w:rPr>
        <w:t>中铁股</w:t>
      </w:r>
      <w:r>
        <w:rPr>
          <w:color w:val="000000"/>
          <w:sz w:val="24"/>
        </w:rPr>
        <w:t>MTN002A</w:t>
      </w:r>
      <w:r>
        <w:rPr>
          <w:color w:val="000000"/>
          <w:sz w:val="24"/>
        </w:rPr>
        <w:t>的投资决策程序符合公司投资制度的规定。</w:t>
      </w:r>
    </w:p>
    <w:p w:rsidR="00F62037" w:rsidRDefault="00336109">
      <w:pPr>
        <w:widowControl/>
        <w:spacing w:line="360" w:lineRule="auto"/>
        <w:rPr>
          <w:color w:val="000000"/>
          <w:sz w:val="24"/>
        </w:rPr>
      </w:pPr>
      <w:r>
        <w:rPr>
          <w:color w:val="000000"/>
          <w:sz w:val="24"/>
        </w:rPr>
        <w:t>除</w:t>
      </w:r>
      <w:r>
        <w:rPr>
          <w:color w:val="000000"/>
          <w:sz w:val="24"/>
        </w:rPr>
        <w:t>18</w:t>
      </w:r>
      <w:r>
        <w:rPr>
          <w:color w:val="000000"/>
          <w:sz w:val="24"/>
        </w:rPr>
        <w:t>中铁股</w:t>
      </w:r>
      <w:r>
        <w:rPr>
          <w:color w:val="000000"/>
          <w:sz w:val="24"/>
        </w:rPr>
        <w:t>MTN002A</w:t>
      </w:r>
      <w:r>
        <w:rPr>
          <w:color w:val="000000"/>
          <w:sz w:val="24"/>
        </w:rPr>
        <w:t>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本基金本报告期没有投资股票，因此不存在投资的前十名股票超出基金合同规定的备选股票库情况。</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57,029.63</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120,775,826.87</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15,831,188.39</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136,664,044.89</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本基金本报告期末未持有处于转股期的可转换债券。</w:t>
      </w:r>
    </w:p>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本基金本报告期末未持有股票。</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易方达信用债债券</w:t>
            </w:r>
            <w:r w:rsidRPr="00FA472B">
              <w:rPr>
                <w:sz w:val="24"/>
              </w:rPr>
              <w:t>A</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易方达信用债债券</w:t>
            </w:r>
            <w:r w:rsidRPr="00FA472B">
              <w:rPr>
                <w:sz w:val="24"/>
              </w:rPr>
              <w:t>C</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5,002,486,487.44</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918,183,819.62</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1,895,397,163.09</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958,392,103.56</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lastRenderedPageBreak/>
              <w:t>减：报告期基金总赎回份额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1,920,661,631.64</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894,345,166.40</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4,977,222,018.89</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982,230,756.78</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F016DD" w:rsidRPr="00DF18FE" w:rsidRDefault="00CC78C7" w:rsidP="00DF18FE">
      <w:pPr>
        <w:spacing w:line="360" w:lineRule="auto"/>
        <w:ind w:firstLineChars="200" w:firstLine="480"/>
        <w:rPr>
          <w:color w:val="000000"/>
          <w:sz w:val="24"/>
        </w:rPr>
      </w:pPr>
      <w:r w:rsidRPr="00DF18FE">
        <w:rPr>
          <w:color w:val="000000"/>
          <w:sz w:val="24"/>
        </w:rPr>
        <w:t>本报告期内基金管理人未持有本基金份额。</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8.1</w:t>
      </w:r>
      <w:r w:rsidRPr="00E8153C">
        <w:rPr>
          <w:color w:val="000000"/>
          <w:kern w:val="0"/>
          <w:sz w:val="24"/>
        </w:rPr>
        <w:t>备查文件目录</w:t>
      </w:r>
    </w:p>
    <w:p w:rsidR="00F62037" w:rsidRDefault="00336109">
      <w:pPr>
        <w:spacing w:line="360" w:lineRule="auto"/>
        <w:ind w:firstLineChars="200" w:firstLine="480"/>
        <w:rPr>
          <w:color w:val="000000"/>
          <w:sz w:val="24"/>
        </w:rPr>
      </w:pPr>
      <w:r>
        <w:rPr>
          <w:color w:val="000000"/>
          <w:sz w:val="24"/>
        </w:rPr>
        <w:t>1.</w:t>
      </w:r>
      <w:r>
        <w:rPr>
          <w:color w:val="000000"/>
          <w:sz w:val="24"/>
        </w:rPr>
        <w:t>中国证监会核准易方达信用债债券型证券投资基金募集的文件；</w:t>
      </w:r>
    </w:p>
    <w:p w:rsidR="00F62037" w:rsidRDefault="00336109">
      <w:pPr>
        <w:spacing w:line="360" w:lineRule="auto"/>
        <w:ind w:firstLineChars="200" w:firstLine="480"/>
        <w:rPr>
          <w:color w:val="000000"/>
          <w:sz w:val="24"/>
        </w:rPr>
      </w:pPr>
      <w:r>
        <w:rPr>
          <w:color w:val="000000"/>
          <w:sz w:val="24"/>
        </w:rPr>
        <w:t>2.</w:t>
      </w:r>
      <w:r>
        <w:rPr>
          <w:color w:val="000000"/>
          <w:sz w:val="24"/>
        </w:rPr>
        <w:t>《易方达信用债债券型证券投资基金基金合同》；</w:t>
      </w:r>
    </w:p>
    <w:p w:rsidR="00F62037" w:rsidRDefault="00336109">
      <w:pPr>
        <w:spacing w:line="360" w:lineRule="auto"/>
        <w:ind w:firstLineChars="200" w:firstLine="480"/>
        <w:rPr>
          <w:color w:val="000000"/>
          <w:sz w:val="24"/>
        </w:rPr>
      </w:pPr>
      <w:r>
        <w:rPr>
          <w:color w:val="000000"/>
          <w:sz w:val="24"/>
        </w:rPr>
        <w:t>3.</w:t>
      </w:r>
      <w:r>
        <w:rPr>
          <w:color w:val="000000"/>
          <w:sz w:val="24"/>
        </w:rPr>
        <w:t>《易方达信用债债券型证券投资基金托管协议》；</w:t>
      </w:r>
    </w:p>
    <w:p w:rsidR="00F62037" w:rsidRDefault="00336109">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8BA" w:rsidRDefault="00DB78BA">
      <w:r>
        <w:separator/>
      </w:r>
    </w:p>
  </w:endnote>
  <w:endnote w:type="continuationSeparator" w:id="0">
    <w:p w:rsidR="00DB78BA" w:rsidRDefault="00DB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D4DA2">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0D4DA2">
      <w:rPr>
        <w:noProof/>
        <w:szCs w:val="21"/>
      </w:rPr>
      <w:t>13</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0D4DA2">
      <w:rPr>
        <w:rStyle w:val="a7"/>
        <w:noProof/>
      </w:rPr>
      <w:t>7</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8BA" w:rsidRDefault="00DB78BA">
      <w:r>
        <w:separator/>
      </w:r>
    </w:p>
  </w:footnote>
  <w:footnote w:type="continuationSeparator" w:id="0">
    <w:p w:rsidR="00DB78BA" w:rsidRDefault="00DB7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易方达信用债债券型证券投资基金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A2"/>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623F"/>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6109"/>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B78BA"/>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037"/>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DB26AB3-0D85-446F-933A-ECC8210A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410</TotalTime>
  <Pages>13</Pages>
  <Words>1174</Words>
  <Characters>6695</Characters>
  <Application>Microsoft Office Word</Application>
  <DocSecurity>0</DocSecurity>
  <Lines>55</Lines>
  <Paragraphs>15</Paragraphs>
  <ScaleCrop>false</ScaleCrop>
  <Company>TRT. Ltd. Co.</Company>
  <LinksUpToDate>false</LinksUpToDate>
  <CharactersWithSpaces>7854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175</cp:revision>
  <cp:lastPrinted>2007-07-19T00:46:00Z</cp:lastPrinted>
  <dcterms:created xsi:type="dcterms:W3CDTF">2013-06-21T06:56:00Z</dcterms:created>
  <dcterms:modified xsi:type="dcterms:W3CDTF">2020-07-16T10:21:00Z</dcterms:modified>
</cp:coreProperties>
</file>