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02085F" w:rsidR="00EA3F40" w:rsidRDefault="00EA3F40" w:rsidRPr="0097021E">
      <w:pPr>
        <w:spacing w:line="360" w:lineRule="auto"/>
        <w:jc w:val="center"/>
        <w:rPr>
          <w:rFonts w:ascii="宋体" w:hAnsi="宋体"/>
          <w:b/>
          <w:sz w:val="36"/>
          <w:szCs w:val="36"/>
        </w:rPr>
      </w:pPr>
      <w:r w:rsidRPr="0097021E">
        <w:rPr>
          <w:rFonts w:ascii="宋体"/>
          <w:b/>
          <w:sz w:val="36"/>
          <w:szCs w:val="36"/>
        </w:rPr>
        <w:t/>
      </w:r>
      <w:r w:rsidRPr="0097021E">
        <w:rPr>
          <w:rFonts w:ascii="宋体" w:hAnsi="宋体"/>
          <w:b/>
          <w:sz w:val="36"/>
          <w:szCs w:val="36"/>
        </w:rPr>
        <w:t>易方达天天理财货币市场基金</w:t>
      </w:r>
    </w:p>
    <w:p w:rsidP="0002085F" w:rsidR="00EA3F40" w:rsidRDefault="00EA3F40" w:rsidRPr="0097021E">
      <w:pPr>
        <w:spacing w:line="360" w:lineRule="auto"/>
        <w:jc w:val="center"/>
        <w:rPr>
          <w:rFonts w:ascii="宋体" w:hAnsi="宋体"/>
          <w:b/>
          <w:sz w:val="36"/>
          <w:szCs w:val="36"/>
        </w:rPr>
      </w:pPr>
      <w:r w:rsidRPr="0097021E">
        <w:rPr>
          <w:rFonts w:ascii="宋体" w:hAnsi="宋体"/>
          <w:b/>
          <w:sz w:val="36"/>
          <w:szCs w:val="36"/>
        </w:rPr>
        <w:t>2020年第2季度报告</w:t>
      </w:r>
    </w:p>
    <w:p w:rsidP="0002085F" w:rsidR="00EA3F40" w:rsidRDefault="00EA3F40" w:rsidRPr="00936106">
      <w:pPr>
        <w:spacing w:line="360" w:lineRule="auto"/>
        <w:jc w:val="center"/>
        <w:rPr>
          <w:rFonts w:ascii="宋体" w:hAnsi="宋体"/>
          <w:b/>
          <w:sz w:val="24"/>
          <w:szCs w:val="36"/>
        </w:rPr>
      </w:pPr>
      <w:r w:rsidRPr="00936106">
        <w:rPr>
          <w:rFonts w:ascii="宋体"/>
          <w:b/>
          <w:sz w:val="24"/>
          <w:szCs w:val="36"/>
        </w:rPr>
        <w:t/>
      </w:r>
      <w:r w:rsidRPr="00936106">
        <w:rPr>
          <w:rFonts w:ascii="宋体" w:hAnsi="宋体"/>
          <w:b/>
          <w:sz w:val="24"/>
          <w:szCs w:val="36"/>
        </w:rPr>
        <w:t>2020年6月30日</w:t>
      </w: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rPr>
          <w:rFonts w:ascii="宋体"/>
          <w:b/>
          <w:color w:val="000000"/>
          <w:sz w:val="24"/>
        </w:rPr>
      </w:pP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r w:rsidRPr="0097021E">
        <w:rPr>
          <w:rFonts w:ascii="宋体" w:hAnsi="宋体"/>
          <w:b/>
          <w:color w:val="000000"/>
          <w:sz w:val="24"/>
        </w:rPr>
        <w:t>易方达基金管理有限公司</w:t>
      </w: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r w:rsidRPr="0097021E">
        <w:rPr>
          <w:rFonts w:ascii="宋体" w:hAnsi="宋体"/>
          <w:b/>
          <w:color w:val="000000"/>
          <w:sz w:val="24"/>
        </w:rPr>
        <w:t>中国工商银行股份有限公司</w:t>
      </w:r>
    </w:p>
    <w:p w:rsidP="009216A0" w:rsidR="00EA3F40" w:rsidRDefault="00EA3F40" w:rsidRPr="0097021E">
      <w:pPr>
        <w:spacing w:line="360" w:lineRule="auto"/>
        <w:ind w:firstLine="2168" w:firstLineChars="900"/>
        <w:rPr>
          <w:rFonts w:ascii="宋体" w:hAnsi="宋体"/>
          <w:b/>
          <w:color w:val="000000"/>
          <w:sz w:val="24"/>
        </w:rPr>
        <w:sectPr w:rsidR="00EA3F40"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r w:rsidRPr="0097021E">
        <w:rPr>
          <w:rFonts w:ascii="宋体" w:hAnsi="宋体"/>
          <w:b/>
          <w:color w:val="000000"/>
          <w:sz w:val="24"/>
        </w:rPr>
        <w:t>二〇二〇年七月二十一日</w:t>
      </w:r>
    </w:p>
    <w:p w:rsidP="00E23C1B" w:rsidR="00EA3F40" w:rsidRDefault="00EA3F40"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本报告期自2020年4月1日起至6月30日止。</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dxa" w:w="973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310"/>
        <w:gridCol w:w="1856"/>
        <w:gridCol w:w="1829"/>
        <w:gridCol w:w="28"/>
        <w:gridCol w:w="1856"/>
        <w:gridCol w:w="1857"/>
      </w:tblGrid>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kern w:val="0"/>
                <w:sz w:val="24"/>
              </w:rPr>
            </w:pPr>
            <w:r w:rsidRPr="00613409">
              <w:rPr>
                <w:kern w:val="0"/>
                <w:sz w:val="24"/>
              </w:rPr>
              <w:t>基金简称</w:t>
            </w:r>
          </w:p>
        </w:tc>
        <w:tc>
          <w:tcPr>
            <w:tcW w:type="dxa" w:w="7426"/>
            <w:gridSpan w:val="5"/>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易方达天天理财货币</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kern w:val="0"/>
                <w:sz w:val="24"/>
              </w:rPr>
            </w:pPr>
            <w:r w:rsidRPr="00613409">
              <w:rPr>
                <w:kern w:val="0"/>
                <w:sz w:val="24"/>
              </w:rPr>
              <w:t>基金主代码</w:t>
            </w:r>
          </w:p>
        </w:tc>
        <w:tc>
          <w:tcPr>
            <w:tcW w:type="dxa" w:w="7426"/>
            <w:gridSpan w:val="5"/>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000009</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sz w:val="24"/>
              </w:rPr>
            </w:pPr>
            <w:r w:rsidRPr="00613409">
              <w:rPr>
                <w:kern w:val="0"/>
                <w:sz w:val="24"/>
              </w:rPr>
              <w:t>基金运作方式</w:t>
            </w:r>
          </w:p>
        </w:tc>
        <w:tc>
          <w:tcPr>
            <w:tcW w:type="dxa" w:w="7426"/>
            <w:gridSpan w:val="5"/>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契约型开放式</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sz w:val="24"/>
              </w:rPr>
            </w:pPr>
            <w:r w:rsidRPr="00613409">
              <w:rPr>
                <w:kern w:val="0"/>
                <w:sz w:val="24"/>
              </w:rPr>
              <w:t>基金合同生效日</w:t>
            </w:r>
          </w:p>
        </w:tc>
        <w:tc>
          <w:tcPr>
            <w:tcW w:type="dxa" w:w="7426"/>
            <w:gridSpan w:val="5"/>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2013年3月4日</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sz w:val="24"/>
              </w:rPr>
            </w:pPr>
            <w:r w:rsidRPr="00613409">
              <w:rPr>
                <w:kern w:val="0"/>
                <w:sz w:val="24"/>
              </w:rPr>
              <w:t>报告期末基金份额总额</w:t>
            </w:r>
          </w:p>
        </w:tc>
        <w:tc>
          <w:tcPr>
            <w:tcW w:type="dxa" w:w="7426"/>
            <w:gridSpan w:val="5"/>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34,785,540,289.51</w:t>
            </w:r>
            <w:r w:rsidRPr="00613409">
              <w:rPr>
                <w:color w:val="000000"/>
                <w:kern w:val="0"/>
                <w:sz w:val="24"/>
              </w:rPr>
              <w:t>份</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sz w:val="24"/>
              </w:rPr>
            </w:pPr>
            <w:r w:rsidRPr="00613409">
              <w:rPr>
                <w:kern w:val="0"/>
                <w:sz w:val="24"/>
              </w:rPr>
              <w:t>投资目标</w:t>
            </w:r>
          </w:p>
        </w:tc>
        <w:tc>
          <w:tcPr>
            <w:tcW w:type="dxa" w:w="7426"/>
            <w:gridSpan w:val="5"/>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在有效控制投资风险和保持高流动性的基础上，力争获得高于业绩比较基准的投资回报。</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sz w:val="24"/>
              </w:rPr>
            </w:pPr>
            <w:r w:rsidRPr="00613409">
              <w:rPr>
                <w:kern w:val="0"/>
                <w:sz w:val="24"/>
              </w:rPr>
              <w:t>投资策略</w:t>
            </w:r>
          </w:p>
        </w:tc>
        <w:tc>
          <w:tcPr>
            <w:tcW w:type="dxa" w:w="7426"/>
            <w:gridSpan w:val="5"/>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利用定性分析和定量分析方法，通过对短期金融工具的积极投资，在有效控制投资风险和保持高流动性的基础上，力争获得高于业绩比较基准的投资回报。</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sz w:val="24"/>
              </w:rPr>
            </w:pPr>
            <w:r w:rsidRPr="00613409">
              <w:rPr>
                <w:kern w:val="0"/>
                <w:sz w:val="24"/>
              </w:rPr>
              <w:t>业绩比较基准</w:t>
            </w:r>
          </w:p>
        </w:tc>
        <w:tc>
          <w:tcPr>
            <w:tcW w:type="dxa" w:w="7426"/>
            <w:gridSpan w:val="5"/>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中国人民银行公布的活期存款基准利率的税后收益率，即活期存款基准利率×(1－利息税税率)</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kern w:val="0"/>
                <w:sz w:val="24"/>
              </w:rPr>
            </w:pPr>
            <w:r w:rsidRPr="00613409">
              <w:rPr>
                <w:kern w:val="0"/>
                <w:sz w:val="24"/>
              </w:rPr>
              <w:t>风险收益特征</w:t>
            </w:r>
          </w:p>
        </w:tc>
        <w:tc>
          <w:tcPr>
            <w:tcW w:type="dxa" w:w="7426"/>
            <w:gridSpan w:val="5"/>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本基金为货币市场基金，是证券投资基金中的低风险品种。本基金的风险和预期收益低于股票型基金、混合型基金、债券型基金。</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sz w:val="24"/>
              </w:rPr>
            </w:pPr>
            <w:r w:rsidRPr="00613409">
              <w:rPr>
                <w:kern w:val="0"/>
                <w:sz w:val="24"/>
              </w:rPr>
              <w:t>基金管理人</w:t>
            </w:r>
          </w:p>
        </w:tc>
        <w:tc>
          <w:tcPr>
            <w:tcW w:type="dxa" w:w="7426"/>
            <w:gridSpan w:val="5"/>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易方达基金管理有限公司</w:t>
            </w:r>
          </w:p>
        </w:tc>
      </w:tr>
      <w:tr w:rsidR="00EA3F40" w:rsidRPr="0097021E" w:rsidTr="00BF711D">
        <w:trPr>
          <w:jc w:val="center"/>
        </w:trPr>
        <w:tc>
          <w:tcPr>
            <w:tcW w:type="dxa" w:w="2310"/>
          </w:tcPr>
          <w:p w:rsidP="00196812" w:rsidR="00EA3F40" w:rsidRDefault="00EA3F40" w:rsidRPr="00613409">
            <w:pPr>
              <w:adjustRightInd w:val="0"/>
              <w:spacing w:before="29" w:line="360" w:lineRule="auto"/>
              <w:ind w:left="17"/>
              <w:jc w:val="left"/>
              <w:rPr>
                <w:sz w:val="24"/>
              </w:rPr>
            </w:pPr>
            <w:r w:rsidRPr="00613409">
              <w:rPr>
                <w:kern w:val="0"/>
                <w:sz w:val="24"/>
              </w:rPr>
              <w:t>基金托管人</w:t>
            </w:r>
          </w:p>
        </w:tc>
        <w:tc>
          <w:tcPr>
            <w:tcW w:type="dxa" w:w="7426"/>
            <w:gridSpan w:val="5"/>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中国工商银行股份有限公司</w:t>
            </w:r>
          </w:p>
        </w:tc>
      </w:tr>
      <w:tr w:rsidR="00BF711D" w:rsidRPr="0097021E" w:rsidTr="00C62B51">
        <w:trPr>
          <w:jc w:val="center"/>
        </w:trPr>
        <w:tc>
          <w:tcPr>
            <w:tcW w:type="dxa" w:w="2310"/>
          </w:tcPr>
          <w:p w:rsidP="00D271A9" w:rsidR="00BF711D" w:rsidRDefault="00BF711D" w:rsidRPr="00613409">
            <w:pPr>
              <w:adjustRightInd w:val="0"/>
              <w:spacing w:before="29" w:line="360" w:lineRule="auto"/>
              <w:ind w:left="17"/>
              <w:jc w:val="left"/>
              <w:rPr>
                <w:kern w:val="0"/>
                <w:sz w:val="24"/>
              </w:rPr>
            </w:pPr>
            <w:r w:rsidRPr="00613409">
              <w:rPr>
                <w:color w:val="000000"/>
                <w:sz w:val="24"/>
              </w:rPr>
              <w:t>下属分级基金的基金简称</w:t>
            </w:r>
          </w:p>
        </w:tc>
        <w:tc>
          <w:tcPr>
            <w:tcW w:type="dxa" w:w="1856"/>
            <w:vAlign w:val="center"/>
          </w:tcPr>
          <w:p w:rsidP="00196812" w:rsidR="00BF711D" w:rsidRDefault="00BF711D" w:rsidRPr="00613409">
            <w:pPr>
              <w:spacing w:line="360" w:lineRule="auto"/>
              <w:jc w:val="left"/>
              <w:rPr>
                <w:sz w:val="24"/>
              </w:rPr>
            </w:pPr>
            <w:r w:rsidRPr="00613409">
              <w:rPr>
                <w:color w:val="000000"/>
                <w:kern w:val="0"/>
                <w:sz w:val="24"/>
              </w:rPr>
              <w:t/>
            </w:r>
            <w:r w:rsidRPr="00613409">
              <w:rPr>
                <w:sz w:val="24"/>
              </w:rPr>
              <w:t>易方达天天理财货币A</w:t>
            </w:r>
          </w:p>
        </w:tc>
        <w:tc>
          <w:tcPr>
            <w:tcW w:type="dxa" w:w="1857"/>
            <w:gridSpan w:val="2"/>
            <w:vAlign w:val="center"/>
          </w:tcPr>
          <w:p w:rsidP="00196812" w:rsidR="00BF711D" w:rsidRDefault="00BF711D" w:rsidRPr="00613409">
            <w:pPr>
              <w:spacing w:line="360" w:lineRule="auto"/>
              <w:jc w:val="left"/>
              <w:rPr>
                <w:sz w:val="24"/>
              </w:rPr>
            </w:pPr>
            <w:r w:rsidRPr="00613409">
              <w:rPr>
                <w:color w:val="000000"/>
                <w:kern w:val="0"/>
                <w:sz w:val="24"/>
              </w:rPr>
              <w:t/>
            </w:r>
            <w:r w:rsidRPr="00613409">
              <w:rPr>
                <w:sz w:val="24"/>
              </w:rPr>
              <w:t>易方达天天理财货币B</w:t>
            </w:r>
          </w:p>
        </w:tc>
        <w:tc>
          <w:tcPr>
            <w:tcW w:type="dxa" w:w="1856"/>
            <w:vAlign w:val="center"/>
          </w:tcPr>
          <w:p w:rsidP="00025C5D" w:rsidR="00BF711D" w:rsidRDefault="00BF711D" w:rsidRPr="00613409">
            <w:pPr>
              <w:spacing w:line="360" w:lineRule="auto"/>
              <w:jc w:val="left"/>
              <w:rPr>
                <w:sz w:val="24"/>
              </w:rPr>
            </w:pPr>
            <w:r w:rsidRPr="00613409">
              <w:rPr>
                <w:color w:val="000000"/>
                <w:kern w:val="0"/>
                <w:sz w:val="24"/>
              </w:rPr>
              <w:t/>
            </w:r>
            <w:r w:rsidRPr="00613409">
              <w:rPr>
                <w:sz w:val="24"/>
              </w:rPr>
              <w:t>易方达天天理财货币R</w:t>
            </w:r>
          </w:p>
        </w:tc>
        <w:tc>
          <w:tcPr>
            <w:tcW w:type="dxa" w:w="1857"/>
            <w:vAlign w:val="center"/>
          </w:tcPr>
          <w:p w:rsidP="00025C5D" w:rsidR="00BF711D" w:rsidRDefault="00BF711D" w:rsidRPr="00613409">
            <w:pPr>
              <w:spacing w:line="360" w:lineRule="auto"/>
              <w:jc w:val="left"/>
              <w:rPr>
                <w:sz w:val="24"/>
              </w:rPr>
            </w:pPr>
            <w:r w:rsidRPr="00613409">
              <w:rPr>
                <w:color w:val="000000"/>
                <w:kern w:val="0"/>
                <w:sz w:val="24"/>
              </w:rPr>
              <w:t/>
            </w:r>
            <w:r w:rsidRPr="00613409">
              <w:rPr>
                <w:sz w:val="24"/>
              </w:rPr>
              <w:t/>
            </w:r>
            <w:r>
              <w:rPr>
                <w:rFonts w:hint="eastAsia"/>
                <w:sz w:val="24"/>
              </w:rPr>
              <w:t/>
            </w:r>
            <w:r w:rsidRPr="00613409">
              <w:rPr>
                <w:sz w:val="24"/>
              </w:rPr>
              <w:t>易方达天天理财货币C</w:t>
            </w:r>
          </w:p>
        </w:tc>
      </w:tr>
      <w:tr w:rsidR="00BF711D" w:rsidRPr="0097021E" w:rsidTr="00A34CC0">
        <w:trPr>
          <w:jc w:val="center"/>
        </w:trPr>
        <w:tc>
          <w:tcPr>
            <w:tcW w:type="dxa" w:w="2310"/>
          </w:tcPr>
          <w:p w:rsidP="00D271A9" w:rsidR="00BF711D" w:rsidRDefault="00BF711D" w:rsidRPr="00613409">
            <w:pPr>
              <w:adjustRightInd w:val="0"/>
              <w:spacing w:before="29" w:line="360" w:lineRule="auto"/>
              <w:ind w:left="17"/>
              <w:jc w:val="left"/>
              <w:rPr>
                <w:color w:val="000000"/>
                <w:sz w:val="24"/>
              </w:rPr>
            </w:pPr>
            <w:r w:rsidRPr="00613409">
              <w:rPr>
                <w:color w:val="000000"/>
                <w:sz w:val="24"/>
              </w:rPr>
              <w:lastRenderedPageBreak/>
              <w:t>下属分级基金的交易代码</w:t>
            </w:r>
          </w:p>
        </w:tc>
        <w:tc>
          <w:tcPr>
            <w:tcW w:type="dxa" w:w="1856"/>
            <w:vAlign w:val="center"/>
          </w:tcPr>
          <w:p w:rsidP="00196812" w:rsidR="00BF711D" w:rsidRDefault="00BF711D" w:rsidRPr="00613409">
            <w:pPr>
              <w:spacing w:line="360" w:lineRule="auto"/>
              <w:jc w:val="left"/>
              <w:rPr>
                <w:sz w:val="24"/>
              </w:rPr>
            </w:pPr>
            <w:r w:rsidRPr="00613409">
              <w:rPr>
                <w:color w:val="000000"/>
                <w:kern w:val="0"/>
                <w:sz w:val="24"/>
              </w:rPr>
              <w:t/>
            </w:r>
            <w:r w:rsidRPr="00613409">
              <w:rPr>
                <w:sz w:val="24"/>
              </w:rPr>
              <w:t>000009</w:t>
            </w:r>
          </w:p>
        </w:tc>
        <w:tc>
          <w:tcPr>
            <w:tcW w:type="dxa" w:w="1857"/>
            <w:gridSpan w:val="2"/>
            <w:vAlign w:val="center"/>
          </w:tcPr>
          <w:p w:rsidP="00196812" w:rsidR="00BF711D" w:rsidRDefault="00BF711D" w:rsidRPr="00613409">
            <w:pPr>
              <w:spacing w:line="360" w:lineRule="auto"/>
              <w:jc w:val="left"/>
              <w:rPr>
                <w:sz w:val="24"/>
              </w:rPr>
            </w:pPr>
            <w:r w:rsidRPr="00613409">
              <w:rPr>
                <w:color w:val="000000"/>
                <w:kern w:val="0"/>
                <w:sz w:val="24"/>
              </w:rPr>
              <w:t/>
            </w:r>
            <w:r w:rsidRPr="00613409">
              <w:rPr>
                <w:sz w:val="24"/>
              </w:rPr>
              <w:t>000010</w:t>
            </w:r>
          </w:p>
        </w:tc>
        <w:tc>
          <w:tcPr>
            <w:tcW w:type="dxa" w:w="1856"/>
            <w:vAlign w:val="center"/>
          </w:tcPr>
          <w:p w:rsidP="001669F2" w:rsidR="00BF711D" w:rsidRDefault="00BF711D" w:rsidRPr="00613409">
            <w:pPr>
              <w:spacing w:line="360" w:lineRule="auto"/>
              <w:jc w:val="left"/>
              <w:rPr>
                <w:sz w:val="24"/>
              </w:rPr>
            </w:pPr>
            <w:r w:rsidRPr="00613409">
              <w:rPr>
                <w:color w:val="000000"/>
                <w:kern w:val="0"/>
                <w:sz w:val="24"/>
              </w:rPr>
              <w:t/>
            </w:r>
            <w:r w:rsidRPr="00613409">
              <w:rPr>
                <w:sz w:val="24"/>
              </w:rPr>
              <w:t>000013</w:t>
            </w:r>
          </w:p>
        </w:tc>
        <w:tc>
          <w:tcPr>
            <w:tcW w:type="dxa" w:w="1857"/>
            <w:vAlign w:val="center"/>
          </w:tcPr>
          <w:p w:rsidP="00BF711D" w:rsidR="00BF711D" w:rsidRDefault="00BF711D" w:rsidRPr="00613409">
            <w:pPr>
              <w:spacing w:line="360" w:lineRule="auto"/>
              <w:jc w:val="left"/>
              <w:rPr>
                <w:sz w:val="24"/>
              </w:rPr>
            </w:pPr>
            <w:r w:rsidRPr="00613409">
              <w:rPr>
                <w:color w:val="000000"/>
                <w:kern w:val="0"/>
                <w:sz w:val="24"/>
              </w:rPr>
              <w:t/>
            </w:r>
            <w:r w:rsidRPr="00613409">
              <w:rPr>
                <w:sz w:val="24"/>
              </w:rPr>
              <w:t/>
            </w:r>
            <w:r>
              <w:rPr>
                <w:rFonts w:hint="eastAsia"/>
                <w:sz w:val="24"/>
              </w:rPr>
              <w:t/>
            </w:r>
            <w:r w:rsidRPr="00613409">
              <w:rPr>
                <w:sz w:val="24"/>
              </w:rPr>
              <w:t>005122</w:t>
            </w:r>
          </w:p>
        </w:tc>
      </w:tr>
      <w:tr w:rsidR="00BF711D" w:rsidRPr="0097021E" w:rsidTr="00C81A6D">
        <w:trPr>
          <w:jc w:val="center"/>
        </w:trPr>
        <w:tc>
          <w:tcPr>
            <w:tcW w:type="dxa" w:w="2310"/>
          </w:tcPr>
          <w:p w:rsidP="00D271A9" w:rsidR="00BF711D" w:rsidRDefault="00BF711D" w:rsidRPr="00613409">
            <w:pPr>
              <w:adjustRightInd w:val="0"/>
              <w:spacing w:before="29" w:line="360" w:lineRule="auto"/>
              <w:ind w:left="17"/>
              <w:jc w:val="left"/>
              <w:rPr>
                <w:color w:val="000000"/>
                <w:sz w:val="24"/>
              </w:rPr>
            </w:pPr>
            <w:r w:rsidRPr="00613409">
              <w:rPr>
                <w:color w:val="000000"/>
                <w:sz w:val="24"/>
              </w:rPr>
              <w:t>报告期末下属分级基金的份额总额</w:t>
            </w:r>
          </w:p>
        </w:tc>
        <w:tc>
          <w:tcPr>
            <w:tcW w:type="dxa" w:w="1856"/>
            <w:vAlign w:val="center"/>
          </w:tcPr>
          <w:p w:rsidP="00196812" w:rsidR="00BF711D" w:rsidRDefault="00BF711D" w:rsidRPr="00613409">
            <w:pPr>
              <w:spacing w:line="360" w:lineRule="auto"/>
              <w:jc w:val="left"/>
              <w:rPr>
                <w:sz w:val="24"/>
              </w:rPr>
            </w:pPr>
            <w:r w:rsidRPr="00613409">
              <w:rPr>
                <w:color w:val="000000"/>
                <w:kern w:val="0"/>
                <w:sz w:val="24"/>
              </w:rPr>
              <w:t/>
            </w:r>
            <w:r w:rsidRPr="00613409">
              <w:rPr>
                <w:sz w:val="24"/>
              </w:rPr>
              <w:t>13,828,280,050.92</w:t>
            </w:r>
            <w:r w:rsidRPr="00613409">
              <w:rPr>
                <w:sz w:val="24"/>
              </w:rPr>
              <w:t>份</w:t>
            </w:r>
          </w:p>
        </w:tc>
        <w:tc>
          <w:tcPr>
            <w:tcW w:type="dxa" w:w="1857"/>
            <w:gridSpan w:val="2"/>
            <w:vAlign w:val="center"/>
          </w:tcPr>
          <w:p w:rsidP="00196812" w:rsidR="00BF711D" w:rsidRDefault="00BF711D" w:rsidRPr="00613409">
            <w:pPr>
              <w:spacing w:line="360" w:lineRule="auto"/>
              <w:jc w:val="left"/>
              <w:rPr>
                <w:sz w:val="24"/>
              </w:rPr>
            </w:pPr>
            <w:r w:rsidRPr="00613409">
              <w:rPr>
                <w:color w:val="000000"/>
                <w:kern w:val="0"/>
                <w:sz w:val="24"/>
              </w:rPr>
              <w:t/>
            </w:r>
            <w:r w:rsidRPr="00613409">
              <w:rPr>
                <w:sz w:val="24"/>
              </w:rPr>
              <w:t>16,204,929,787.95</w:t>
            </w:r>
            <w:r w:rsidRPr="00613409">
              <w:rPr>
                <w:sz w:val="24"/>
              </w:rPr>
              <w:t>份</w:t>
            </w:r>
          </w:p>
        </w:tc>
        <w:tc>
          <w:tcPr>
            <w:tcW w:type="dxa" w:w="1856"/>
            <w:vAlign w:val="center"/>
          </w:tcPr>
          <w:p w:rsidP="00025C5D" w:rsidR="00BF711D" w:rsidRDefault="00BF711D" w:rsidRPr="00613409">
            <w:pPr>
              <w:spacing w:line="360" w:lineRule="auto"/>
              <w:jc w:val="left"/>
              <w:rPr>
                <w:sz w:val="24"/>
              </w:rPr>
            </w:pPr>
            <w:r w:rsidRPr="00613409">
              <w:rPr>
                <w:color w:val="000000"/>
                <w:kern w:val="0"/>
                <w:sz w:val="24"/>
              </w:rPr>
              <w:t/>
            </w:r>
            <w:r w:rsidRPr="00613409">
              <w:rPr>
                <w:sz w:val="24"/>
              </w:rPr>
              <w:t>3,743,334,450.51</w:t>
            </w:r>
            <w:r w:rsidRPr="00613409">
              <w:rPr>
                <w:sz w:val="24"/>
              </w:rPr>
              <w:t>份</w:t>
            </w:r>
          </w:p>
        </w:tc>
        <w:tc>
          <w:tcPr>
            <w:tcW w:type="dxa" w:w="1857"/>
            <w:vAlign w:val="center"/>
          </w:tcPr>
          <w:p w:rsidP="00AB25B0" w:rsidR="00BF711D" w:rsidRDefault="00BF711D" w:rsidRPr="00613409">
            <w:pPr>
              <w:spacing w:line="360" w:lineRule="auto"/>
              <w:jc w:val="left"/>
              <w:rPr>
                <w:sz w:val="24"/>
              </w:rPr>
            </w:pPr>
            <w:r w:rsidRPr="00613409">
              <w:rPr>
                <w:color w:val="000000"/>
                <w:kern w:val="0"/>
                <w:sz w:val="24"/>
              </w:rPr>
              <w:t/>
            </w:r>
            <w:r>
              <w:rPr>
                <w:sz w:val="24"/>
              </w:rPr>
              <w:t/>
            </w:r>
            <w:r>
              <w:rPr>
                <w:rFonts w:hint="eastAsia"/>
                <w:sz w:val="24"/>
              </w:rPr>
              <w:t/>
            </w:r>
            <w:r w:rsidRPr="00613409">
              <w:rPr>
                <w:sz w:val="24"/>
              </w:rPr>
              <w:t>1,008,996,000.13</w:t>
            </w:r>
            <w:r w:rsidRPr="00613409">
              <w:rPr>
                <w:sz w:val="24"/>
              </w:rPr>
              <w:t>份</w:t>
            </w:r>
          </w:p>
        </w:tc>
      </w:tr>
    </w:tbl>
    <w:p w:rsidP="001752C7" w:rsidR="00EA3F40" w:rsidRDefault="00EA3F40" w:rsidRPr="001752C7">
      <w:pPr>
        <w:adjustRightInd w:val="0"/>
        <w:spacing w:line="360" w:lineRule="auto"/>
        <w:ind w:firstLine="480" w:firstLineChars="200"/>
        <w:rPr>
          <w:color w:val="000000"/>
          <w:sz w:val="24"/>
        </w:rPr>
      </w:pPr>
      <w:r w:rsidRPr="001752C7">
        <w:rPr>
          <w:color w:val="000000"/>
          <w:sz w:val="24"/>
        </w:rPr>
        <w:t>注：自2017年10月23日起，本基金增设C类份额类别，份额首次确认日为2017年10月24日。</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dxa" w:w="9559"/>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1797"/>
        <w:gridCol w:w="1984"/>
        <w:gridCol w:w="1985"/>
        <w:gridCol w:w="1984"/>
        <w:gridCol w:w="1809"/>
      </w:tblGrid>
      <w:tr w:rsidR="00501E02" w:rsidRPr="00613409" w:rsidTr="00811A1A">
        <w:trPr>
          <w:jc w:val="center"/>
        </w:trPr>
        <w:tc>
          <w:tcPr>
            <w:tcW w:type="dxa" w:w="1797"/>
            <w:vMerge w:val="restart"/>
            <w:vAlign w:val="center"/>
          </w:tcPr>
          <w:p w:rsidP="00196812" w:rsidR="00501E02" w:rsidRDefault="00501E02" w:rsidRPr="00613409">
            <w:pPr>
              <w:adjustRightInd w:val="0"/>
              <w:spacing w:before="29" w:line="360" w:lineRule="auto"/>
              <w:ind w:left="17"/>
              <w:jc w:val="center"/>
              <w:rPr>
                <w:kern w:val="0"/>
                <w:sz w:val="24"/>
              </w:rPr>
            </w:pPr>
            <w:r w:rsidRPr="00613409">
              <w:rPr>
                <w:kern w:val="0"/>
                <w:sz w:val="24"/>
              </w:rPr>
              <w:t>主要财务指标</w:t>
            </w:r>
          </w:p>
        </w:tc>
        <w:tc>
          <w:tcPr>
            <w:tcW w:type="dxa" w:w="7762"/>
            <w:gridSpan w:val="4"/>
            <w:vAlign w:val="center"/>
          </w:tcPr>
          <w:p w:rsidP="00196812" w:rsidR="00501E02" w:rsidRDefault="00501E02" w:rsidRPr="00613409">
            <w:pPr>
              <w:adjustRightInd w:val="0"/>
              <w:spacing w:before="29" w:line="360" w:lineRule="auto"/>
              <w:ind w:left="17"/>
              <w:jc w:val="center"/>
              <w:rPr>
                <w:color w:val="000000"/>
                <w:sz w:val="24"/>
              </w:rPr>
            </w:pPr>
            <w:r w:rsidRPr="00613409">
              <w:rPr>
                <w:color w:val="000000"/>
                <w:sz w:val="24"/>
              </w:rPr>
              <w:t>报告期</w:t>
            </w:r>
            <w:r w:rsidRPr="00613409">
              <w:rPr>
                <w:color w:val="000000"/>
                <w:sz w:val="24"/>
              </w:rPr>
              <w:t>(2020年4月1日-2020年6月30日)</w:t>
            </w:r>
          </w:p>
        </w:tc>
      </w:tr>
      <w:tr w:rsidR="00501E02" w:rsidRPr="00613409" w:rsidTr="00811A1A">
        <w:trPr>
          <w:jc w:val="center"/>
        </w:trPr>
        <w:tc>
          <w:tcPr>
            <w:tcW w:type="dxa" w:w="1797"/>
            <w:vMerge/>
            <w:vAlign w:val="center"/>
          </w:tcPr>
          <w:p w:rsidP="00196812" w:rsidR="00501E02" w:rsidRDefault="00501E02" w:rsidRPr="00613409">
            <w:pPr>
              <w:adjustRightInd w:val="0"/>
              <w:spacing w:before="29" w:line="360" w:lineRule="auto"/>
              <w:ind w:left="17"/>
              <w:jc w:val="center"/>
              <w:rPr>
                <w:kern w:val="0"/>
                <w:sz w:val="24"/>
              </w:rPr>
            </w:pPr>
          </w:p>
        </w:tc>
        <w:tc>
          <w:tcPr>
            <w:tcW w:type="dxa" w:w="1984"/>
            <w:vAlign w:val="center"/>
          </w:tcPr>
          <w:p w:rsidP="00196812" w:rsidR="00501E02" w:rsidRDefault="00501E02"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易方达天天理财货币A</w:t>
            </w:r>
          </w:p>
        </w:tc>
        <w:tc>
          <w:tcPr>
            <w:tcW w:type="dxa" w:w="1985"/>
            <w:vAlign w:val="center"/>
          </w:tcPr>
          <w:p w:rsidP="00196812" w:rsidR="00501E02" w:rsidRDefault="00501E02"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易方达天天理财货币B</w:t>
            </w:r>
          </w:p>
        </w:tc>
        <w:tc>
          <w:tcPr>
            <w:tcW w:type="dxa" w:w="1984"/>
            <w:vAlign w:val="center"/>
          </w:tcPr>
          <w:p w:rsidP="00025C5D" w:rsidR="00501E02" w:rsidRDefault="00501E02"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易方达天天理财货币R</w:t>
            </w:r>
          </w:p>
        </w:tc>
        <w:tc>
          <w:tcPr>
            <w:tcW w:type="dxa" w:w="1809"/>
            <w:vAlign w:val="center"/>
          </w:tcPr>
          <w:p w:rsidP="00501E02" w:rsidR="00501E02" w:rsidRDefault="00501E02" w:rsidRPr="00613409">
            <w:pPr>
              <w:adjustRightInd w:val="0"/>
              <w:spacing w:before="29" w:line="360" w:lineRule="auto"/>
              <w:ind w:left="17"/>
              <w:jc w:val="center"/>
              <w:rPr>
                <w:color w:val="000000"/>
                <w:sz w:val="24"/>
              </w:rPr>
            </w:pPr>
            <w:r w:rsidRPr="00613409">
              <w:rPr>
                <w:color w:val="000000"/>
                <w:kern w:val="0"/>
                <w:sz w:val="24"/>
              </w:rPr>
              <w:t/>
            </w:r>
            <w:r>
              <w:rPr>
                <w:sz w:val="24"/>
              </w:rPr>
              <w:t/>
            </w:r>
            <w:r w:rsidRPr="00613409">
              <w:rPr>
                <w:sz w:val="24"/>
              </w:rPr>
              <w:t>易方达天天理财货币C</w:t>
            </w:r>
          </w:p>
        </w:tc>
      </w:tr>
      <w:tr w:rsidR="00501E02" w:rsidRPr="00613409" w:rsidTr="00811A1A">
        <w:trPr>
          <w:trHeight w:val="840"/>
          <w:jc w:val="center"/>
        </w:trPr>
        <w:tc>
          <w:tcPr>
            <w:tcW w:type="dxa" w:w="1797"/>
          </w:tcPr>
          <w:p w:rsidP="00196812" w:rsidR="00501E02" w:rsidRDefault="00501E02" w:rsidRPr="00613409">
            <w:pPr>
              <w:adjustRightInd w:val="0"/>
              <w:spacing w:before="29" w:line="360" w:lineRule="auto"/>
              <w:ind w:left="17"/>
              <w:rPr>
                <w:kern w:val="0"/>
                <w:sz w:val="24"/>
              </w:rPr>
            </w:pPr>
            <w:r w:rsidRPr="00613409">
              <w:rPr>
                <w:kern w:val="0"/>
                <w:sz w:val="24"/>
              </w:rPr>
              <w:t>1.</w:t>
            </w:r>
            <w:r w:rsidRPr="00613409">
              <w:rPr>
                <w:kern w:val="0"/>
                <w:sz w:val="24"/>
              </w:rPr>
              <w:t>本期已实现收益</w:t>
            </w:r>
          </w:p>
        </w:tc>
        <w:tc>
          <w:tcPr>
            <w:tcW w:type="dxa" w:w="1984"/>
            <w:vAlign w:val="bottom"/>
          </w:tcPr>
          <w:p w:rsidP="00196812" w:rsidR="00501E02" w:rsidRDefault="00501E02" w:rsidRPr="00613409">
            <w:pPr>
              <w:adjustRightInd w:val="0"/>
              <w:spacing w:before="29" w:line="360" w:lineRule="auto"/>
              <w:ind w:left="17"/>
              <w:jc w:val="right"/>
              <w:rPr>
                <w:color w:val="000000"/>
                <w:sz w:val="24"/>
              </w:rPr>
            </w:pPr>
            <w:r w:rsidRPr="00613409">
              <w:rPr>
                <w:color w:val="000000"/>
                <w:sz w:val="24"/>
              </w:rPr>
              <w:t>65,948,318.61</w:t>
            </w:r>
          </w:p>
        </w:tc>
        <w:tc>
          <w:tcPr>
            <w:tcW w:type="dxa" w:w="1985"/>
            <w:vAlign w:val="bottom"/>
          </w:tcPr>
          <w:p w:rsidP="00196812" w:rsidR="00501E02" w:rsidRDefault="00501E02" w:rsidRPr="00613409">
            <w:pPr>
              <w:adjustRightInd w:val="0"/>
              <w:spacing w:before="29" w:line="360" w:lineRule="auto"/>
              <w:ind w:left="17"/>
              <w:jc w:val="right"/>
              <w:rPr>
                <w:color w:val="000000"/>
                <w:sz w:val="24"/>
              </w:rPr>
            </w:pPr>
            <w:r w:rsidRPr="00613409">
              <w:rPr>
                <w:color w:val="000000"/>
                <w:sz w:val="24"/>
              </w:rPr>
              <w:t>100,716,396.04</w:t>
            </w:r>
          </w:p>
        </w:tc>
        <w:tc>
          <w:tcPr>
            <w:tcW w:type="dxa" w:w="1984"/>
            <w:vAlign w:val="bottom"/>
          </w:tcPr>
          <w:p w:rsidP="00025C5D" w:rsidR="00501E02" w:rsidRDefault="00501E02" w:rsidRPr="00613409">
            <w:pPr>
              <w:adjustRightInd w:val="0"/>
              <w:spacing w:before="29" w:line="360" w:lineRule="auto"/>
              <w:ind w:left="17"/>
              <w:jc w:val="right"/>
              <w:rPr>
                <w:color w:val="000000"/>
                <w:sz w:val="24"/>
              </w:rPr>
            </w:pPr>
            <w:r w:rsidRPr="00613409">
              <w:rPr>
                <w:color w:val="000000"/>
                <w:sz w:val="24"/>
              </w:rPr>
              <w:t>20,002,373.13</w:t>
            </w:r>
          </w:p>
        </w:tc>
        <w:tc>
          <w:tcPr>
            <w:tcW w:type="dxa" w:w="1809"/>
            <w:vAlign w:val="bottom"/>
          </w:tcPr>
          <w:p w:rsidP="00501E02" w:rsidR="00501E02" w:rsidRDefault="00501E02" w:rsidRPr="00613409">
            <w:pPr>
              <w:adjustRightInd w:val="0"/>
              <w:spacing w:before="29" w:line="360" w:lineRule="auto"/>
              <w:ind w:left="17"/>
              <w:jc w:val="right"/>
              <w:rPr>
                <w:color w:val="000000"/>
                <w:sz w:val="24"/>
              </w:rPr>
            </w:pPr>
            <w:r w:rsidRPr="00613409">
              <w:rPr>
                <w:color w:val="000000"/>
                <w:sz w:val="24"/>
              </w:rPr>
              <w:t/>
            </w:r>
            <w:r>
              <w:rPr>
                <w:color w:val="000000"/>
                <w:sz w:val="24"/>
              </w:rPr>
              <w:t/>
            </w:r>
            <w:r>
              <w:rPr>
                <w:rFonts w:hint="eastAsia"/>
                <w:color w:val="000000"/>
                <w:sz w:val="24"/>
              </w:rPr>
              <w:t/>
            </w:r>
            <w:r w:rsidRPr="00613409">
              <w:rPr>
                <w:color w:val="000000"/>
                <w:sz w:val="24"/>
              </w:rPr>
              <w:t>4,668,904.82</w:t>
            </w:r>
          </w:p>
        </w:tc>
      </w:tr>
      <w:tr w:rsidR="00501E02" w:rsidRPr="00613409" w:rsidTr="00811A1A">
        <w:trPr>
          <w:jc w:val="center"/>
        </w:trPr>
        <w:tc>
          <w:tcPr>
            <w:tcW w:type="dxa" w:w="1797"/>
          </w:tcPr>
          <w:p w:rsidP="00196812" w:rsidR="00501E02" w:rsidRDefault="00501E02" w:rsidRPr="00613409">
            <w:pPr>
              <w:adjustRightInd w:val="0"/>
              <w:spacing w:before="29" w:line="360" w:lineRule="auto"/>
              <w:ind w:left="17"/>
              <w:rPr>
                <w:kern w:val="0"/>
                <w:sz w:val="24"/>
              </w:rPr>
            </w:pPr>
            <w:r w:rsidRPr="00613409">
              <w:rPr>
                <w:kern w:val="0"/>
                <w:sz w:val="24"/>
              </w:rPr>
              <w:t>2.</w:t>
            </w:r>
            <w:r w:rsidRPr="00613409">
              <w:rPr>
                <w:kern w:val="0"/>
                <w:sz w:val="24"/>
              </w:rPr>
              <w:t>本期利润</w:t>
            </w:r>
          </w:p>
        </w:tc>
        <w:tc>
          <w:tcPr>
            <w:tcW w:type="dxa" w:w="1984"/>
            <w:vAlign w:val="bottom"/>
          </w:tcPr>
          <w:p w:rsidP="00196812" w:rsidR="00501E02" w:rsidRDefault="00501E02" w:rsidRPr="00613409">
            <w:pPr>
              <w:adjustRightInd w:val="0"/>
              <w:spacing w:before="29" w:line="360" w:lineRule="auto"/>
              <w:ind w:left="17"/>
              <w:jc w:val="right"/>
              <w:rPr>
                <w:color w:val="000000"/>
                <w:sz w:val="24"/>
              </w:rPr>
            </w:pPr>
            <w:r w:rsidRPr="00613409">
              <w:rPr>
                <w:color w:val="000000"/>
                <w:sz w:val="24"/>
              </w:rPr>
              <w:t>65,948,318.61</w:t>
            </w:r>
          </w:p>
        </w:tc>
        <w:tc>
          <w:tcPr>
            <w:tcW w:type="dxa" w:w="1985"/>
            <w:vAlign w:val="bottom"/>
          </w:tcPr>
          <w:p w:rsidP="00196812" w:rsidR="00501E02" w:rsidRDefault="00501E02" w:rsidRPr="00613409">
            <w:pPr>
              <w:adjustRightInd w:val="0"/>
              <w:spacing w:before="29" w:line="360" w:lineRule="auto"/>
              <w:ind w:left="17"/>
              <w:jc w:val="right"/>
              <w:rPr>
                <w:color w:val="000000"/>
                <w:sz w:val="24"/>
              </w:rPr>
            </w:pPr>
            <w:r w:rsidRPr="00613409">
              <w:rPr>
                <w:color w:val="000000"/>
                <w:sz w:val="24"/>
              </w:rPr>
              <w:t>100,716,396.04</w:t>
            </w:r>
          </w:p>
        </w:tc>
        <w:tc>
          <w:tcPr>
            <w:tcW w:type="dxa" w:w="1984"/>
            <w:vAlign w:val="bottom"/>
          </w:tcPr>
          <w:p w:rsidP="00025C5D" w:rsidR="00501E02" w:rsidRDefault="00501E02" w:rsidRPr="00613409">
            <w:pPr>
              <w:adjustRightInd w:val="0"/>
              <w:spacing w:before="29" w:line="360" w:lineRule="auto"/>
              <w:ind w:left="17"/>
              <w:jc w:val="right"/>
              <w:rPr>
                <w:color w:val="000000"/>
                <w:sz w:val="24"/>
              </w:rPr>
            </w:pPr>
            <w:r w:rsidRPr="00613409">
              <w:rPr>
                <w:color w:val="000000"/>
                <w:sz w:val="24"/>
              </w:rPr>
              <w:t>20,002,373.13</w:t>
            </w:r>
          </w:p>
        </w:tc>
        <w:tc>
          <w:tcPr>
            <w:tcW w:type="dxa" w:w="1809"/>
            <w:vAlign w:val="bottom"/>
          </w:tcPr>
          <w:p w:rsidP="00501E02" w:rsidR="00501E02" w:rsidRDefault="00501E02" w:rsidRPr="00613409">
            <w:pPr>
              <w:adjustRightInd w:val="0"/>
              <w:spacing w:before="29" w:line="360" w:lineRule="auto"/>
              <w:ind w:left="17"/>
              <w:jc w:val="right"/>
              <w:rPr>
                <w:color w:val="000000"/>
                <w:sz w:val="24"/>
              </w:rPr>
            </w:pPr>
            <w:r>
              <w:rPr>
                <w:color w:val="000000"/>
                <w:sz w:val="24"/>
              </w:rPr>
              <w:t/>
            </w:r>
            <w:r>
              <w:rPr>
                <w:rFonts w:hint="eastAsia"/>
                <w:color w:val="000000"/>
                <w:sz w:val="24"/>
              </w:rPr>
              <w:t/>
            </w:r>
            <w:r w:rsidRPr="00613409">
              <w:rPr>
                <w:color w:val="000000"/>
                <w:sz w:val="24"/>
              </w:rPr>
              <w:lastRenderedPageBreak/>
              <w:t>4,668,904.82</w:t>
            </w:r>
          </w:p>
        </w:tc>
      </w:tr>
      <w:tr w:rsidR="00501E02" w:rsidRPr="00613409" w:rsidTr="00811A1A">
        <w:trPr>
          <w:jc w:val="center"/>
        </w:trPr>
        <w:tc>
          <w:tcPr>
            <w:tcW w:type="dxa" w:w="1797"/>
          </w:tcPr>
          <w:p w:rsidP="00196812" w:rsidR="00501E02" w:rsidRDefault="00501E02" w:rsidRPr="00613409">
            <w:pPr>
              <w:adjustRightInd w:val="0"/>
              <w:spacing w:before="29" w:line="360" w:lineRule="auto"/>
              <w:ind w:left="17"/>
              <w:rPr>
                <w:kern w:val="0"/>
                <w:sz w:val="24"/>
              </w:rPr>
            </w:pPr>
            <w:r w:rsidRPr="00613409">
              <w:rPr>
                <w:kern w:val="0"/>
                <w:sz w:val="24"/>
              </w:rPr>
              <w:lastRenderedPageBreak/>
              <w:t>3.</w:t>
            </w:r>
            <w:r w:rsidRPr="00613409">
              <w:rPr>
                <w:kern w:val="0"/>
                <w:sz w:val="24"/>
              </w:rPr>
              <w:t>期末基金资产净值</w:t>
            </w:r>
          </w:p>
        </w:tc>
        <w:tc>
          <w:tcPr>
            <w:tcW w:type="dxa" w:w="1984"/>
          </w:tcPr>
          <w:p w:rsidP="00196812" w:rsidR="00501E02" w:rsidRDefault="00501E02" w:rsidRPr="00613409">
            <w:pPr>
              <w:adjustRightInd w:val="0"/>
              <w:spacing w:before="29" w:line="360" w:lineRule="auto"/>
              <w:ind w:left="17"/>
              <w:jc w:val="right"/>
              <w:rPr>
                <w:color w:val="000000"/>
                <w:sz w:val="24"/>
              </w:rPr>
            </w:pPr>
            <w:r w:rsidRPr="00613409">
              <w:rPr>
                <w:color w:val="000000"/>
                <w:sz w:val="24"/>
              </w:rPr>
              <w:t>13,828,280,050.92</w:t>
            </w:r>
          </w:p>
        </w:tc>
        <w:tc>
          <w:tcPr>
            <w:tcW w:type="dxa" w:w="1985"/>
          </w:tcPr>
          <w:p w:rsidP="00196812" w:rsidR="00501E02" w:rsidRDefault="00501E02" w:rsidRPr="00613409">
            <w:pPr>
              <w:adjustRightInd w:val="0"/>
              <w:spacing w:before="29" w:line="360" w:lineRule="auto"/>
              <w:ind w:left="17"/>
              <w:jc w:val="right"/>
              <w:rPr>
                <w:color w:val="000000"/>
                <w:sz w:val="24"/>
              </w:rPr>
            </w:pPr>
            <w:r w:rsidRPr="00613409">
              <w:rPr>
                <w:color w:val="000000"/>
                <w:sz w:val="24"/>
              </w:rPr>
              <w:t>16,204,929,787.95</w:t>
            </w:r>
          </w:p>
        </w:tc>
        <w:tc>
          <w:tcPr>
            <w:tcW w:type="dxa" w:w="1984"/>
          </w:tcPr>
          <w:p w:rsidP="00025C5D" w:rsidR="00501E02" w:rsidRDefault="00501E02" w:rsidRPr="00613409">
            <w:pPr>
              <w:adjustRightInd w:val="0"/>
              <w:spacing w:before="29" w:line="360" w:lineRule="auto"/>
              <w:ind w:left="17"/>
              <w:jc w:val="right"/>
              <w:rPr>
                <w:color w:val="000000"/>
                <w:sz w:val="24"/>
              </w:rPr>
            </w:pPr>
            <w:r w:rsidRPr="00613409">
              <w:rPr>
                <w:color w:val="000000"/>
                <w:sz w:val="24"/>
              </w:rPr>
              <w:t>3,743,334,450.51</w:t>
            </w:r>
          </w:p>
        </w:tc>
        <w:tc>
          <w:tcPr>
            <w:tcW w:type="dxa" w:w="1809"/>
          </w:tcPr>
          <w:p w:rsidP="00501E02" w:rsidR="00501E02" w:rsidRDefault="00501E02" w:rsidRPr="00613409">
            <w:pPr>
              <w:adjustRightInd w:val="0"/>
              <w:spacing w:before="29" w:line="360" w:lineRule="auto"/>
              <w:ind w:left="17"/>
              <w:jc w:val="right"/>
              <w:rPr>
                <w:color w:val="000000"/>
                <w:sz w:val="24"/>
              </w:rPr>
            </w:pPr>
            <w:r w:rsidRPr="00613409">
              <w:rPr>
                <w:color w:val="000000"/>
                <w:sz w:val="24"/>
              </w:rPr>
              <w:t/>
            </w:r>
            <w:r>
              <w:rPr>
                <w:color w:val="000000"/>
                <w:sz w:val="24"/>
              </w:rPr>
              <w:t/>
            </w:r>
            <w:r>
              <w:rPr>
                <w:rFonts w:hint="eastAsia"/>
                <w:color w:val="000000"/>
                <w:sz w:val="24"/>
              </w:rPr>
              <w:t/>
            </w:r>
            <w:r w:rsidRPr="00613409">
              <w:rPr>
                <w:color w:val="000000"/>
                <w:sz w:val="24"/>
              </w:rPr>
              <w:t>1,008,996,000.13</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2.本基金利润分配是按日结转份额。</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3.2.1</w:t>
        </w:r>
      </w:smartTag>
      <w:r w:rsidRPr="0097021E">
        <w:rPr>
          <w:rFonts w:ascii="宋体" w:cs="Arial" w:hAnsi="宋体"/>
          <w:b/>
          <w:color w:val="000000"/>
          <w:kern w:val="0"/>
          <w:sz w:val="24"/>
        </w:rPr>
        <w:t xml:space="preserve"> </w:t>
      </w:r>
      <w:r w:rsidRPr="0097021E">
        <w:rPr>
          <w:rFonts w:ascii="宋体" w:cs="Arial" w:hAnsi="宋体" w:hint="eastAsia"/>
          <w:b/>
          <w:color w:val="000000"/>
          <w:kern w:val="0"/>
          <w:sz w:val="24"/>
        </w:rPr>
        <w:t>本报告期基金份额净值收益率及其与同期业绩比较基准收益率的比较</w:t>
      </w:r>
    </w:p>
    <w:p w:rsidP="00613409" w:rsidR="00EA3F40" w:rsidRDefault="00EA3F40" w:rsidRPr="00613409">
      <w:pPr>
        <w:pStyle w:val="20"/>
        <w:spacing w:line="360" w:lineRule="auto"/>
        <w:ind w:firstLine="0" w:firstLineChars="0"/>
        <w:rPr>
          <w:b/>
          <w:sz w:val="24"/>
        </w:rPr>
      </w:pPr>
      <w:r w:rsidRPr="00613409">
        <w:rPr>
          <w:b/>
          <w:color w:val="000000"/>
          <w:sz w:val="24"/>
        </w:rPr>
        <w:t/>
      </w:r>
      <w:r w:rsidRPr="00613409">
        <w:rPr>
          <w:rFonts w:cs="宋体"/>
          <w:b/>
          <w:color w:val="000000"/>
          <w:sz w:val="24"/>
        </w:rPr>
        <w:t/>
      </w:r>
      <w:r w:rsidRPr="00613409">
        <w:rPr>
          <w:b/>
          <w:color w:val="000000"/>
          <w:sz w:val="24"/>
        </w:rPr>
        <w:t/>
      </w:r>
      <w:r w:rsidRPr="00613409">
        <w:rPr>
          <w:b/>
          <w:sz w:val="24"/>
        </w:rPr>
        <w:t>易方达天天理财货币A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lastRenderedPageBreak/>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lastRenderedPageBreak/>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0.4305%</w:t>
            </w:r>
          </w:p>
        </w:tc>
        <w:tc>
          <w:tcPr>
            <w:vAlign w:val="center"/>
          </w:tcPr>
          <w:p>
            <w:pPr>
              <w:jc w:val="center"/>
            </w:pPr>
            <w:r>
              <w:rPr>
                <w:color w:val="000000"/>
                <w:kern w:val="2"/>
                <w:sz w:val="24"/>
              </w:rPr>
              <w:t>0.0006%</w:t>
            </w:r>
          </w:p>
        </w:tc>
        <w:tc>
          <w:tcPr>
            <w:vAlign w:val="center"/>
          </w:tcPr>
          <w:p>
            <w:pPr>
              <w:jc w:val="center"/>
            </w:pPr>
            <w:r>
              <w:rPr>
                <w:color w:val="000000"/>
                <w:kern w:val="2"/>
                <w:sz w:val="24"/>
              </w:rPr>
              <w:t>0.0885%</w:t>
            </w:r>
          </w:p>
        </w:tc>
        <w:tc>
          <w:tcPr>
            <w:vAlign w:val="center"/>
          </w:tcPr>
          <w:p>
            <w:pPr>
              <w:jc w:val="center"/>
            </w:pPr>
            <w:r>
              <w:rPr>
                <w:color w:val="000000"/>
                <w:kern w:val="2"/>
                <w:sz w:val="24"/>
              </w:rPr>
              <w:t>0.0000%</w:t>
            </w:r>
          </w:p>
        </w:tc>
        <w:tc>
          <w:tcPr>
            <w:vAlign w:val="center"/>
          </w:tcPr>
          <w:p>
            <w:pPr>
              <w:jc w:val="center"/>
            </w:pPr>
            <w:r>
              <w:rPr>
                <w:color w:val="000000"/>
                <w:kern w:val="2"/>
                <w:sz w:val="24"/>
              </w:rPr>
              <w:t>0.3420%</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1.0627%</w:t>
            </w:r>
          </w:p>
        </w:tc>
        <w:tc>
          <w:tcPr>
            <w:vAlign w:val="center"/>
          </w:tcPr>
          <w:p>
            <w:pPr>
              <w:jc w:val="center"/>
            </w:pPr>
            <w:r>
              <w:rPr>
                <w:color w:val="000000"/>
                <w:kern w:val="2"/>
                <w:sz w:val="24"/>
              </w:rPr>
              <w:t>0.0013%</w:t>
            </w:r>
          </w:p>
        </w:tc>
        <w:tc>
          <w:tcPr>
            <w:vAlign w:val="center"/>
          </w:tcPr>
          <w:p>
            <w:pPr>
              <w:jc w:val="center"/>
            </w:pPr>
            <w:r>
              <w:rPr>
                <w:color w:val="000000"/>
                <w:kern w:val="2"/>
                <w:sz w:val="24"/>
              </w:rPr>
              <w:t>0.1771%</w:t>
            </w:r>
          </w:p>
        </w:tc>
        <w:tc>
          <w:tcPr>
            <w:vAlign w:val="center"/>
          </w:tcPr>
          <w:p>
            <w:pPr>
              <w:jc w:val="center"/>
            </w:pPr>
            <w:r>
              <w:rPr>
                <w:color w:val="000000"/>
                <w:kern w:val="2"/>
                <w:sz w:val="24"/>
              </w:rPr>
              <w:t>0.0000%</w:t>
            </w:r>
          </w:p>
        </w:tc>
        <w:tc>
          <w:tcPr>
            <w:vAlign w:val="center"/>
          </w:tcPr>
          <w:p>
            <w:pPr>
              <w:jc w:val="center"/>
            </w:pPr>
            <w:r>
              <w:rPr>
                <w:color w:val="000000"/>
                <w:kern w:val="2"/>
                <w:sz w:val="24"/>
              </w:rPr>
              <w:t>0.8856%</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2.2978%</w:t>
            </w:r>
          </w:p>
        </w:tc>
        <w:tc>
          <w:tcPr>
            <w:vAlign w:val="center"/>
          </w:tcPr>
          <w:p>
            <w:pPr>
              <w:jc w:val="center"/>
            </w:pPr>
            <w:r>
              <w:rPr>
                <w:color w:val="000000"/>
                <w:kern w:val="2"/>
                <w:sz w:val="24"/>
              </w:rPr>
              <w:t>0.0010%</w:t>
            </w:r>
          </w:p>
        </w:tc>
        <w:tc>
          <w:tcPr>
            <w:vAlign w:val="center"/>
          </w:tcPr>
          <w:p>
            <w:pPr>
              <w:jc w:val="center"/>
            </w:pPr>
            <w:r>
              <w:rPr>
                <w:color w:val="000000"/>
                <w:kern w:val="2"/>
                <w:sz w:val="24"/>
              </w:rPr>
              <w:t>0.3565%</w:t>
            </w:r>
          </w:p>
        </w:tc>
        <w:tc>
          <w:tcPr>
            <w:vAlign w:val="center"/>
          </w:tcPr>
          <w:p>
            <w:pPr>
              <w:jc w:val="center"/>
            </w:pPr>
            <w:r>
              <w:rPr>
                <w:color w:val="000000"/>
                <w:kern w:val="2"/>
                <w:sz w:val="24"/>
              </w:rPr>
              <w:t>0.0000%</w:t>
            </w:r>
          </w:p>
        </w:tc>
        <w:tc>
          <w:tcPr>
            <w:vAlign w:val="center"/>
          </w:tcPr>
          <w:p>
            <w:pPr>
              <w:jc w:val="center"/>
            </w:pPr>
            <w:r>
              <w:rPr>
                <w:color w:val="000000"/>
                <w:kern w:val="2"/>
                <w:sz w:val="24"/>
              </w:rPr>
              <w:t>1.9413%</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9.7118%</w:t>
            </w:r>
          </w:p>
        </w:tc>
        <w:tc>
          <w:tcPr>
            <w:vAlign w:val="center"/>
          </w:tcPr>
          <w:p>
            <w:pPr>
              <w:jc w:val="center"/>
            </w:pPr>
            <w:r>
              <w:rPr>
                <w:color w:val="000000"/>
                <w:kern w:val="2"/>
                <w:sz w:val="24"/>
              </w:rPr>
              <w:t>0.0022%</w:t>
            </w:r>
          </w:p>
        </w:tc>
        <w:tc>
          <w:tcPr>
            <w:vAlign w:val="center"/>
          </w:tcPr>
          <w:p>
            <w:pPr>
              <w:jc w:val="center"/>
            </w:pPr>
            <w:r>
              <w:rPr>
                <w:color w:val="000000"/>
                <w:kern w:val="2"/>
                <w:sz w:val="24"/>
              </w:rPr>
              <w:t>1.0712%</w:t>
            </w:r>
          </w:p>
        </w:tc>
        <w:tc>
          <w:tcPr>
            <w:vAlign w:val="center"/>
          </w:tcPr>
          <w:p>
            <w:pPr>
              <w:jc w:val="center"/>
            </w:pPr>
            <w:r>
              <w:rPr>
                <w:color w:val="000000"/>
                <w:kern w:val="2"/>
                <w:sz w:val="24"/>
              </w:rPr>
              <w:t>0.0000%</w:t>
            </w:r>
          </w:p>
        </w:tc>
        <w:tc>
          <w:tcPr>
            <w:vAlign w:val="center"/>
          </w:tcPr>
          <w:p>
            <w:pPr>
              <w:jc w:val="center"/>
            </w:pPr>
            <w:r>
              <w:rPr>
                <w:color w:val="000000"/>
                <w:kern w:val="2"/>
                <w:sz w:val="24"/>
              </w:rPr>
              <w:t>8.6406%</w:t>
            </w:r>
          </w:p>
        </w:tc>
        <w:tc>
          <w:tcPr>
            <w:vAlign w:val="center"/>
          </w:tcPr>
          <w:p>
            <w:pPr>
              <w:jc w:val="center"/>
            </w:pPr>
            <w:r>
              <w:rPr>
                <w:color w:val="000000"/>
                <w:kern w:val="2"/>
                <w:sz w:val="24"/>
              </w:rPr>
              <w:t>0.0022%</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16.5979%</w:t>
            </w:r>
          </w:p>
        </w:tc>
        <w:tc>
          <w:tcPr>
            <w:vAlign w:val="center"/>
          </w:tcPr>
          <w:p>
            <w:pPr>
              <w:jc w:val="center"/>
            </w:pPr>
            <w:r>
              <w:rPr>
                <w:color w:val="000000"/>
                <w:kern w:val="2"/>
                <w:sz w:val="24"/>
              </w:rPr>
              <w:t>0.0024%</w:t>
            </w:r>
          </w:p>
        </w:tc>
        <w:tc>
          <w:tcPr>
            <w:vAlign w:val="center"/>
          </w:tcPr>
          <w:p>
            <w:pPr>
              <w:jc w:val="center"/>
            </w:pPr>
            <w:r>
              <w:rPr>
                <w:color w:val="000000"/>
                <w:kern w:val="2"/>
                <w:sz w:val="24"/>
              </w:rPr>
              <w:t>1.7921%</w:t>
            </w:r>
          </w:p>
        </w:tc>
        <w:tc>
          <w:tcPr>
            <w:vAlign w:val="center"/>
          </w:tcPr>
          <w:p>
            <w:pPr>
              <w:jc w:val="center"/>
            </w:pPr>
            <w:r>
              <w:rPr>
                <w:color w:val="000000"/>
                <w:kern w:val="2"/>
                <w:sz w:val="24"/>
              </w:rPr>
              <w:t>0.0000%</w:t>
            </w:r>
          </w:p>
        </w:tc>
        <w:tc>
          <w:tcPr>
            <w:vAlign w:val="center"/>
          </w:tcPr>
          <w:p>
            <w:pPr>
              <w:jc w:val="center"/>
            </w:pPr>
            <w:r>
              <w:rPr>
                <w:color w:val="000000"/>
                <w:kern w:val="2"/>
                <w:sz w:val="24"/>
              </w:rPr>
              <w:t>14.8058%</w:t>
            </w:r>
          </w:p>
        </w:tc>
        <w:tc>
          <w:tcPr>
            <w:vAlign w:val="center"/>
          </w:tcPr>
          <w:p>
            <w:pPr>
              <w:jc w:val="center"/>
            </w:pPr>
            <w:r>
              <w:rPr>
                <w:color w:val="000000"/>
                <w:kern w:val="2"/>
                <w:sz w:val="24"/>
              </w:rPr>
              <w:t>0.0024%</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29.4432%</w:t>
            </w:r>
          </w:p>
        </w:tc>
        <w:tc>
          <w:tcPr>
            <w:vAlign w:val="center"/>
          </w:tcPr>
          <w:p>
            <w:pPr>
              <w:jc w:val="center"/>
            </w:pPr>
            <w:r>
              <w:rPr>
                <w:color w:val="000000"/>
                <w:kern w:val="2"/>
                <w:sz w:val="24"/>
              </w:rPr>
              <w:t>0.0036%</w:t>
            </w:r>
          </w:p>
        </w:tc>
        <w:tc>
          <w:tcPr>
            <w:vAlign w:val="center"/>
          </w:tcPr>
          <w:p>
            <w:pPr>
              <w:jc w:val="center"/>
            </w:pPr>
            <w:r>
              <w:rPr>
                <w:color w:val="000000"/>
                <w:kern w:val="2"/>
                <w:sz w:val="24"/>
              </w:rPr>
              <w:t>2.6348%</w:t>
            </w:r>
          </w:p>
        </w:tc>
        <w:tc>
          <w:tcPr>
            <w:vAlign w:val="center"/>
          </w:tcPr>
          <w:p>
            <w:pPr>
              <w:jc w:val="center"/>
            </w:pPr>
            <w:r>
              <w:rPr>
                <w:color w:val="000000"/>
                <w:kern w:val="2"/>
                <w:sz w:val="24"/>
              </w:rPr>
              <w:t>0.0000%</w:t>
            </w:r>
          </w:p>
        </w:tc>
        <w:tc>
          <w:tcPr>
            <w:vAlign w:val="center"/>
          </w:tcPr>
          <w:p>
            <w:pPr>
              <w:jc w:val="center"/>
            </w:pPr>
            <w:r>
              <w:rPr>
                <w:color w:val="000000"/>
                <w:kern w:val="2"/>
                <w:sz w:val="24"/>
              </w:rPr>
              <w:t>26.8084%</w:t>
            </w:r>
          </w:p>
        </w:tc>
        <w:tc>
          <w:tcPr>
            <w:vAlign w:val="center"/>
          </w:tcPr>
          <w:p>
            <w:pPr>
              <w:jc w:val="center"/>
            </w:pPr>
            <w:r>
              <w:rPr>
                <w:color w:val="000000"/>
                <w:kern w:val="2"/>
                <w:sz w:val="24"/>
              </w:rPr>
              <w:t>0.0036%</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易方达天天理财货币B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0.4905%</w:t>
            </w:r>
          </w:p>
        </w:tc>
        <w:tc>
          <w:tcPr>
            <w:vAlign w:val="center"/>
          </w:tcPr>
          <w:p>
            <w:pPr>
              <w:jc w:val="center"/>
            </w:pPr>
            <w:r>
              <w:rPr>
                <w:color w:val="000000"/>
                <w:kern w:val="2"/>
                <w:sz w:val="24"/>
              </w:rPr>
              <w:t>0.0006%</w:t>
            </w:r>
          </w:p>
        </w:tc>
        <w:tc>
          <w:tcPr>
            <w:vAlign w:val="center"/>
          </w:tcPr>
          <w:p>
            <w:pPr>
              <w:jc w:val="center"/>
            </w:pPr>
            <w:r>
              <w:rPr>
                <w:color w:val="000000"/>
                <w:kern w:val="2"/>
                <w:sz w:val="24"/>
              </w:rPr>
              <w:t>0.0885%</w:t>
            </w:r>
          </w:p>
        </w:tc>
        <w:tc>
          <w:tcPr>
            <w:vAlign w:val="center"/>
          </w:tcPr>
          <w:p>
            <w:pPr>
              <w:jc w:val="center"/>
            </w:pPr>
            <w:r>
              <w:rPr>
                <w:color w:val="000000"/>
                <w:kern w:val="2"/>
                <w:sz w:val="24"/>
              </w:rPr>
              <w:t>0.0000%</w:t>
            </w:r>
          </w:p>
        </w:tc>
        <w:tc>
          <w:tcPr>
            <w:vAlign w:val="center"/>
          </w:tcPr>
          <w:p>
            <w:pPr>
              <w:jc w:val="center"/>
            </w:pPr>
            <w:r>
              <w:rPr>
                <w:color w:val="000000"/>
                <w:kern w:val="2"/>
                <w:sz w:val="24"/>
              </w:rPr>
              <w:t>0.4020%</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1.1836%</w:t>
            </w:r>
          </w:p>
        </w:tc>
        <w:tc>
          <w:tcPr>
            <w:vAlign w:val="center"/>
          </w:tcPr>
          <w:p>
            <w:pPr>
              <w:jc w:val="center"/>
            </w:pPr>
            <w:r>
              <w:rPr>
                <w:color w:val="000000"/>
                <w:kern w:val="2"/>
                <w:sz w:val="24"/>
              </w:rPr>
              <w:t>0.0013%</w:t>
            </w:r>
          </w:p>
        </w:tc>
        <w:tc>
          <w:tcPr>
            <w:vAlign w:val="center"/>
          </w:tcPr>
          <w:p>
            <w:pPr>
              <w:jc w:val="center"/>
            </w:pPr>
            <w:r>
              <w:rPr>
                <w:color w:val="000000"/>
                <w:kern w:val="2"/>
                <w:sz w:val="24"/>
              </w:rPr>
              <w:t>0.1771%</w:t>
            </w:r>
          </w:p>
        </w:tc>
        <w:tc>
          <w:tcPr>
            <w:vAlign w:val="center"/>
          </w:tcPr>
          <w:p>
            <w:pPr>
              <w:jc w:val="center"/>
            </w:pPr>
            <w:r>
              <w:rPr>
                <w:color w:val="000000"/>
                <w:kern w:val="2"/>
                <w:sz w:val="24"/>
              </w:rPr>
              <w:t>0.0000%</w:t>
            </w:r>
          </w:p>
        </w:tc>
        <w:tc>
          <w:tcPr>
            <w:vAlign w:val="center"/>
          </w:tcPr>
          <w:p>
            <w:pPr>
              <w:jc w:val="center"/>
            </w:pPr>
            <w:r>
              <w:rPr>
                <w:color w:val="000000"/>
                <w:kern w:val="2"/>
                <w:sz w:val="24"/>
              </w:rPr>
              <w:t>1.0065%</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2.5443%</w:t>
            </w:r>
          </w:p>
        </w:tc>
        <w:tc>
          <w:tcPr>
            <w:vAlign w:val="center"/>
          </w:tcPr>
          <w:p>
            <w:pPr>
              <w:jc w:val="center"/>
            </w:pPr>
            <w:r>
              <w:rPr>
                <w:color w:val="000000"/>
                <w:kern w:val="2"/>
                <w:sz w:val="24"/>
              </w:rPr>
              <w:t>0.0010%</w:t>
            </w:r>
          </w:p>
        </w:tc>
        <w:tc>
          <w:tcPr>
            <w:vAlign w:val="center"/>
          </w:tcPr>
          <w:p>
            <w:pPr>
              <w:jc w:val="center"/>
            </w:pPr>
            <w:r>
              <w:rPr>
                <w:color w:val="000000"/>
                <w:kern w:val="2"/>
                <w:sz w:val="24"/>
              </w:rPr>
              <w:t>0.3565%</w:t>
            </w:r>
          </w:p>
        </w:tc>
        <w:tc>
          <w:tcPr>
            <w:vAlign w:val="center"/>
          </w:tcPr>
          <w:p>
            <w:pPr>
              <w:jc w:val="center"/>
            </w:pPr>
            <w:r>
              <w:rPr>
                <w:color w:val="000000"/>
                <w:kern w:val="2"/>
                <w:sz w:val="24"/>
              </w:rPr>
              <w:t>0.0000%</w:t>
            </w:r>
          </w:p>
        </w:tc>
        <w:tc>
          <w:tcPr>
            <w:vAlign w:val="center"/>
          </w:tcPr>
          <w:p>
            <w:pPr>
              <w:jc w:val="center"/>
            </w:pPr>
            <w:r>
              <w:rPr>
                <w:color w:val="000000"/>
                <w:kern w:val="2"/>
                <w:sz w:val="24"/>
              </w:rPr>
              <w:t>2.1878%</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10.5054%</w:t>
            </w:r>
          </w:p>
        </w:tc>
        <w:tc>
          <w:tcPr>
            <w:vAlign w:val="center"/>
          </w:tcPr>
          <w:p>
            <w:pPr>
              <w:jc w:val="center"/>
            </w:pPr>
            <w:r>
              <w:rPr>
                <w:color w:val="000000"/>
                <w:kern w:val="2"/>
                <w:sz w:val="24"/>
              </w:rPr>
              <w:t>0.0022%</w:t>
            </w:r>
          </w:p>
        </w:tc>
        <w:tc>
          <w:tcPr>
            <w:vAlign w:val="center"/>
          </w:tcPr>
          <w:p>
            <w:pPr>
              <w:jc w:val="center"/>
            </w:pPr>
            <w:r>
              <w:rPr>
                <w:color w:val="000000"/>
                <w:kern w:val="2"/>
                <w:sz w:val="24"/>
              </w:rPr>
              <w:t>1.0712%</w:t>
            </w:r>
          </w:p>
        </w:tc>
        <w:tc>
          <w:tcPr>
            <w:vAlign w:val="center"/>
          </w:tcPr>
          <w:p>
            <w:pPr>
              <w:jc w:val="center"/>
            </w:pPr>
            <w:r>
              <w:rPr>
                <w:color w:val="000000"/>
                <w:kern w:val="2"/>
                <w:sz w:val="24"/>
              </w:rPr>
              <w:t>0.0000%</w:t>
            </w:r>
          </w:p>
        </w:tc>
        <w:tc>
          <w:tcPr>
            <w:vAlign w:val="center"/>
          </w:tcPr>
          <w:p>
            <w:pPr>
              <w:jc w:val="center"/>
            </w:pPr>
            <w:r>
              <w:rPr>
                <w:color w:val="000000"/>
                <w:kern w:val="2"/>
                <w:sz w:val="24"/>
              </w:rPr>
              <w:t>9.4342%</w:t>
            </w:r>
          </w:p>
        </w:tc>
        <w:tc>
          <w:tcPr>
            <w:vAlign w:val="center"/>
          </w:tcPr>
          <w:p>
            <w:pPr>
              <w:jc w:val="center"/>
            </w:pPr>
            <w:r>
              <w:rPr>
                <w:color w:val="000000"/>
                <w:kern w:val="2"/>
                <w:sz w:val="24"/>
              </w:rPr>
              <w:t>0.0022%</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18.0067%</w:t>
            </w:r>
          </w:p>
        </w:tc>
        <w:tc>
          <w:tcPr>
            <w:vAlign w:val="center"/>
          </w:tcPr>
          <w:p>
            <w:pPr>
              <w:jc w:val="center"/>
            </w:pPr>
            <w:r>
              <w:rPr>
                <w:color w:val="000000"/>
                <w:kern w:val="2"/>
                <w:sz w:val="24"/>
              </w:rPr>
              <w:t>0.0024%</w:t>
            </w:r>
          </w:p>
        </w:tc>
        <w:tc>
          <w:tcPr>
            <w:vAlign w:val="center"/>
          </w:tcPr>
          <w:p>
            <w:pPr>
              <w:jc w:val="center"/>
            </w:pPr>
            <w:r>
              <w:rPr>
                <w:color w:val="000000"/>
                <w:kern w:val="2"/>
                <w:sz w:val="24"/>
              </w:rPr>
              <w:t>1.7921%</w:t>
            </w:r>
          </w:p>
        </w:tc>
        <w:tc>
          <w:tcPr>
            <w:vAlign w:val="center"/>
          </w:tcPr>
          <w:p>
            <w:pPr>
              <w:jc w:val="center"/>
            </w:pPr>
            <w:r>
              <w:rPr>
                <w:color w:val="000000"/>
                <w:kern w:val="2"/>
                <w:sz w:val="24"/>
              </w:rPr>
              <w:t>0.0000%</w:t>
            </w:r>
          </w:p>
        </w:tc>
        <w:tc>
          <w:tcPr>
            <w:vAlign w:val="center"/>
          </w:tcPr>
          <w:p>
            <w:pPr>
              <w:jc w:val="center"/>
            </w:pPr>
            <w:r>
              <w:rPr>
                <w:color w:val="000000"/>
                <w:kern w:val="2"/>
                <w:sz w:val="24"/>
              </w:rPr>
              <w:t>16.2146%</w:t>
            </w:r>
          </w:p>
        </w:tc>
        <w:tc>
          <w:tcPr>
            <w:vAlign w:val="center"/>
          </w:tcPr>
          <w:p>
            <w:pPr>
              <w:jc w:val="center"/>
            </w:pPr>
            <w:r>
              <w:rPr>
                <w:color w:val="000000"/>
                <w:kern w:val="2"/>
                <w:sz w:val="24"/>
              </w:rPr>
              <w:t>0.0024%</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31.7364%</w:t>
            </w:r>
          </w:p>
        </w:tc>
        <w:tc>
          <w:tcPr>
            <w:vAlign w:val="center"/>
          </w:tcPr>
          <w:p>
            <w:pPr>
              <w:jc w:val="center"/>
            </w:pPr>
            <w:r>
              <w:rPr>
                <w:color w:val="000000"/>
                <w:kern w:val="2"/>
                <w:sz w:val="24"/>
              </w:rPr>
              <w:t>0.0036%</w:t>
            </w:r>
          </w:p>
        </w:tc>
        <w:tc>
          <w:tcPr>
            <w:vAlign w:val="center"/>
          </w:tcPr>
          <w:p>
            <w:pPr>
              <w:jc w:val="center"/>
            </w:pPr>
            <w:r>
              <w:rPr>
                <w:color w:val="000000"/>
                <w:kern w:val="2"/>
                <w:sz w:val="24"/>
              </w:rPr>
              <w:t>2.6348%</w:t>
            </w:r>
          </w:p>
        </w:tc>
        <w:tc>
          <w:tcPr>
            <w:vAlign w:val="center"/>
          </w:tcPr>
          <w:p>
            <w:pPr>
              <w:jc w:val="center"/>
            </w:pPr>
            <w:r>
              <w:rPr>
                <w:color w:val="000000"/>
                <w:kern w:val="2"/>
                <w:sz w:val="24"/>
              </w:rPr>
              <w:t>0.0000%</w:t>
            </w:r>
          </w:p>
        </w:tc>
        <w:tc>
          <w:tcPr>
            <w:vAlign w:val="center"/>
          </w:tcPr>
          <w:p>
            <w:pPr>
              <w:jc w:val="center"/>
            </w:pPr>
            <w:r>
              <w:rPr>
                <w:color w:val="000000"/>
                <w:kern w:val="2"/>
                <w:sz w:val="24"/>
              </w:rPr>
              <w:t>29.1016%</w:t>
            </w:r>
          </w:p>
        </w:tc>
        <w:tc>
          <w:tcPr>
            <w:vAlign w:val="center"/>
          </w:tcPr>
          <w:p>
            <w:pPr>
              <w:jc w:val="center"/>
            </w:pPr>
            <w:r>
              <w:rPr>
                <w:color w:val="000000"/>
                <w:kern w:val="2"/>
                <w:sz w:val="24"/>
              </w:rPr>
              <w:t>0.0036%</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易方达天天理财货币R</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0.4931%</w:t>
            </w:r>
          </w:p>
        </w:tc>
        <w:tc>
          <w:tcPr>
            <w:vAlign w:val="center"/>
          </w:tcPr>
          <w:p>
            <w:pPr>
              <w:jc w:val="center"/>
            </w:pPr>
            <w:r>
              <w:rPr>
                <w:color w:val="000000"/>
                <w:kern w:val="2"/>
                <w:sz w:val="24"/>
              </w:rPr>
              <w:t>0.0006%</w:t>
            </w:r>
          </w:p>
        </w:tc>
        <w:tc>
          <w:tcPr>
            <w:vAlign w:val="center"/>
          </w:tcPr>
          <w:p>
            <w:pPr>
              <w:jc w:val="center"/>
            </w:pPr>
            <w:r>
              <w:rPr>
                <w:color w:val="000000"/>
                <w:kern w:val="2"/>
                <w:sz w:val="24"/>
              </w:rPr>
              <w:t>0.0885%</w:t>
            </w:r>
          </w:p>
        </w:tc>
        <w:tc>
          <w:tcPr>
            <w:vAlign w:val="center"/>
          </w:tcPr>
          <w:p>
            <w:pPr>
              <w:jc w:val="center"/>
            </w:pPr>
            <w:r>
              <w:rPr>
                <w:color w:val="000000"/>
                <w:kern w:val="2"/>
                <w:sz w:val="24"/>
              </w:rPr>
              <w:t>0.0000%</w:t>
            </w:r>
          </w:p>
        </w:tc>
        <w:tc>
          <w:tcPr>
            <w:vAlign w:val="center"/>
          </w:tcPr>
          <w:p>
            <w:pPr>
              <w:jc w:val="center"/>
            </w:pPr>
            <w:r>
              <w:rPr>
                <w:color w:val="000000"/>
                <w:kern w:val="2"/>
                <w:sz w:val="24"/>
              </w:rPr>
              <w:t>0.4046%</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1.1886%</w:t>
            </w:r>
          </w:p>
        </w:tc>
        <w:tc>
          <w:tcPr>
            <w:vAlign w:val="center"/>
          </w:tcPr>
          <w:p>
            <w:pPr>
              <w:jc w:val="center"/>
            </w:pPr>
            <w:r>
              <w:rPr>
                <w:color w:val="000000"/>
                <w:kern w:val="2"/>
                <w:sz w:val="24"/>
              </w:rPr>
              <w:t>0.0013%</w:t>
            </w:r>
          </w:p>
        </w:tc>
        <w:tc>
          <w:tcPr>
            <w:vAlign w:val="center"/>
          </w:tcPr>
          <w:p>
            <w:pPr>
              <w:jc w:val="center"/>
            </w:pPr>
            <w:r>
              <w:rPr>
                <w:color w:val="000000"/>
                <w:kern w:val="2"/>
                <w:sz w:val="24"/>
              </w:rPr>
              <w:t>0.1771%</w:t>
            </w:r>
          </w:p>
        </w:tc>
        <w:tc>
          <w:tcPr>
            <w:vAlign w:val="center"/>
          </w:tcPr>
          <w:p>
            <w:pPr>
              <w:jc w:val="center"/>
            </w:pPr>
            <w:r>
              <w:rPr>
                <w:color w:val="000000"/>
                <w:kern w:val="2"/>
                <w:sz w:val="24"/>
              </w:rPr>
              <w:t>0.0000%</w:t>
            </w:r>
          </w:p>
        </w:tc>
        <w:tc>
          <w:tcPr>
            <w:vAlign w:val="center"/>
          </w:tcPr>
          <w:p>
            <w:pPr>
              <w:jc w:val="center"/>
            </w:pPr>
            <w:r>
              <w:rPr>
                <w:color w:val="000000"/>
                <w:kern w:val="2"/>
                <w:sz w:val="24"/>
              </w:rPr>
              <w:t>1.0115%</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2.5546%</w:t>
            </w:r>
          </w:p>
        </w:tc>
        <w:tc>
          <w:tcPr>
            <w:vAlign w:val="center"/>
          </w:tcPr>
          <w:p>
            <w:pPr>
              <w:jc w:val="center"/>
            </w:pPr>
            <w:r>
              <w:rPr>
                <w:color w:val="000000"/>
                <w:kern w:val="2"/>
                <w:sz w:val="24"/>
              </w:rPr>
              <w:t>0.0010%</w:t>
            </w:r>
          </w:p>
        </w:tc>
        <w:tc>
          <w:tcPr>
            <w:vAlign w:val="center"/>
          </w:tcPr>
          <w:p>
            <w:pPr>
              <w:jc w:val="center"/>
            </w:pPr>
            <w:r>
              <w:rPr>
                <w:color w:val="000000"/>
                <w:kern w:val="2"/>
                <w:sz w:val="24"/>
              </w:rPr>
              <w:t>0.3565%</w:t>
            </w:r>
          </w:p>
        </w:tc>
        <w:tc>
          <w:tcPr>
            <w:vAlign w:val="center"/>
          </w:tcPr>
          <w:p>
            <w:pPr>
              <w:jc w:val="center"/>
            </w:pPr>
            <w:r>
              <w:rPr>
                <w:color w:val="000000"/>
                <w:kern w:val="2"/>
                <w:sz w:val="24"/>
              </w:rPr>
              <w:t>0.0000%</w:t>
            </w:r>
          </w:p>
        </w:tc>
        <w:tc>
          <w:tcPr>
            <w:vAlign w:val="center"/>
          </w:tcPr>
          <w:p>
            <w:pPr>
              <w:jc w:val="center"/>
            </w:pPr>
            <w:r>
              <w:rPr>
                <w:color w:val="000000"/>
                <w:kern w:val="2"/>
                <w:sz w:val="24"/>
              </w:rPr>
              <w:t>2.1981%</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10.5386%</w:t>
            </w:r>
          </w:p>
        </w:tc>
        <w:tc>
          <w:tcPr>
            <w:vAlign w:val="center"/>
          </w:tcPr>
          <w:p>
            <w:pPr>
              <w:jc w:val="center"/>
            </w:pPr>
            <w:r>
              <w:rPr>
                <w:color w:val="000000"/>
                <w:kern w:val="2"/>
                <w:sz w:val="24"/>
              </w:rPr>
              <w:t>0.0022%</w:t>
            </w:r>
          </w:p>
        </w:tc>
        <w:tc>
          <w:tcPr>
            <w:vAlign w:val="center"/>
          </w:tcPr>
          <w:p>
            <w:pPr>
              <w:jc w:val="center"/>
            </w:pPr>
            <w:r>
              <w:rPr>
                <w:color w:val="000000"/>
                <w:kern w:val="2"/>
                <w:sz w:val="24"/>
              </w:rPr>
              <w:t>1.0712%</w:t>
            </w:r>
          </w:p>
        </w:tc>
        <w:tc>
          <w:tcPr>
            <w:vAlign w:val="center"/>
          </w:tcPr>
          <w:p>
            <w:pPr>
              <w:jc w:val="center"/>
            </w:pPr>
            <w:r>
              <w:rPr>
                <w:color w:val="000000"/>
                <w:kern w:val="2"/>
                <w:sz w:val="24"/>
              </w:rPr>
              <w:t>0.0000%</w:t>
            </w:r>
          </w:p>
        </w:tc>
        <w:tc>
          <w:tcPr>
            <w:vAlign w:val="center"/>
          </w:tcPr>
          <w:p>
            <w:pPr>
              <w:jc w:val="center"/>
            </w:pPr>
            <w:r>
              <w:rPr>
                <w:color w:val="000000"/>
                <w:kern w:val="2"/>
                <w:sz w:val="24"/>
              </w:rPr>
              <w:t>9.4674%</w:t>
            </w:r>
          </w:p>
        </w:tc>
        <w:tc>
          <w:tcPr>
            <w:vAlign w:val="center"/>
          </w:tcPr>
          <w:p>
            <w:pPr>
              <w:jc w:val="center"/>
            </w:pPr>
            <w:r>
              <w:rPr>
                <w:color w:val="000000"/>
                <w:kern w:val="2"/>
                <w:sz w:val="24"/>
              </w:rPr>
              <w:t>0.0022%</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18.0657%</w:t>
            </w:r>
          </w:p>
        </w:tc>
        <w:tc>
          <w:tcPr>
            <w:vAlign w:val="center"/>
          </w:tcPr>
          <w:p>
            <w:pPr>
              <w:jc w:val="center"/>
            </w:pPr>
            <w:r>
              <w:rPr>
                <w:color w:val="000000"/>
                <w:kern w:val="2"/>
                <w:sz w:val="24"/>
              </w:rPr>
              <w:t>0.0024%</w:t>
            </w:r>
          </w:p>
        </w:tc>
        <w:tc>
          <w:tcPr>
            <w:vAlign w:val="center"/>
          </w:tcPr>
          <w:p>
            <w:pPr>
              <w:jc w:val="center"/>
            </w:pPr>
            <w:r>
              <w:rPr>
                <w:color w:val="000000"/>
                <w:kern w:val="2"/>
                <w:sz w:val="24"/>
              </w:rPr>
              <w:t>1.7921%</w:t>
            </w:r>
          </w:p>
        </w:tc>
        <w:tc>
          <w:tcPr>
            <w:vAlign w:val="center"/>
          </w:tcPr>
          <w:p>
            <w:pPr>
              <w:jc w:val="center"/>
            </w:pPr>
            <w:r>
              <w:rPr>
                <w:color w:val="000000"/>
                <w:kern w:val="2"/>
                <w:sz w:val="24"/>
              </w:rPr>
              <w:t>0.0000%</w:t>
            </w:r>
          </w:p>
        </w:tc>
        <w:tc>
          <w:tcPr>
            <w:vAlign w:val="center"/>
          </w:tcPr>
          <w:p>
            <w:pPr>
              <w:jc w:val="center"/>
            </w:pPr>
            <w:r>
              <w:rPr>
                <w:color w:val="000000"/>
                <w:kern w:val="2"/>
                <w:sz w:val="24"/>
              </w:rPr>
              <w:t>16.2736%</w:t>
            </w:r>
          </w:p>
        </w:tc>
        <w:tc>
          <w:tcPr>
            <w:vAlign w:val="center"/>
          </w:tcPr>
          <w:p>
            <w:pPr>
              <w:jc w:val="center"/>
            </w:pPr>
            <w:r>
              <w:rPr>
                <w:color w:val="000000"/>
                <w:kern w:val="2"/>
                <w:sz w:val="24"/>
              </w:rPr>
              <w:t>0.0024%</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31.8334%</w:t>
            </w:r>
          </w:p>
        </w:tc>
        <w:tc>
          <w:tcPr>
            <w:vAlign w:val="center"/>
          </w:tcPr>
          <w:p>
            <w:pPr>
              <w:jc w:val="center"/>
            </w:pPr>
            <w:r>
              <w:rPr>
                <w:color w:val="000000"/>
                <w:kern w:val="2"/>
                <w:sz w:val="24"/>
              </w:rPr>
              <w:t>0.0036%</w:t>
            </w:r>
          </w:p>
        </w:tc>
        <w:tc>
          <w:tcPr>
            <w:vAlign w:val="center"/>
          </w:tcPr>
          <w:p>
            <w:pPr>
              <w:jc w:val="center"/>
            </w:pPr>
            <w:r>
              <w:rPr>
                <w:color w:val="000000"/>
                <w:kern w:val="2"/>
                <w:sz w:val="24"/>
              </w:rPr>
              <w:t>2.6348%</w:t>
            </w:r>
          </w:p>
        </w:tc>
        <w:tc>
          <w:tcPr>
            <w:vAlign w:val="center"/>
          </w:tcPr>
          <w:p>
            <w:pPr>
              <w:jc w:val="center"/>
            </w:pPr>
            <w:r>
              <w:rPr>
                <w:color w:val="000000"/>
                <w:kern w:val="2"/>
                <w:sz w:val="24"/>
              </w:rPr>
              <w:t>0.0000%</w:t>
            </w:r>
          </w:p>
        </w:tc>
        <w:tc>
          <w:tcPr>
            <w:vAlign w:val="center"/>
          </w:tcPr>
          <w:p>
            <w:pPr>
              <w:jc w:val="center"/>
            </w:pPr>
            <w:r>
              <w:rPr>
                <w:color w:val="000000"/>
                <w:kern w:val="2"/>
                <w:sz w:val="24"/>
              </w:rPr>
              <w:t>29.1986%</w:t>
            </w:r>
          </w:p>
        </w:tc>
        <w:tc>
          <w:tcPr>
            <w:vAlign w:val="center"/>
          </w:tcPr>
          <w:p>
            <w:pPr>
              <w:jc w:val="center"/>
            </w:pPr>
            <w:r>
              <w:rPr>
                <w:color w:val="000000"/>
                <w:kern w:val="2"/>
                <w:sz w:val="24"/>
              </w:rPr>
              <w:t>0.0036%</w:t>
            </w:r>
          </w:p>
        </w:tc>
      </w:tr>
    </w:tbl>
    <w:p w:rsidP="00811A1A" w:rsidR="00811A1A" w:rsidRDefault="00811A1A" w:rsidRPr="00613409">
      <w:pPr>
        <w:pStyle w:val="20"/>
        <w:spacing w:line="360" w:lineRule="auto"/>
        <w:ind w:firstLine="0" w:firstLineChars="0"/>
        <w:rPr>
          <w:b/>
          <w:color w:val="000000"/>
          <w:sz w:val="24"/>
        </w:rPr>
      </w:pPr>
      <w:r>
        <w:rPr>
          <w:b/>
          <w:color w:val="000000"/>
          <w:sz w:val="24"/>
        </w:rPr>
        <w:t/>
      </w:r>
      <w:r>
        <w:rPr>
          <w:rFonts w:hint="eastAsia"/>
          <w:b/>
          <w:color w:val="000000"/>
          <w:sz w:val="24"/>
        </w:rPr>
        <w:t/>
      </w:r>
      <w:r w:rsidRPr="00613409">
        <w:rPr>
          <w:b/>
          <w:color w:val="000000"/>
          <w:sz w:val="24"/>
        </w:rPr>
        <w:t>易方达天天理财货币C</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811A1A" w:rsidRPr="0097021E" w:rsidTr="00AB25B0">
        <w:tc>
          <w:tcPr>
            <w:tcW w:type="dxa" w:w="1328"/>
            <w:vAlign w:val="center"/>
          </w:tcPr>
          <w:p w:rsidP="00AB25B0" w:rsidR="00811A1A" w:rsidRDefault="00811A1A"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AB25B0" w:rsidR="00811A1A" w:rsidRDefault="00811A1A"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AB25B0" w:rsidR="00811A1A" w:rsidRDefault="00811A1A"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AB25B0" w:rsidR="00811A1A" w:rsidRDefault="00811A1A"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AB25B0" w:rsidR="00811A1A" w:rsidRDefault="00811A1A"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AB25B0" w:rsidR="00811A1A" w:rsidRDefault="00811A1A"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AB25B0" w:rsidR="00811A1A" w:rsidRDefault="00811A1A"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0.4305%</w:t>
            </w:r>
          </w:p>
        </w:tc>
        <w:tc>
          <w:tcPr>
            <w:vAlign w:val="center"/>
          </w:tcPr>
          <w:p>
            <w:pPr>
              <w:jc w:val="center"/>
            </w:pPr>
            <w:r>
              <w:rPr>
                <w:color w:val="000000"/>
                <w:kern w:val="2"/>
                <w:sz w:val="24"/>
              </w:rPr>
              <w:t>0.0006%</w:t>
            </w:r>
          </w:p>
        </w:tc>
        <w:tc>
          <w:tcPr>
            <w:vAlign w:val="center"/>
          </w:tcPr>
          <w:p>
            <w:pPr>
              <w:jc w:val="center"/>
            </w:pPr>
            <w:r>
              <w:rPr>
                <w:color w:val="000000"/>
                <w:kern w:val="2"/>
                <w:sz w:val="24"/>
              </w:rPr>
              <w:t>0.0885%</w:t>
            </w:r>
          </w:p>
        </w:tc>
        <w:tc>
          <w:tcPr>
            <w:vAlign w:val="center"/>
          </w:tcPr>
          <w:p>
            <w:pPr>
              <w:jc w:val="center"/>
            </w:pPr>
            <w:r>
              <w:rPr>
                <w:color w:val="000000"/>
                <w:kern w:val="2"/>
                <w:sz w:val="24"/>
              </w:rPr>
              <w:t>0.0000%</w:t>
            </w:r>
          </w:p>
        </w:tc>
        <w:tc>
          <w:tcPr>
            <w:vAlign w:val="center"/>
          </w:tcPr>
          <w:p>
            <w:pPr>
              <w:jc w:val="center"/>
            </w:pPr>
            <w:r>
              <w:rPr>
                <w:color w:val="000000"/>
                <w:kern w:val="2"/>
                <w:sz w:val="24"/>
              </w:rPr>
              <w:t>0.3420%</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1.0630%</w:t>
            </w:r>
          </w:p>
        </w:tc>
        <w:tc>
          <w:tcPr>
            <w:vAlign w:val="center"/>
          </w:tcPr>
          <w:p>
            <w:pPr>
              <w:jc w:val="center"/>
            </w:pPr>
            <w:r>
              <w:rPr>
                <w:color w:val="000000"/>
                <w:kern w:val="2"/>
                <w:sz w:val="24"/>
              </w:rPr>
              <w:t>0.0013%</w:t>
            </w:r>
          </w:p>
        </w:tc>
        <w:tc>
          <w:tcPr>
            <w:vAlign w:val="center"/>
          </w:tcPr>
          <w:p>
            <w:pPr>
              <w:jc w:val="center"/>
            </w:pPr>
            <w:r>
              <w:rPr>
                <w:color w:val="000000"/>
                <w:kern w:val="2"/>
                <w:sz w:val="24"/>
              </w:rPr>
              <w:t>0.1771%</w:t>
            </w:r>
          </w:p>
        </w:tc>
        <w:tc>
          <w:tcPr>
            <w:vAlign w:val="center"/>
          </w:tcPr>
          <w:p>
            <w:pPr>
              <w:jc w:val="center"/>
            </w:pPr>
            <w:r>
              <w:rPr>
                <w:color w:val="000000"/>
                <w:kern w:val="2"/>
                <w:sz w:val="24"/>
              </w:rPr>
              <w:t>0.0000%</w:t>
            </w:r>
          </w:p>
        </w:tc>
        <w:tc>
          <w:tcPr>
            <w:vAlign w:val="center"/>
          </w:tcPr>
          <w:p>
            <w:pPr>
              <w:jc w:val="center"/>
            </w:pPr>
            <w:r>
              <w:rPr>
                <w:color w:val="000000"/>
                <w:kern w:val="2"/>
                <w:sz w:val="24"/>
              </w:rPr>
              <w:t>0.8859%</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2.2995%</w:t>
            </w:r>
          </w:p>
        </w:tc>
        <w:tc>
          <w:tcPr>
            <w:vAlign w:val="center"/>
          </w:tcPr>
          <w:p>
            <w:pPr>
              <w:jc w:val="center"/>
            </w:pPr>
            <w:r>
              <w:rPr>
                <w:color w:val="000000"/>
                <w:kern w:val="2"/>
                <w:sz w:val="24"/>
              </w:rPr>
              <w:t>0.0010%</w:t>
            </w:r>
          </w:p>
        </w:tc>
        <w:tc>
          <w:tcPr>
            <w:vAlign w:val="center"/>
          </w:tcPr>
          <w:p>
            <w:pPr>
              <w:jc w:val="center"/>
            </w:pPr>
            <w:r>
              <w:rPr>
                <w:color w:val="000000"/>
                <w:kern w:val="2"/>
                <w:sz w:val="24"/>
              </w:rPr>
              <w:t>0.3565%</w:t>
            </w:r>
          </w:p>
        </w:tc>
        <w:tc>
          <w:tcPr>
            <w:vAlign w:val="center"/>
          </w:tcPr>
          <w:p>
            <w:pPr>
              <w:jc w:val="center"/>
            </w:pPr>
            <w:r>
              <w:rPr>
                <w:color w:val="000000"/>
                <w:kern w:val="2"/>
                <w:sz w:val="24"/>
              </w:rPr>
              <w:t>0.0000%</w:t>
            </w:r>
          </w:p>
        </w:tc>
        <w:tc>
          <w:tcPr>
            <w:vAlign w:val="center"/>
          </w:tcPr>
          <w:p>
            <w:pPr>
              <w:jc w:val="center"/>
            </w:pPr>
            <w:r>
              <w:rPr>
                <w:color w:val="000000"/>
                <w:kern w:val="2"/>
                <w:sz w:val="24"/>
              </w:rPr>
              <w:t>1.9430%</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8.3176%</w:t>
            </w:r>
          </w:p>
        </w:tc>
        <w:tc>
          <w:tcPr>
            <w:vAlign w:val="center"/>
          </w:tcPr>
          <w:p>
            <w:pPr>
              <w:jc w:val="center"/>
            </w:pPr>
            <w:r>
              <w:rPr>
                <w:color w:val="000000"/>
                <w:kern w:val="2"/>
                <w:sz w:val="24"/>
              </w:rPr>
              <w:t>0.0021%</w:t>
            </w:r>
          </w:p>
        </w:tc>
        <w:tc>
          <w:tcPr>
            <w:vAlign w:val="center"/>
          </w:tcPr>
          <w:p>
            <w:pPr>
              <w:jc w:val="center"/>
            </w:pPr>
            <w:r>
              <w:rPr>
                <w:color w:val="000000"/>
                <w:kern w:val="2"/>
                <w:sz w:val="24"/>
              </w:rPr>
              <w:t>0.9583%</w:t>
            </w:r>
          </w:p>
        </w:tc>
        <w:tc>
          <w:tcPr>
            <w:vAlign w:val="center"/>
          </w:tcPr>
          <w:p>
            <w:pPr>
              <w:jc w:val="center"/>
            </w:pPr>
            <w:r>
              <w:rPr>
                <w:color w:val="000000"/>
                <w:kern w:val="2"/>
                <w:sz w:val="24"/>
              </w:rPr>
              <w:t>0.0000%</w:t>
            </w:r>
          </w:p>
        </w:tc>
        <w:tc>
          <w:tcPr>
            <w:vAlign w:val="center"/>
          </w:tcPr>
          <w:p>
            <w:pPr>
              <w:jc w:val="center"/>
            </w:pPr>
            <w:r>
              <w:rPr>
                <w:color w:val="000000"/>
                <w:kern w:val="2"/>
                <w:sz w:val="24"/>
              </w:rPr>
              <w:t>7.3593%</w:t>
            </w:r>
          </w:p>
        </w:tc>
        <w:tc>
          <w:tcPr>
            <w:vAlign w:val="center"/>
          </w:tcPr>
          <w:p>
            <w:pPr>
              <w:jc w:val="center"/>
            </w:pPr>
            <w:r>
              <w:rPr>
                <w:color w:val="000000"/>
                <w:kern w:val="2"/>
                <w:sz w:val="24"/>
              </w:rPr>
              <w:t>0.0021%</w:t>
            </w:r>
          </w:p>
        </w:tc>
      </w:tr>
    </w:tbl>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3.2.2</w:t>
        </w:r>
        <w:r w:rsidR="001136E5"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EA3F40" w:rsidRDefault="00EA3F40" w:rsidRPr="00613409">
      <w:pPr>
        <w:spacing w:line="360" w:lineRule="auto"/>
        <w:jc w:val="center"/>
        <w:rPr>
          <w:sz w:val="24"/>
        </w:rPr>
      </w:pPr>
      <w:r w:rsidRPr="00613409">
        <w:rPr>
          <w:sz w:val="24"/>
        </w:rPr>
        <w:t>易方达天天理财货币市场基金</w:t>
      </w:r>
    </w:p>
    <w:p w:rsidP="002C4035" w:rsidR="002C4035" w:rsidRDefault="00EA3F40" w:rsidRPr="002C4035">
      <w:pPr>
        <w:pStyle w:val="a6"/>
        <w:snapToGrid w:val="0"/>
        <w:spacing w:line="360" w:lineRule="auto"/>
        <w:jc w:val="center"/>
        <w:rPr>
          <w:rFonts w:ascii="Times New Roman" w:hAnsi="Times New Roman"/>
          <w:color w:val="000000"/>
          <w:sz w:val="24"/>
          <w:szCs w:val="24"/>
        </w:rPr>
      </w:pPr>
      <w:r w:rsidRPr="00613409">
        <w:rPr>
          <w:rFonts w:ascii="Times New Roman" w:hAnsi="Times New Roman"/>
          <w:sz w:val="24"/>
          <w:szCs w:val="24"/>
        </w:rPr>
        <w:t>累计净值收益率与业绩比较基准收益率的历史走势对比图</w:t>
      </w:r>
    </w:p>
    <w:p w:rsidP="002C4035" w:rsidR="002C4035" w:rsidRDefault="00EA3F40" w:rsidRPr="002C4035">
      <w:pPr>
        <w:snapToGrid w:val="0"/>
        <w:spacing w:line="360" w:lineRule="auto"/>
        <w:rPr>
          <w:rFonts w:hAnsi="宋体"/>
          <w:color w:val="000000"/>
          <w:sz w:val="24"/>
        </w:rPr>
      </w:pPr>
      <w:r w:rsidRPr="00613409">
        <w:rPr>
          <w:color w:val="000000"/>
          <w:kern w:val="0"/>
          <w:sz w:val="24"/>
        </w:rPr>
        <w:t>易方达天天理财货币A</w:t>
      </w:r>
      <w:r w:rsidR="002C4035" w:rsidRPr="00B03D98">
        <w:rPr>
          <w:rFonts w:hAnsi="宋体"/>
          <w:color w:val="000000"/>
          <w:sz w:val="24"/>
        </w:rPr>
        <w:t xml:space="preserve"> </w:t>
      </w:r>
    </w:p>
    <w:p w:rsidP="002C4035" w:rsidR="00EA3F40" w:rsidRDefault="002C4035" w:rsidRPr="002C4035">
      <w:pPr>
        <w:pStyle w:val="a6"/>
        <w:snapToGrid w:val="0"/>
        <w:spacing w:line="360" w:lineRule="auto"/>
        <w:jc w:val="center"/>
        <w:rPr>
          <w:rFonts w:ascii="Times New Roman" w:hAnsi="Times New Roman"/>
          <w:sz w:val="24"/>
          <w:szCs w:val="24"/>
        </w:rPr>
      </w:pPr>
      <w:r w:rsidRPr="002C4035">
        <w:rPr>
          <w:rFonts w:ascii="Times New Roman" w:hAnsi="Times New Roman"/>
          <w:sz w:val="24"/>
          <w:szCs w:val="24"/>
        </w:rPr>
        <w:lastRenderedPageBreak/>
        <w:t>（2013年3月4日至2020年6月30日）</w:t>
      </w:r>
    </w:p>
    <w:p w:rsidP="00196812" w:rsidR="00EA3F40" w:rsidRDefault="00557A66" w:rsidRPr="007600BC">
      <w:pPr>
        <w:tabs>
          <w:tab w:pos="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613409" w:rsidR="00EA3F40" w:rsidRDefault="00613409" w:rsidRPr="0097021E">
      <w:pPr>
        <w:tabs>
          <w:tab w:pos="825" w:val="left"/>
        </w:tabs>
        <w:adjustRightInd w:val="0"/>
        <w:snapToGrid w:val="0"/>
        <w:spacing w:line="360" w:lineRule="auto"/>
        <w:rPr>
          <w:rFonts w:ascii="宋体"/>
          <w:color w:val="000000"/>
          <w:sz w:val="24"/>
        </w:rPr>
      </w:pPr>
      <w:r>
        <w:rPr>
          <w:rFonts w:ascii="宋体"/>
          <w:color w:val="000000"/>
          <w:sz w:val="24"/>
        </w:rPr>
        <w:tab/>
      </w:r>
    </w:p>
    <w:p w:rsidP="002C4035" w:rsidR="002C4035" w:rsidRDefault="00EA3F40" w:rsidRPr="002C4035">
      <w:pPr>
        <w:snapToGrid w:val="0"/>
        <w:spacing w:before="312" w:beforeLines="100" w:line="360" w:lineRule="auto"/>
        <w:rPr>
          <w:rFonts w:hAnsi="宋体"/>
          <w:color w:val="000000"/>
          <w:sz w:val="24"/>
        </w:rPr>
      </w:pPr>
      <w:r w:rsidRPr="00613409">
        <w:rPr>
          <w:color w:val="000000"/>
          <w:kern w:val="0"/>
          <w:sz w:val="24"/>
        </w:rPr>
        <w:t>易方达天天理财货币B</w:t>
      </w:r>
      <w:r w:rsidR="002C4035" w:rsidRPr="00B03D98">
        <w:rPr>
          <w:rFonts w:hAnsi="宋体"/>
          <w:color w:val="000000"/>
          <w:sz w:val="24"/>
        </w:rPr>
        <w:t xml:space="preserve"> </w:t>
      </w:r>
    </w:p>
    <w:p w:rsidP="002C4035" w:rsidR="00EA3F40" w:rsidRDefault="002C4035" w:rsidRPr="002C4035">
      <w:pPr>
        <w:pStyle w:val="a6"/>
        <w:snapToGrid w:val="0"/>
        <w:spacing w:line="360" w:lineRule="auto"/>
        <w:jc w:val="center"/>
        <w:rPr>
          <w:rFonts w:ascii="Times New Roman" w:hAnsi="Times New Roman"/>
          <w:sz w:val="24"/>
          <w:szCs w:val="24"/>
        </w:rPr>
      </w:pPr>
      <w:r w:rsidRPr="002C4035">
        <w:rPr>
          <w:rFonts w:ascii="Times New Roman" w:hAnsi="Times New Roman"/>
          <w:sz w:val="24"/>
          <w:szCs w:val="24"/>
        </w:rPr>
        <w:t>（2013年3月4日至2020年6月30日）</w:t>
      </w:r>
    </w:p>
    <w:p w:rsidP="00196812" w:rsidR="00EA3F40" w:rsidRDefault="00557A66" w:rsidRPr="0097021E">
      <w:pPr>
        <w:snapToGrid w:val="0"/>
        <w:spacing w:line="360" w:lineRule="auto"/>
        <w:jc w:val="center"/>
        <w:rPr>
          <w:rFonts w:ascii="宋体"/>
          <w:color w:val="000000"/>
          <w:sz w:val="24"/>
        </w:rPr>
      </w:pPr>
      <w:r>
        <w:rPr>
          <w:rFonts w:ascii="宋体"/>
          <w:noProof/>
          <w:color w:val="000000"/>
          <w:sz w:val="24"/>
        </w:rPr>
        <w:lastRenderedPageBreak/>
        <w:pict>
          <v:shape id="图片 2" o:spid="_x0000_i1026" style="width:452.25pt;height:267pt;visibility:visible" type="#_x0000_t75">
            <v:imagedata o:title="" r:id="rId11"/>
          </v:shape>
        </w:pict>
      </w:r>
    </w:p>
    <w:p w:rsidP="002C4035" w:rsidR="002C4035" w:rsidRDefault="00EA3F40" w:rsidRPr="002C4035">
      <w:pPr>
        <w:snapToGrid w:val="0"/>
        <w:spacing w:before="312" w:beforeLines="100" w:line="360" w:lineRule="auto"/>
        <w:rPr>
          <w:rFonts w:hAnsi="宋体"/>
          <w:color w:val="000000"/>
          <w:sz w:val="24"/>
        </w:rPr>
      </w:pPr>
      <w:r w:rsidRPr="00613409">
        <w:rPr>
          <w:color w:val="000000"/>
          <w:kern w:val="0"/>
          <w:sz w:val="24"/>
        </w:rPr>
        <w:t>易方达天天理财货币R</w:t>
      </w:r>
      <w:r w:rsidR="002C4035" w:rsidRPr="00B03D98">
        <w:rPr>
          <w:rFonts w:hAnsi="宋体"/>
          <w:color w:val="000000"/>
          <w:sz w:val="24"/>
        </w:rPr>
        <w:t xml:space="preserve"> </w:t>
      </w:r>
    </w:p>
    <w:p w:rsidP="002C4035" w:rsidR="00EA3F40" w:rsidRDefault="002C4035" w:rsidRPr="002C4035">
      <w:pPr>
        <w:pStyle w:val="a6"/>
        <w:snapToGrid w:val="0"/>
        <w:spacing w:line="360" w:lineRule="auto"/>
        <w:jc w:val="center"/>
        <w:rPr>
          <w:rFonts w:ascii="Times New Roman" w:hAnsi="Times New Roman"/>
          <w:sz w:val="24"/>
          <w:szCs w:val="24"/>
        </w:rPr>
      </w:pPr>
      <w:r w:rsidRPr="002C4035">
        <w:rPr>
          <w:rFonts w:ascii="Times New Roman" w:hAnsi="Times New Roman"/>
          <w:sz w:val="24"/>
          <w:szCs w:val="24"/>
        </w:rPr>
        <w:t>（2013年3月4日至2020年6月30日）</w:t>
      </w:r>
    </w:p>
    <w:p w:rsidP="00220437" w:rsidR="00EA3F40" w:rsidRDefault="00557A66" w:rsidRPr="000A39AB">
      <w:pPr>
        <w:autoSpaceDE w:val="0"/>
        <w:autoSpaceDN w:val="0"/>
        <w:adjustRightInd w:val="0"/>
        <w:spacing w:line="360" w:lineRule="auto"/>
        <w:jc w:val="center"/>
        <w:rPr>
          <w:rFonts w:ascii="宋体"/>
          <w:color w:val="000000"/>
          <w:sz w:val="24"/>
        </w:rPr>
      </w:pPr>
      <w:r>
        <w:rPr>
          <w:rFonts w:ascii="宋体"/>
          <w:noProof/>
          <w:color w:val="000000"/>
          <w:sz w:val="24"/>
        </w:rPr>
        <w:pict>
          <v:shape id="图片 6" o:spid="_x0000_i1027" style="width:452.25pt;height:267pt;visibility:visible" type="#_x0000_t75">
            <v:imagedata o:title="" r:id="rId12"/>
          </v:shape>
        </w:pict>
      </w:r>
    </w:p>
    <w:p w:rsidP="002C4035" w:rsidR="002C4035" w:rsidRDefault="00811A1A" w:rsidRPr="002C4035">
      <w:pPr>
        <w:snapToGrid w:val="0"/>
        <w:spacing w:before="312" w:beforeLines="100" w:line="360" w:lineRule="auto"/>
        <w:rPr>
          <w:rFonts w:hAnsi="宋体"/>
          <w:color w:val="000000"/>
          <w:sz w:val="24"/>
        </w:rPr>
      </w:pPr>
      <w:r>
        <w:rPr>
          <w:color w:val="000000"/>
          <w:kern w:val="0"/>
          <w:sz w:val="24"/>
        </w:rPr>
        <w:lastRenderedPageBreak/>
        <w:t/>
      </w:r>
      <w:r w:rsidRPr="00613409">
        <w:rPr>
          <w:color w:val="000000"/>
          <w:kern w:val="0"/>
          <w:sz w:val="24"/>
        </w:rPr>
        <w:t>易方达天天理财货币C</w:t>
      </w:r>
      <w:r w:rsidR="002C4035" w:rsidRPr="00B03D98">
        <w:rPr>
          <w:rFonts w:hAnsi="宋体"/>
          <w:color w:val="000000"/>
          <w:sz w:val="24"/>
        </w:rPr>
        <w:t xml:space="preserve"> </w:t>
      </w:r>
    </w:p>
    <w:p w:rsidP="002C4035" w:rsidR="00811A1A" w:rsidRDefault="002C4035" w:rsidRPr="002C4035">
      <w:pPr>
        <w:pStyle w:val="a6"/>
        <w:snapToGrid w:val="0"/>
        <w:spacing w:line="360" w:lineRule="auto"/>
        <w:jc w:val="center"/>
        <w:rPr>
          <w:rFonts w:ascii="Times New Roman" w:hAnsi="Times New Roman"/>
          <w:sz w:val="24"/>
          <w:szCs w:val="24"/>
        </w:rPr>
      </w:pPr>
      <w:r w:rsidRPr="002C4035">
        <w:rPr>
          <w:rFonts w:ascii="Times New Roman" w:hAnsi="Times New Roman"/>
          <w:sz w:val="24"/>
          <w:szCs w:val="24"/>
        </w:rPr>
        <w:t>（2017年10月24日至2020年6月30日）</w:t>
      </w:r>
    </w:p>
    <w:p w:rsidP="00811A1A" w:rsidR="00811A1A" w:rsidRDefault="00557A66" w:rsidRPr="000A39AB">
      <w:pPr>
        <w:autoSpaceDE w:val="0"/>
        <w:autoSpaceDN w:val="0"/>
        <w:adjustRightInd w:val="0"/>
        <w:spacing w:line="360" w:lineRule="auto"/>
        <w:jc w:val="center"/>
        <w:rPr>
          <w:rFonts w:ascii="宋体"/>
          <w:color w:val="000000"/>
          <w:sz w:val="24"/>
        </w:rPr>
      </w:pPr>
      <w:r>
        <w:rPr>
          <w:rFonts w:ascii="宋体" w:hAnsi="宋体"/>
          <w:b/>
          <w:noProof/>
          <w:color w:val="000000"/>
        </w:rPr>
        <w:pict>
          <v:shape alt="说明: D:\浏览器下载\走势图柱状图\走势图4.jpg" id="_x0000_i1028" style="width:441pt;height:258pt;visibility:visible;mso-wrap-style:square" type="#_x0000_t75">
            <v:imagedata o:title="走势图4" r:id="rId13"/>
          </v:shape>
        </w:pict>
      </w:r>
    </w:p>
    <w:p>
      <w:pPr>
        <w:adjustRightInd w:val="0"/>
        <w:spacing w:line="360" w:lineRule="auto"/>
        <w:ind w:firstLine="480" w:firstLineChars="200"/>
        <w:rPr>
          <w:color w:val="000000"/>
          <w:sz w:val="24"/>
        </w:rPr>
      </w:pPr>
      <w:r>
        <w:rPr>
          <w:color w:val="000000"/>
          <w:sz w:val="24"/>
        </w:rPr>
        <w:t>注：1.自2017年10月23日起，本基金增设C类份额类别，份额首次确认日为2017年10月24日，增设当期的相关数据和指标按实际存续期计算。</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
      </w:r>
      <w:r w:rsidR="005B005F">
        <w:rPr>
          <w:rFonts w:hint="eastAsia"/>
          <w:color w:val="000000"/>
          <w:sz w:val="24"/>
        </w:rPr>
        <w:t/>
      </w:r>
      <w:r w:rsidRPr="001752C7">
        <w:rPr>
          <w:color w:val="000000"/>
          <w:sz w:val="24"/>
        </w:rPr>
        <w:t>2.自基金合同生效至报告期末，A类基金份额净值收益率为29.4432%，B类基金份额净值收益率为31.7364%，R类基金份额净值收益率为31.8334%，同期业绩比较基准收益率为2.6348%。C类基金份额净值收益率为8.3176%，同期业绩比较基准收益率为0.9583%。</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E23C1B" w:rsidR="00E23C1B" w:rsidRDefault="00EA3F40"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Pr="0097021E">
        <w:rPr>
          <w:rFonts w:ascii="宋体" w:cs="Arial" w:hAnsi="宋体" w:hint="eastAsia"/>
          <w:b/>
          <w:color w:val="000000"/>
          <w:kern w:val="0"/>
          <w:sz w:val="24"/>
        </w:rPr>
        <w:t>基金经理</w:t>
      </w:r>
      <w:r w:rsidR="007C3671">
        <w:rPr>
          <w:rFonts w:ascii="宋体" w:cs="Arial" w:hAnsi="宋体" w:hint="eastAsia"/>
          <w:b/>
          <w:color w:val="000000"/>
          <w:kern w:val="0"/>
          <w:sz w:val="24"/>
        </w:rPr>
        <w:t>（</w:t>
      </w:r>
      <w:r w:rsidR="007C3671" w:rsidRPr="0097021E">
        <w:rPr>
          <w:rFonts w:ascii="宋体" w:cs="Arial" w:hAnsi="宋体" w:hint="eastAsia"/>
          <w:b/>
          <w:color w:val="000000"/>
          <w:kern w:val="0"/>
          <w:sz w:val="24"/>
        </w:rPr>
        <w:t>或基金经理小组</w:t>
      </w:r>
      <w:r w:rsidR="007C367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E23C1B" w:rsidRPr="0078105B" w:rsidTr="002E41BD">
        <w:trPr>
          <w:cantSplit/>
        </w:trPr>
        <w:tc>
          <w:tcPr>
            <w:tcW w:type="dxa" w:w="56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E23C1B" w:rsidRPr="0078105B" w:rsidTr="002E41BD">
        <w:trPr>
          <w:cantSplit/>
        </w:trPr>
        <w:tc>
          <w:tcPr>
            <w:tcW w:type="dxa" w:w="56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835"/>
            <w:vMerge/>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货币市场基金的基金经理、易方达保证金收益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2013-03-04</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刘朝阳</w:t>
            </w:r>
          </w:p>
        </w:tc>
        <w:tc>
          <w:tcPr>
            <w:vAlign w:val="center"/>
          </w:tcPr>
          <w:p>
            <w:pPr>
              <w:jc w:val="left"/>
            </w:pPr>
            <w:r>
              <w:rPr>
                <w:color w:val="000000"/>
                <w:sz w:val="24"/>
              </w:rPr>
              <w:t>本基金的基金经理、易方达财富快线货币市场基金的基金经理、易方达易理财货币市场基金的基金经理、易方达安悦超短债债券型证券投资基金的基金经理、现金管理部总经理</w:t>
            </w:r>
          </w:p>
        </w:tc>
        <w:tc>
          <w:tcPr>
            <w:vAlign w:val="center"/>
          </w:tcPr>
          <w:p>
            <w:pPr>
              <w:jc w:val="center"/>
            </w:pPr>
            <w:r>
              <w:rPr>
                <w:color w:val="000000"/>
                <w:sz w:val="24"/>
              </w:rPr>
              <w:t>2016-03-29</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硕士研究生，具有基金从业资格。曾任南方基金管理有限公司固定收益部研究员、债券交易员、宏观策略高级研究员、基金经理。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E23C1B" w:rsidR="00EA3F40" w:rsidRDefault="00E23C1B" w:rsidRPr="00613409">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lastRenderedPageBreak/>
        <w:t xml:space="preserve">4.2 </w:t>
      </w:r>
      <w:r w:rsidRPr="0044342F">
        <w:rPr>
          <w:rFonts w:ascii="宋体" w:cs="Arial" w:hAnsi="宋体" w:hint="eastAsia"/>
          <w:b/>
          <w:color w:val="000000"/>
          <w:kern w:val="0"/>
          <w:sz w:val="24"/>
        </w:rPr>
        <w:t>管理人对报告期内本基金运作遵规守信情况的说明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EA3F40" w:rsidRDefault="00EA3F40"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4.3.1</w:t>
        </w:r>
      </w:smartTag>
      <w:r w:rsidRPr="0097021E">
        <w:rPr>
          <w:rFonts w:ascii="宋体" w:hAnsi="宋体"/>
          <w:sz w:val="24"/>
        </w:rPr>
        <w:t xml:space="preserve"> </w:t>
      </w:r>
      <w:r w:rsidRPr="0097021E">
        <w:rPr>
          <w:rFonts w:ascii="宋体" w:hAnsi="宋体" w:hint="eastAsia"/>
          <w:sz w:val="24"/>
        </w:rPr>
        <w:t>公平交易制度的执行情况</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4.3.2</w:t>
        </w:r>
      </w:smartTag>
      <w:r w:rsidRPr="0097021E">
        <w:rPr>
          <w:rFonts w:ascii="宋体" w:hAnsi="宋体"/>
          <w:sz w:val="24"/>
        </w:rPr>
        <w:t xml:space="preserve"> </w:t>
      </w:r>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本报告期内，未发现本基金有可能导致不公平交易和利益输送的异常交易。</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adjustRightInd w:val="0"/>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隔夜利率更是跌破1%，带动了短端和长端收益率震荡下行。5月上旬，货币政策进一步宽松不及预期叠加经济修复延续，长端收益率开始上行。随后，社融放量强化经济修复预期，收益率进一步大幅上行，且短端上行幅度更大，曲线呈现出熊平趋势。货币市场收益率从大幅低于政策利率向政策操作利率开始靠拢。进入6月，货币环境仍然保持中性，叠加首批1000亿元特别国债发行但央行无配套动作，降准预期屡次落空，市场情绪进一步悲观，继续推动收益率上行。半年末，央行适时开启逆回购呵护半年末流动性，市场情绪有所恢复，短端和长端收益率趋于稳定。全季来看市场收益率先下后上，货币基金收益率整体保持稳定。</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操作方面，报告期内基金以同业存单、同业存款、短期逆回购为主要配置资产。根据市场情况的变化，本基金逐步增加了回购资产的配置，6月中下旬加大了跨季配置力度，维持了适当的剩余期限和杠杆率。总体来看，组合在二季度保持了较好的流动性和稳定的收益率。</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4.4.2</w:t>
        </w:r>
      </w:smartTag>
      <w:r w:rsidRPr="0097021E">
        <w:rPr>
          <w:rFonts w:ascii="宋体" w:hAnsi="宋体" w:hint="eastAsia"/>
          <w:sz w:val="24"/>
        </w:rPr>
        <w:t>报告期内基金的业绩表现</w:t>
      </w:r>
    </w:p>
    <w:p w:rsidP="00613409" w:rsidR="00EA3F40" w:rsidRDefault="00EA3F40" w:rsidRPr="00613409">
      <w:pPr>
        <w:adjustRightInd w:val="0"/>
        <w:spacing w:line="360" w:lineRule="auto"/>
        <w:ind w:firstLine="480" w:firstLineChars="200"/>
        <w:rPr>
          <w:color w:val="000000"/>
          <w:sz w:val="24"/>
        </w:rPr>
      </w:pPr>
      <w:bookmarkStart w:id="0" w:name="_Toc255486598"/>
      <w:bookmarkStart w:id="1" w:name="_Toc245193825"/>
      <w:r w:rsidRPr="001752C7">
        <w:rPr>
          <w:color w:val="000000"/>
          <w:sz w:val="24"/>
        </w:rPr>
        <w:t>本基金本报告期内A类基金份额净值收益率为0.4305%，同期业绩比较基准收益率为0.0885%；B类基金份额净值收益率为0.4905%，同期业绩比较基准收益率为0.0885%；R类基金份额净值收益率为0.4931%，同期业绩比较基准收益率为0.0885%；C类基金份额净值收益率为0.4305%，同期业绩比较基准收益率为0.0885%。</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序号</w:t>
            </w:r>
          </w:p>
        </w:tc>
        <w:tc>
          <w:tcPr>
            <w:tcW w:type="dxa" w:w="3357"/>
            <w:vAlign w:val="center"/>
          </w:tcPr>
          <w:p w:rsidP="00196812" w:rsidR="00EA3F40" w:rsidRDefault="00EA3F40" w:rsidRPr="00613409">
            <w:pPr>
              <w:spacing w:before="29" w:line="360" w:lineRule="auto"/>
              <w:ind w:left="17"/>
              <w:jc w:val="center"/>
              <w:rPr>
                <w:color w:val="000000"/>
                <w:sz w:val="24"/>
              </w:rPr>
            </w:pPr>
            <w:r w:rsidRPr="00613409">
              <w:rPr>
                <w:color w:val="000000"/>
                <w:sz w:val="24"/>
              </w:rPr>
              <w:t>项目</w:t>
            </w:r>
          </w:p>
        </w:tc>
        <w:tc>
          <w:tcPr>
            <w:tcW w:type="dxa" w:w="3119"/>
            <w:vAlign w:val="center"/>
          </w:tcPr>
          <w:p w:rsidP="007C3671" w:rsidR="00EA3F40" w:rsidRDefault="00EA3F40" w:rsidRPr="00613409">
            <w:pPr>
              <w:spacing w:before="29" w:line="360" w:lineRule="auto"/>
              <w:ind w:left="17"/>
              <w:jc w:val="center"/>
              <w:rPr>
                <w:color w:val="000000"/>
                <w:sz w:val="24"/>
              </w:rPr>
            </w:pPr>
            <w:r w:rsidRPr="00613409">
              <w:rPr>
                <w:color w:val="000000"/>
                <w:sz w:val="24"/>
              </w:rPr>
              <w:t>金额</w:t>
            </w:r>
            <w:r w:rsidR="007C3671" w:rsidRPr="00613409">
              <w:rPr>
                <w:color w:val="000000"/>
                <w:sz w:val="24"/>
              </w:rPr>
              <w:t>（元）</w:t>
            </w:r>
          </w:p>
        </w:tc>
        <w:tc>
          <w:tcPr>
            <w:tcW w:type="dxa" w:w="1843"/>
            <w:vAlign w:val="center"/>
          </w:tcPr>
          <w:p w:rsidP="007C3671" w:rsidR="00EA3F40" w:rsidRDefault="00EA3F40" w:rsidRPr="00613409">
            <w:pPr>
              <w:spacing w:before="29" w:line="360" w:lineRule="auto"/>
              <w:ind w:left="17"/>
              <w:jc w:val="center"/>
              <w:rPr>
                <w:color w:val="000000"/>
                <w:sz w:val="24"/>
              </w:rPr>
            </w:pPr>
            <w:r w:rsidRPr="00613409">
              <w:rPr>
                <w:color w:val="000000"/>
                <w:sz w:val="24"/>
              </w:rPr>
              <w:t>占基金总资产的比例</w:t>
            </w:r>
            <w:r w:rsidR="007C3671" w:rsidRPr="00613409">
              <w:rPr>
                <w:color w:val="000000"/>
                <w:sz w:val="24"/>
              </w:rPr>
              <w:t>（</w:t>
            </w:r>
            <w:r w:rsidR="007C3671" w:rsidRPr="00613409">
              <w:rPr>
                <w:color w:val="000000"/>
                <w:sz w:val="24"/>
              </w:rPr>
              <w:t>%</w:t>
            </w:r>
            <w:r w:rsidR="007C3671"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1</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固定收益投资</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15,773,600,470.99</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41.43</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其中：债券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14,661,588,685.76</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38.51</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9216A0" w:rsidR="00EA3F40" w:rsidRDefault="00EA3F40" w:rsidRPr="00613409">
            <w:pPr>
              <w:autoSpaceDE w:val="0"/>
              <w:autoSpaceDN w:val="0"/>
              <w:adjustRightInd w:val="0"/>
              <w:spacing w:before="29" w:line="360" w:lineRule="auto"/>
              <w:ind w:firstLine="720" w:firstLineChars="300" w:left="17"/>
              <w:jc w:val="left"/>
              <w:rPr>
                <w:color w:val="000000"/>
                <w:sz w:val="24"/>
              </w:rPr>
            </w:pPr>
            <w:r w:rsidRPr="00613409">
              <w:rPr>
                <w:color w:val="000000"/>
                <w:sz w:val="24"/>
              </w:rPr>
              <w:t>资产支持证券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1,112,011,785.23</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2.92</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2</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14,031,888,375.21</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36.86</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其中：买断式回购的买入返售金融资产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3</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银行存款和结算备付金合计</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
            </w:r>
            <w:r w:rsidRPr="00613409">
              <w:rPr>
                <w:color w:val="000000"/>
                <w:sz w:val="24"/>
              </w:rPr>
              <w:lastRenderedPageBreak/>
              <w:t>7,824,611,909.58</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lastRenderedPageBreak/>
              <w:t/>
            </w:r>
            <w:r w:rsidRPr="00613409">
              <w:rPr>
                <w:color w:val="000000"/>
                <w:sz w:val="24"/>
              </w:rPr>
              <w:lastRenderedPageBreak/>
              <w:t>20.55</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4</w:t>
            </w:r>
          </w:p>
        </w:tc>
        <w:tc>
          <w:tcPr>
            <w:tcW w:type="dxa" w:w="3357"/>
            <w:vAlign w:val="center"/>
          </w:tcPr>
          <w:p w:rsidP="00196812" w:rsidR="00EA3F40" w:rsidRDefault="00EA3F40" w:rsidRPr="00613409">
            <w:pPr>
              <w:spacing w:line="360" w:lineRule="auto"/>
              <w:jc w:val="left"/>
              <w:rPr>
                <w:sz w:val="24"/>
              </w:rPr>
            </w:pPr>
            <w:r w:rsidRPr="00613409">
              <w:rPr>
                <w:color w:val="000000"/>
                <w:sz w:val="24"/>
              </w:rPr>
              <w:t>其他资产</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440,107,917.57</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1.16</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5</w:t>
            </w:r>
          </w:p>
        </w:tc>
        <w:tc>
          <w:tcPr>
            <w:tcW w:type="dxa" w:w="3357"/>
            <w:vAlign w:val="center"/>
          </w:tcPr>
          <w:p w:rsidP="00196812" w:rsidR="00EA3F40" w:rsidRDefault="00EA3F40" w:rsidRPr="00613409">
            <w:pPr>
              <w:spacing w:line="360" w:lineRule="auto"/>
              <w:jc w:val="left"/>
              <w:rPr>
                <w:sz w:val="24"/>
              </w:rPr>
            </w:pPr>
            <w:r w:rsidRPr="00613409">
              <w:rPr>
                <w:color w:val="000000"/>
                <w:sz w:val="24"/>
              </w:rPr>
              <w:t>合计</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38,070,208,673.35</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100.00</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61"/>
        <w:gridCol w:w="3108"/>
        <w:gridCol w:w="2977"/>
        <w:gridCol w:w="2126"/>
      </w:tblGrid>
      <w:tr w:rsidR="00EA3F40" w:rsidRPr="0097021E" w:rsidTr="00F21A1D">
        <w:tc>
          <w:tcPr>
            <w:tcW w:type="dxa" w:w="861"/>
            <w:vAlign w:val="center"/>
          </w:tcPr>
          <w:p w:rsidP="00196812" w:rsidR="00EA3F40" w:rsidRDefault="00EA3F40" w:rsidRPr="00613409">
            <w:pPr>
              <w:spacing w:line="360" w:lineRule="auto"/>
              <w:rPr>
                <w:color w:val="000000"/>
                <w:kern w:val="0"/>
                <w:sz w:val="24"/>
              </w:rPr>
            </w:pPr>
            <w:r w:rsidRPr="00613409">
              <w:rPr>
                <w:color w:val="000000"/>
                <w:kern w:val="0"/>
                <w:sz w:val="24"/>
              </w:rPr>
              <w:t>序号</w:t>
            </w:r>
          </w:p>
        </w:tc>
        <w:tc>
          <w:tcPr>
            <w:tcW w:type="dxa" w:w="3108"/>
            <w:vAlign w:val="center"/>
          </w:tcPr>
          <w:p w:rsidP="00196812" w:rsidR="00EA3F40" w:rsidRDefault="00EA3F40" w:rsidRPr="00613409">
            <w:pPr>
              <w:spacing w:line="360" w:lineRule="auto"/>
              <w:rPr>
                <w:color w:val="000000"/>
                <w:kern w:val="0"/>
                <w:sz w:val="24"/>
              </w:rPr>
            </w:pPr>
            <w:r w:rsidRPr="00613409">
              <w:rPr>
                <w:color w:val="000000"/>
                <w:kern w:val="0"/>
                <w:sz w:val="24"/>
              </w:rPr>
              <w:t>项目</w:t>
            </w:r>
          </w:p>
        </w:tc>
        <w:tc>
          <w:tcPr>
            <w:tcW w:type="dxa" w:w="5103"/>
            <w:gridSpan w:val="2"/>
            <w:vAlign w:val="center"/>
          </w:tcPr>
          <w:p w:rsidP="00196812" w:rsidR="00EA3F40" w:rsidRDefault="00EA3F40" w:rsidRPr="00613409">
            <w:pPr>
              <w:spacing w:line="360" w:lineRule="auto"/>
              <w:rPr>
                <w:color w:val="000000"/>
                <w:kern w:val="0"/>
                <w:sz w:val="24"/>
              </w:rPr>
            </w:pPr>
            <w:r w:rsidRPr="00613409">
              <w:rPr>
                <w:color w:val="000000"/>
                <w:kern w:val="0"/>
                <w:sz w:val="24"/>
              </w:rPr>
              <w:t>占基金资产净值的比例（％）</w:t>
            </w:r>
          </w:p>
        </w:tc>
      </w:tr>
      <w:tr w:rsidR="00EA3F40" w:rsidRPr="0097021E" w:rsidTr="00F21A1D">
        <w:tc>
          <w:tcPr>
            <w:tcW w:type="dxa" w:w="861"/>
            <w:vAlign w:val="center"/>
          </w:tcPr>
          <w:p w:rsidP="00196812" w:rsidR="00EA3F40" w:rsidRDefault="00EA3F40" w:rsidRPr="00613409">
            <w:pPr>
              <w:spacing w:line="360" w:lineRule="auto"/>
              <w:rPr>
                <w:color w:val="000000"/>
                <w:kern w:val="0"/>
                <w:sz w:val="24"/>
              </w:rPr>
            </w:pPr>
            <w:r w:rsidRPr="00613409">
              <w:rPr>
                <w:color w:val="000000"/>
                <w:kern w:val="0"/>
                <w:sz w:val="24"/>
              </w:rPr>
              <w:t>1</w:t>
            </w:r>
          </w:p>
        </w:tc>
        <w:tc>
          <w:tcPr>
            <w:tcW w:type="dxa" w:w="3108"/>
          </w:tcPr>
          <w:p w:rsidP="00196812" w:rsidR="00EA3F40" w:rsidRDefault="00EA3F40" w:rsidRPr="00613409">
            <w:pPr>
              <w:spacing w:line="360" w:lineRule="auto"/>
              <w:rPr>
                <w:sz w:val="24"/>
              </w:rPr>
            </w:pPr>
            <w:r w:rsidRPr="00613409">
              <w:rPr>
                <w:sz w:val="24"/>
              </w:rPr>
              <w:t>报告期内债券回购融资余额</w:t>
            </w:r>
          </w:p>
        </w:tc>
        <w:tc>
          <w:tcPr>
            <w:tcW w:type="dxa" w:w="5103"/>
            <w:gridSpan w:val="2"/>
            <w:vAlign w:val="center"/>
          </w:tcPr>
          <w:p w:rsidP="00196812" w:rsidR="00EA3F40" w:rsidRDefault="00EA3F40" w:rsidRPr="00613409">
            <w:pPr>
              <w:spacing w:line="360" w:lineRule="auto"/>
              <w:rPr>
                <w:sz w:val="24"/>
              </w:rPr>
            </w:pPr>
            <w:r w:rsidRPr="00613409">
              <w:rPr>
                <w:sz w:val="24"/>
              </w:rPr>
              <w:t>7.85</w:t>
            </w:r>
          </w:p>
        </w:tc>
      </w:tr>
      <w:tr w:rsidR="00EA3F40" w:rsidRPr="0097021E" w:rsidTr="00F21A1D">
        <w:trPr>
          <w:trHeight w:val="712"/>
        </w:trPr>
        <w:tc>
          <w:tcPr>
            <w:tcW w:type="dxa" w:w="861"/>
            <w:vAlign w:val="center"/>
          </w:tcPr>
          <w:p w:rsidP="00196812" w:rsidR="00EA3F40" w:rsidRDefault="00EA3F40" w:rsidRPr="00613409">
            <w:pPr>
              <w:spacing w:line="360" w:lineRule="auto"/>
              <w:rPr>
                <w:color w:val="000000"/>
                <w:sz w:val="24"/>
              </w:rPr>
            </w:pPr>
          </w:p>
        </w:tc>
        <w:tc>
          <w:tcPr>
            <w:tcW w:type="dxa" w:w="3108"/>
          </w:tcPr>
          <w:p w:rsidP="00196812" w:rsidR="00EA3F40" w:rsidRDefault="00EA3F40" w:rsidRPr="00613409">
            <w:pPr>
              <w:spacing w:line="360" w:lineRule="auto"/>
              <w:rPr>
                <w:sz w:val="24"/>
              </w:rPr>
            </w:pPr>
            <w:r w:rsidRPr="00613409">
              <w:rPr>
                <w:sz w:val="24"/>
              </w:rPr>
              <w:t>其中：买断式回购融资</w:t>
            </w:r>
          </w:p>
        </w:tc>
        <w:tc>
          <w:tcPr>
            <w:tcW w:type="dxa" w:w="5103"/>
            <w:gridSpan w:val="2"/>
            <w:vAlign w:val="center"/>
          </w:tcPr>
          <w:p w:rsidP="00196812" w:rsidR="00EA3F40" w:rsidRDefault="00EA3F40" w:rsidRPr="00613409">
            <w:pPr>
              <w:spacing w:line="360" w:lineRule="auto"/>
              <w:rPr>
                <w:sz w:val="24"/>
              </w:rPr>
            </w:pPr>
            <w:r w:rsidRPr="00613409">
              <w:rPr>
                <w:sz w:val="24"/>
              </w:rPr>
              <w:t>-</w:t>
            </w:r>
          </w:p>
        </w:tc>
      </w:tr>
      <w:tr w:rsidR="00EA3F40" w:rsidRPr="0097021E" w:rsidTr="00F21A1D">
        <w:tc>
          <w:tcPr>
            <w:tcW w:type="dxa" w:w="861"/>
            <w:vAlign w:val="center"/>
          </w:tcPr>
          <w:p w:rsidP="00196812" w:rsidR="00EA3F40" w:rsidRDefault="00EA3F40" w:rsidRPr="00613409">
            <w:pPr>
              <w:spacing w:line="360" w:lineRule="auto"/>
              <w:rPr>
                <w:color w:val="000000"/>
                <w:sz w:val="24"/>
              </w:rPr>
            </w:pPr>
            <w:r w:rsidRPr="00613409">
              <w:rPr>
                <w:color w:val="000000"/>
                <w:kern w:val="0"/>
                <w:sz w:val="24"/>
              </w:rPr>
              <w:lastRenderedPageBreak/>
              <w:t>序号</w:t>
            </w:r>
          </w:p>
        </w:tc>
        <w:tc>
          <w:tcPr>
            <w:tcW w:type="dxa" w:w="3108"/>
          </w:tcPr>
          <w:p w:rsidP="00196812" w:rsidR="00EA3F40" w:rsidRDefault="00EA3F40" w:rsidRPr="00613409">
            <w:pPr>
              <w:spacing w:line="360" w:lineRule="auto"/>
              <w:rPr>
                <w:sz w:val="24"/>
              </w:rPr>
            </w:pPr>
            <w:r w:rsidRPr="00613409">
              <w:rPr>
                <w:sz w:val="24"/>
              </w:rPr>
              <w:t>项目</w:t>
            </w:r>
          </w:p>
        </w:tc>
        <w:tc>
          <w:tcPr>
            <w:tcW w:type="dxa" w:w="2977"/>
            <w:vAlign w:val="center"/>
          </w:tcPr>
          <w:p w:rsidP="00196812" w:rsidR="00EA3F40" w:rsidRDefault="00EA3F40" w:rsidRPr="00613409">
            <w:pPr>
              <w:spacing w:line="360" w:lineRule="auto"/>
              <w:rPr>
                <w:sz w:val="24"/>
              </w:rPr>
            </w:pPr>
            <w:r w:rsidRPr="00613409">
              <w:rPr>
                <w:sz w:val="24"/>
              </w:rPr>
              <w:t>金额</w:t>
            </w:r>
          </w:p>
        </w:tc>
        <w:tc>
          <w:tcPr>
            <w:tcW w:type="dxa" w:w="2126"/>
            <w:vAlign w:val="center"/>
          </w:tcPr>
          <w:p w:rsidP="00196812" w:rsidR="00EA3F40" w:rsidRDefault="00EA3F40" w:rsidRPr="00613409">
            <w:pPr>
              <w:spacing w:line="360" w:lineRule="auto"/>
              <w:rPr>
                <w:sz w:val="24"/>
              </w:rPr>
            </w:pPr>
            <w:r w:rsidRPr="00613409">
              <w:rPr>
                <w:color w:val="000000"/>
                <w:kern w:val="0"/>
                <w:sz w:val="24"/>
              </w:rPr>
              <w:t>占基金资产净值的比例（％）</w:t>
            </w:r>
          </w:p>
        </w:tc>
      </w:tr>
      <w:tr w:rsidR="00EA3F40" w:rsidRPr="0097021E" w:rsidTr="00F21A1D">
        <w:tc>
          <w:tcPr>
            <w:tcW w:type="dxa" w:w="861"/>
            <w:vMerge w:val="restart"/>
            <w:vAlign w:val="center"/>
          </w:tcPr>
          <w:p w:rsidP="00196812" w:rsidR="00EA3F40" w:rsidRDefault="00EA3F40" w:rsidRPr="00613409">
            <w:pPr>
              <w:spacing w:line="360" w:lineRule="auto"/>
              <w:rPr>
                <w:color w:val="000000"/>
                <w:sz w:val="24"/>
              </w:rPr>
            </w:pPr>
            <w:r w:rsidRPr="00613409">
              <w:rPr>
                <w:color w:val="000000"/>
                <w:sz w:val="24"/>
              </w:rPr>
              <w:t>2</w:t>
            </w:r>
          </w:p>
        </w:tc>
        <w:tc>
          <w:tcPr>
            <w:tcW w:type="dxa" w:w="3108"/>
          </w:tcPr>
          <w:p w:rsidP="00196812" w:rsidR="00EA3F40" w:rsidRDefault="00EA3F40" w:rsidRPr="00613409">
            <w:pPr>
              <w:spacing w:line="360" w:lineRule="auto"/>
              <w:rPr>
                <w:sz w:val="24"/>
              </w:rPr>
            </w:pPr>
            <w:r w:rsidRPr="00613409">
              <w:rPr>
                <w:sz w:val="24"/>
              </w:rPr>
              <w:t>报告期末债券回购融资余额</w:t>
            </w:r>
          </w:p>
        </w:tc>
        <w:tc>
          <w:tcPr>
            <w:tcW w:type="dxa" w:w="2977"/>
            <w:vAlign w:val="center"/>
          </w:tcPr>
          <w:p w:rsidP="00196812" w:rsidR="00EA3F40" w:rsidRDefault="00EA3F40" w:rsidRPr="00613409">
            <w:pPr>
              <w:spacing w:line="360" w:lineRule="auto"/>
              <w:rPr>
                <w:sz w:val="24"/>
              </w:rPr>
            </w:pPr>
            <w:r w:rsidRPr="00613409">
              <w:rPr>
                <w:sz w:val="24"/>
              </w:rPr>
              <w:t>3,110,253,044.87</w:t>
            </w:r>
          </w:p>
        </w:tc>
        <w:tc>
          <w:tcPr>
            <w:tcW w:type="dxa" w:w="2126"/>
            <w:vAlign w:val="center"/>
          </w:tcPr>
          <w:p w:rsidP="00196812" w:rsidR="00EA3F40" w:rsidRDefault="00EA3F40" w:rsidRPr="00613409">
            <w:pPr>
              <w:spacing w:line="360" w:lineRule="auto"/>
              <w:rPr>
                <w:sz w:val="24"/>
              </w:rPr>
            </w:pPr>
            <w:r w:rsidRPr="00613409">
              <w:rPr>
                <w:sz w:val="24"/>
              </w:rPr>
              <w:t>8.94</w:t>
            </w:r>
          </w:p>
        </w:tc>
      </w:tr>
      <w:tr w:rsidR="00EA3F40" w:rsidRPr="0097021E" w:rsidTr="00F21A1D">
        <w:tc>
          <w:tcPr>
            <w:tcW w:type="dxa" w:w="861"/>
            <w:vMerge/>
            <w:vAlign w:val="center"/>
          </w:tcPr>
          <w:p w:rsidP="00196812" w:rsidR="00EA3F40" w:rsidRDefault="00EA3F40" w:rsidRPr="00613409">
            <w:pPr>
              <w:spacing w:line="360" w:lineRule="auto"/>
              <w:rPr>
                <w:color w:val="000000"/>
                <w:sz w:val="24"/>
              </w:rPr>
            </w:pPr>
          </w:p>
        </w:tc>
        <w:tc>
          <w:tcPr>
            <w:tcW w:type="dxa" w:w="3108"/>
          </w:tcPr>
          <w:p w:rsidP="00196812" w:rsidR="00EA3F40" w:rsidRDefault="00EA3F40" w:rsidRPr="00613409">
            <w:pPr>
              <w:spacing w:line="360" w:lineRule="auto"/>
              <w:rPr>
                <w:sz w:val="24"/>
              </w:rPr>
            </w:pPr>
            <w:r w:rsidRPr="00613409">
              <w:rPr>
                <w:sz w:val="24"/>
              </w:rPr>
              <w:t>其中：买断式回购融资</w:t>
            </w:r>
          </w:p>
        </w:tc>
        <w:tc>
          <w:tcPr>
            <w:tcW w:type="dxa" w:w="2977"/>
            <w:vAlign w:val="center"/>
          </w:tcPr>
          <w:p w:rsidP="00196812" w:rsidR="00EA3F40" w:rsidRDefault="00EA3F40" w:rsidRPr="00613409">
            <w:pPr>
              <w:spacing w:line="360" w:lineRule="auto"/>
              <w:rPr>
                <w:sz w:val="24"/>
              </w:rPr>
            </w:pPr>
            <w:r w:rsidRPr="00613409">
              <w:rPr>
                <w:sz w:val="24"/>
              </w:rPr>
              <w:t>-</w:t>
            </w:r>
          </w:p>
        </w:tc>
        <w:tc>
          <w:tcPr>
            <w:tcW w:type="dxa" w:w="2126"/>
            <w:vAlign w:val="center"/>
          </w:tcPr>
          <w:p w:rsidP="00196812" w:rsidR="00EA3F40" w:rsidRDefault="00EA3F40" w:rsidRPr="00613409">
            <w:pPr>
              <w:spacing w:line="360" w:lineRule="auto"/>
              <w:rPr>
                <w:sz w:val="24"/>
              </w:rPr>
            </w:pPr>
            <w:r w:rsidRPr="00613409">
              <w:rPr>
                <w:sz w:val="24"/>
              </w:rPr>
              <w:t>-</w:t>
            </w:r>
          </w:p>
        </w:tc>
      </w:tr>
    </w:tbl>
    <w:p w:rsidP="00613409" w:rsidR="00EA3F40" w:rsidRDefault="00EA3F40" w:rsidRPr="00613409">
      <w:pPr>
        <w:adjustRightInd w:val="0"/>
        <w:spacing w:line="360" w:lineRule="auto"/>
        <w:ind w:firstLine="480" w:firstLineChars="200"/>
        <w:rPr>
          <w:color w:val="000000"/>
          <w:sz w:val="24"/>
        </w:rPr>
      </w:pPr>
      <w:r w:rsidRPr="001752C7">
        <w:rPr>
          <w:color w:val="000000"/>
          <w:sz w:val="24"/>
        </w:rPr>
        <w:t>注：上表中报告期内债券回购融资余额占基金资产净值的比例为报告期内每个交易日融资余额占基金资产净值比例的简单平均值。</w:t>
      </w:r>
    </w:p>
    <w:p w:rsidP="00196812" w:rsidR="00EA3F40" w:rsidRDefault="00EA3F40"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在本报告期内本货币市场基金债券正回购的资金余额未超过资产净值的20%。</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5.3.1 </w:t>
      </w:r>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EA3F40" w:rsidRPr="0097021E" w:rsidTr="00F21A1D">
        <w:tc>
          <w:tcPr>
            <w:tcW w:type="dxa" w:w="405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501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天数</w:t>
            </w:r>
          </w:p>
        </w:tc>
      </w:tr>
      <w:tr w:rsidR="00EA3F40" w:rsidRPr="0097021E" w:rsidTr="00F21A1D">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lastRenderedPageBreak/>
              <w:t>报告期末投资组合平均剩余期限</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84</w:t>
            </w:r>
          </w:p>
        </w:tc>
      </w:tr>
      <w:tr w:rsidR="00EA3F40" w:rsidRPr="0097021E" w:rsidTr="00F21A1D">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报告期内投资组合平均剩余期限最高值</w:t>
            </w:r>
          </w:p>
        </w:tc>
        <w:tc>
          <w:tcPr>
            <w:tcW w:type="dxa" w:w="5016"/>
            <w:vAlign w:val="center"/>
          </w:tcPr>
          <w:p w:rsidP="00196812" w:rsidR="00EA3F40" w:rsidRDefault="00EA3F40" w:rsidRPr="00613409">
            <w:pPr>
              <w:spacing w:line="360" w:lineRule="auto"/>
              <w:jc w:val="right"/>
              <w:rPr>
                <w:sz w:val="24"/>
              </w:rPr>
            </w:pPr>
            <w:r w:rsidRPr="00613409">
              <w:rPr>
                <w:color w:val="000000"/>
                <w:sz w:val="24"/>
              </w:rPr>
              <w:t/>
            </w:r>
            <w:r w:rsidRPr="00613409">
              <w:rPr>
                <w:sz w:val="24"/>
              </w:rPr>
              <w:t>91</w:t>
            </w:r>
          </w:p>
        </w:tc>
      </w:tr>
      <w:tr w:rsidR="00EA3F40" w:rsidRPr="0097021E" w:rsidTr="00F21A1D">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报告期内投资组合平均剩余期限最低值</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62</w:t>
            </w:r>
          </w:p>
        </w:tc>
      </w:tr>
    </w:tbl>
    <w:p w:rsidP="00546492" w:rsidR="00546492" w:rsidRDefault="00546492" w:rsidRPr="00546492">
      <w:pPr>
        <w:spacing w:line="360" w:lineRule="auto"/>
        <w:rPr>
          <w:rFonts w:ascii="宋体" w:cs="Arial" w:hAnsi="宋体"/>
          <w:b/>
          <w:color w:val="000000"/>
          <w:kern w:val="0"/>
          <w:sz w:val="24"/>
        </w:rPr>
      </w:pPr>
      <w:r w:rsidRPr="00546492">
        <w:rPr>
          <w:rFonts w:ascii="宋体" w:cs="Arial" w:hAnsi="宋体" w:hint="eastAsia"/>
          <w:b/>
          <w:color w:val="000000"/>
          <w:kern w:val="0"/>
          <w:sz w:val="24"/>
        </w:rPr>
        <w:t>报告期内投资组合平均剩余期限超过</w:t>
      </w:r>
      <w:r w:rsidRPr="00546492">
        <w:rPr>
          <w:rFonts w:ascii="宋体" w:cs="Arial" w:hAnsi="宋体"/>
          <w:b/>
          <w:color w:val="000000"/>
          <w:kern w:val="0"/>
          <w:sz w:val="24"/>
        </w:rPr>
        <w:t>1</w:t>
      </w:r>
      <w:r w:rsidRPr="00546492">
        <w:rPr>
          <w:rFonts w:ascii="宋体" w:cs="Arial" w:hAnsi="宋体" w:hint="eastAsia"/>
          <w:b/>
          <w:color w:val="000000"/>
          <w:kern w:val="0"/>
          <w:sz w:val="24"/>
        </w:rPr>
        <w:t>20天情况说明</w:t>
      </w:r>
    </w:p>
    <w:p w:rsidP="00613409" w:rsidR="00546492" w:rsidRDefault="00546492" w:rsidRPr="00546492">
      <w:pPr>
        <w:adjustRightInd w:val="0"/>
        <w:spacing w:line="360" w:lineRule="auto"/>
        <w:ind w:firstLine="480" w:firstLineChars="200"/>
        <w:rPr>
          <w:color w:val="000000"/>
          <w:sz w:val="24"/>
        </w:rPr>
      </w:pPr>
      <w:r w:rsidRPr="00546492">
        <w:rPr>
          <w:color w:val="000000"/>
          <w:sz w:val="24"/>
        </w:rPr>
        <w:t>本报告期内本货币市场基金投资组合平均剩余期限未超过120天。</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EA3F40" w:rsidRPr="0097021E" w:rsidTr="00F21A1D">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序号</w:t>
            </w:r>
          </w:p>
        </w:tc>
        <w:tc>
          <w:tcPr>
            <w:tcW w:type="dxa" w:w="33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平均剩余期限</w:t>
            </w:r>
            <w:r w:rsidRPr="007A1ACF">
              <w:rPr>
                <w:color w:val="000000"/>
                <w:kern w:val="0"/>
                <w:sz w:val="24"/>
              </w:rPr>
              <w:t/>
            </w:r>
          </w:p>
        </w:tc>
        <w:tc>
          <w:tcPr>
            <w:tcW w:type="dxa" w:w="2529"/>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各期限资产占基金资产净值的比例（</w:t>
            </w:r>
            <w:r w:rsidRPr="007A1ACF">
              <w:rPr>
                <w:color w:val="000000"/>
                <w:kern w:val="0"/>
                <w:sz w:val="24"/>
              </w:rPr>
              <w:t>%</w:t>
            </w:r>
            <w:r w:rsidRPr="007A1ACF">
              <w:rPr>
                <w:color w:val="000000"/>
                <w:kern w:val="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各期限负债占基金资产净值的比例（％）</w:t>
            </w:r>
          </w:p>
        </w:tc>
      </w:tr>
      <w:tr w:rsidR="00EA3F40" w:rsidRPr="0097021E" w:rsidTr="00F21A1D">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sz w:val="24"/>
              </w:rPr>
              <w:t>1</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天以内</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38.30</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8.94</w:t>
            </w:r>
          </w:p>
        </w:tc>
      </w:tr>
      <w:tr w:rsidR="00EA3F40" w:rsidRPr="0097021E" w:rsidTr="00F21A1D">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F21A1D">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t>2</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天（含）</w:t>
            </w:r>
            <w:r w:rsidRPr="007A1ACF">
              <w:rPr>
                <w:color w:val="000000"/>
                <w:sz w:val="24"/>
              </w:rPr>
              <w:t>—60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9.76</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F21A1D">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F21A1D">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t>3</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60</w:t>
            </w:r>
            <w:r w:rsidRPr="007A1ACF">
              <w:rPr>
                <w:color w:val="000000"/>
                <w:sz w:val="24"/>
              </w:rPr>
              <w:t>天（含）</w:t>
            </w:r>
            <w:r w:rsidRPr="007A1ACF">
              <w:rPr>
                <w:color w:val="000000"/>
                <w:sz w:val="24"/>
              </w:rPr>
              <w:t>—90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
            </w:r>
            <w:r w:rsidRPr="007A1ACF">
              <w:rPr>
                <w:color w:val="000000"/>
                <w:sz w:val="24"/>
              </w:rPr>
              <w:lastRenderedPageBreak/>
              <w:t>23.75</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lastRenderedPageBreak/>
              <w:t/>
            </w:r>
            <w:r w:rsidRPr="007A1ACF">
              <w:rPr>
                <w:color w:val="000000"/>
                <w:sz w:val="24"/>
              </w:rPr>
              <w:lastRenderedPageBreak/>
              <w:t>-</w:t>
            </w:r>
          </w:p>
        </w:tc>
      </w:tr>
      <w:tr w:rsidR="00EA3F40" w:rsidRPr="0097021E" w:rsidTr="00F21A1D">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546492" w:rsidRPr="0097021E" w:rsidTr="00F21A1D">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4</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90</w:t>
            </w:r>
            <w:r w:rsidRPr="009F2322">
              <w:rPr>
                <w:color w:val="000000"/>
                <w:sz w:val="24"/>
              </w:rPr>
              <w:t>天（含）</w:t>
            </w:r>
            <w:r w:rsidRPr="009F2322">
              <w:rPr>
                <w:color w:val="000000"/>
                <w:sz w:val="24"/>
              </w:rPr>
              <w:t>—120</w:t>
            </w:r>
            <w:r w:rsidRPr="009F2322">
              <w:rPr>
                <w:color w:val="000000"/>
                <w:sz w:val="24"/>
              </w:rPr>
              <w:t>天</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9.94</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F21A1D">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F21A1D">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5</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120</w:t>
            </w:r>
            <w:r w:rsidRPr="009F2322">
              <w:rPr>
                <w:color w:val="000000"/>
                <w:sz w:val="24"/>
              </w:rPr>
              <w:t>天（含）</w:t>
            </w:r>
            <w:r w:rsidRPr="009F2322">
              <w:rPr>
                <w:color w:val="000000"/>
                <w:sz w:val="24"/>
              </w:rPr>
              <w:t>—397</w:t>
            </w:r>
            <w:r w:rsidRPr="009F2322">
              <w:rPr>
                <w:color w:val="000000"/>
                <w:sz w:val="24"/>
              </w:rPr>
              <w:t>天（含）</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26.71</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F21A1D">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F21A1D">
        <w:tc>
          <w:tcPr>
            <w:tcW w:type="dxa" w:w="4202"/>
            <w:gridSpan w:val="2"/>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合计</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
            </w:r>
            <w:r w:rsidRPr="009F2322">
              <w:rPr>
                <w:color w:val="000000"/>
                <w:sz w:val="24"/>
              </w:rPr>
              <w:lastRenderedPageBreak/>
              <w:t>108.46</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lastRenderedPageBreak/>
              <w:t/>
            </w:r>
            <w:r w:rsidRPr="009F2322">
              <w:rPr>
                <w:color w:val="000000"/>
                <w:sz w:val="24"/>
              </w:rPr>
              <w:lastRenderedPageBreak/>
              <w:t>8.94</w:t>
            </w:r>
          </w:p>
        </w:tc>
      </w:tr>
    </w:tbl>
    <w:p w:rsidP="007A1ACF" w:rsidR="007A1ACF" w:rsidRDefault="007A1ACF" w:rsidRPr="007A1ACF">
      <w:pPr>
        <w:spacing w:line="360" w:lineRule="auto"/>
        <w:rPr>
          <w:rFonts w:ascii="宋体" w:cs="Arial" w:hAnsi="宋体"/>
          <w:b/>
          <w:color w:val="000000"/>
          <w:kern w:val="0"/>
          <w:sz w:val="24"/>
        </w:rPr>
      </w:pPr>
      <w:r w:rsidRPr="007A1ACF">
        <w:rPr>
          <w:rFonts w:ascii="宋体" w:cs="Arial" w:hAnsi="宋体" w:hint="eastAsia"/>
          <w:b/>
          <w:color w:val="000000"/>
          <w:kern w:val="0"/>
          <w:sz w:val="24"/>
        </w:rPr>
        <w:t>5.4</w:t>
      </w:r>
      <w:r>
        <w:rPr>
          <w:rFonts w:ascii="宋体" w:hAnsi="宋体" w:hint="eastAsia"/>
          <w:b/>
          <w:color w:val="000000"/>
          <w:sz w:val="24"/>
        </w:rPr>
        <w:t>报告期内投资组合平均剩余存续期超过240天情况说明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本报告期内本货币市场基金投资组合平均剩余存续期未超过240天。</w:t>
      </w:r>
    </w:p>
    <w:p w:rsidP="00710B11" w:rsidR="00710B11" w:rsidRDefault="00EA3F40" w:rsidRPr="00675D72">
      <w:pPr>
        <w:spacing w:line="360" w:lineRule="auto"/>
        <w:rPr>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119"/>
        <w:gridCol w:w="1984"/>
      </w:tblGrid>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序号</w:t>
            </w:r>
          </w:p>
        </w:tc>
        <w:tc>
          <w:tcPr>
            <w:tcW w:type="dxa" w:w="3260"/>
            <w:vAlign w:val="center"/>
          </w:tcPr>
          <w:p w:rsidP="00546492" w:rsidR="00710B11" w:rsidRDefault="00710B11" w:rsidRPr="00675D72">
            <w:pPr>
              <w:spacing w:before="29" w:line="360" w:lineRule="auto"/>
              <w:ind w:left="17"/>
              <w:jc w:val="center"/>
              <w:rPr>
                <w:color w:val="000000"/>
                <w:sz w:val="24"/>
              </w:rPr>
            </w:pPr>
            <w:r w:rsidRPr="00675D72">
              <w:rPr>
                <w:color w:val="000000"/>
                <w:sz w:val="24"/>
              </w:rPr>
              <w:t>债券品种</w:t>
            </w:r>
            <w:r w:rsidRPr="00675D72">
              <w:rPr>
                <w:color w:val="000000"/>
                <w:sz w:val="24"/>
              </w:rPr>
              <w:t/>
            </w:r>
          </w:p>
        </w:tc>
        <w:tc>
          <w:tcPr>
            <w:tcW w:type="dxa" w:w="3119"/>
            <w:vAlign w:val="center"/>
          </w:tcPr>
          <w:p w:rsidP="00546492" w:rsidR="00710B11" w:rsidRDefault="00710B11" w:rsidRPr="00675D72">
            <w:pPr>
              <w:spacing w:before="29" w:line="360" w:lineRule="auto"/>
              <w:ind w:left="17"/>
              <w:jc w:val="center"/>
              <w:rPr>
                <w:color w:val="000000"/>
                <w:sz w:val="24"/>
              </w:rPr>
            </w:pPr>
            <w:r w:rsidRPr="00675D72">
              <w:rPr>
                <w:color w:val="000000"/>
                <w:sz w:val="24"/>
              </w:rPr>
              <w:t>摊余成本（元）</w:t>
            </w:r>
          </w:p>
        </w:tc>
        <w:tc>
          <w:tcPr>
            <w:tcW w:type="dxa" w:w="1984"/>
            <w:vAlign w:val="center"/>
          </w:tcPr>
          <w:p w:rsidP="00546492" w:rsidR="00710B11" w:rsidRDefault="00710B11" w:rsidRPr="00675D72">
            <w:pPr>
              <w:spacing w:before="29" w:line="360" w:lineRule="auto"/>
              <w:ind w:left="17"/>
              <w:jc w:val="center"/>
              <w:rPr>
                <w:color w:val="000000"/>
                <w:sz w:val="24"/>
              </w:rPr>
            </w:pPr>
            <w:r w:rsidRPr="00675D72">
              <w:rPr>
                <w:color w:val="000000"/>
                <w:sz w:val="24"/>
              </w:rPr>
              <w:t>占基金资产净值比例</w:t>
            </w:r>
            <w:r w:rsidRPr="00675D72">
              <w:rPr>
                <w:color w:val="000000"/>
                <w:sz w:val="24"/>
              </w:rPr>
              <w:t>(</w:t>
            </w:r>
            <w:r w:rsidRPr="00675D72">
              <w:rPr>
                <w:color w:val="000000"/>
                <w:sz w:val="24"/>
              </w:rPr>
              <w:t>％</w:t>
            </w: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国家债券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678,345,412.96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1.95</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2</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央行票据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3</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金融债券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1,728,034,832.60</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4.97</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其中：政策性金融债</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1,148,045,470.73</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3.30</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4</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5</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企业短期融资券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1,760,111,350.66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5.06</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6</w:t>
            </w:r>
          </w:p>
        </w:tc>
        <w:tc>
          <w:tcPr>
            <w:tcW w:type="dxa" w:w="3260"/>
            <w:vAlign w:val="center"/>
          </w:tcPr>
          <w:p w:rsidP="00C91200" w:rsidR="00710B11" w:rsidRDefault="00710B11" w:rsidRPr="00675D72">
            <w:pPr>
              <w:spacing w:before="29" w:line="360" w:lineRule="auto"/>
              <w:ind w:left="17"/>
              <w:jc w:val="left"/>
              <w:rPr>
                <w:color w:val="000000"/>
                <w:sz w:val="24"/>
              </w:rPr>
            </w:pPr>
            <w:r w:rsidRPr="00675D72">
              <w:rPr>
                <w:color w:val="000000"/>
                <w:sz w:val="24"/>
              </w:rPr>
              <w:t>中期票据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140,615,729.60</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0.40</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7</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同业存单</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10,354,481,359.94</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29.77</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8</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其他</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9</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合计</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14,661,588,685.76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42.15</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10</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剩余存续期超过</w:t>
            </w:r>
            <w:r w:rsidRPr="00675D72">
              <w:rPr>
                <w:color w:val="000000"/>
                <w:sz w:val="24"/>
              </w:rPr>
              <w:t>397</w:t>
            </w:r>
            <w:r w:rsidRPr="00675D72">
              <w:rPr>
                <w:color w:val="000000"/>
                <w:sz w:val="24"/>
              </w:rPr>
              <w:t>天的浮动利率债券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6</w:t>
      </w:r>
      <w:r w:rsidRPr="0097021E">
        <w:rPr>
          <w:rFonts w:ascii="宋体" w:cs="Arial" w:hAnsi="宋体"/>
          <w:b/>
          <w:color w:val="000000"/>
          <w:kern w:val="0"/>
          <w:sz w:val="24"/>
        </w:rPr>
        <w:t xml:space="preserve"> </w:t>
      </w:r>
      <w:r w:rsidR="00AD6777">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227"/>
        <w:gridCol w:w="1226"/>
        <w:gridCol w:w="1226"/>
        <w:gridCol w:w="2047"/>
        <w:gridCol w:w="1840"/>
        <w:gridCol w:w="1721"/>
      </w:tblGrid>
      <w:tr w:rsidR="00EA3F40" w:rsidRPr="0097021E" w:rsidTr="00053472">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债券代码</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债券名称</w:t>
            </w:r>
          </w:p>
        </w:tc>
        <w:tc>
          <w:tcPr>
            <w:tcW w:type="dxa" w:w="2119"/>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债券数量</w:t>
            </w:r>
          </w:p>
          <w:p w:rsidP="007C3671" w:rsidR="00EA3F40" w:rsidRDefault="007C3671"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（张）</w:t>
            </w:r>
          </w:p>
        </w:tc>
        <w:tc>
          <w:tcPr>
            <w:tcW w:type="dxa" w:w="1787"/>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摊余成本</w:t>
            </w:r>
            <w:r w:rsidR="007C3671" w:rsidRPr="00613409">
              <w:rPr>
                <w:color w:val="000000"/>
                <w:kern w:val="0"/>
                <w:sz w:val="24"/>
              </w:rPr>
              <w:t>（元）</w:t>
            </w:r>
          </w:p>
        </w:tc>
        <w:tc>
          <w:tcPr>
            <w:tcW w:type="dxa" w:w="1595"/>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112017131</w:t>
            </w:r>
          </w:p>
        </w:tc>
        <w:tc>
          <w:tcPr>
            <w:vAlign w:val="center"/>
          </w:tcPr>
          <w:p>
            <w:pPr>
              <w:jc w:val="center"/>
            </w:pPr>
            <w:r>
              <w:rPr>
                <w:color w:val="000000"/>
                <w:sz w:val="24"/>
              </w:rPr>
              <w:t>20光大银行CD131</w:t>
            </w:r>
          </w:p>
        </w:tc>
        <w:tc>
          <w:tcPr>
            <w:vAlign w:val="center"/>
          </w:tcPr>
          <w:p>
            <w:pPr>
              <w:jc w:val="right"/>
            </w:pPr>
            <w:r>
              <w:rPr>
                <w:color w:val="000000"/>
                <w:sz w:val="24"/>
              </w:rPr>
              <w:t>10,000,000</w:t>
            </w:r>
          </w:p>
        </w:tc>
        <w:tc>
          <w:tcPr>
            <w:vAlign w:val="center"/>
          </w:tcPr>
          <w:p>
            <w:pPr>
              <w:jc w:val="right"/>
            </w:pPr>
            <w:r>
              <w:rPr>
                <w:color w:val="000000"/>
                <w:sz w:val="24"/>
              </w:rPr>
              <w:t>994,729,294.04</w:t>
            </w:r>
          </w:p>
        </w:tc>
        <w:tc>
          <w:tcPr>
            <w:vAlign w:val="center"/>
          </w:tcPr>
          <w:p>
            <w:pPr>
              <w:jc w:val="right"/>
            </w:pPr>
            <w:r>
              <w:rPr>
                <w:color w:val="000000"/>
                <w:sz w:val="24"/>
              </w:rPr>
              <w:t>2.86</w:t>
            </w:r>
          </w:p>
        </w:tc>
      </w:tr>
      <w:tr>
        <w:tc>
          <w:tcPr>
            <w:vAlign w:val="center"/>
          </w:tcPr>
          <w:p>
            <w:pPr>
              <w:jc w:val="center"/>
            </w:pPr>
            <w:r>
              <w:rPr>
                <w:color w:val="000000"/>
                <w:sz w:val="24"/>
              </w:rPr>
              <w:t>2</w:t>
            </w:r>
          </w:p>
        </w:tc>
        <w:tc>
          <w:tcPr>
            <w:vAlign w:val="center"/>
          </w:tcPr>
          <w:p>
            <w:pPr>
              <w:jc w:val="center"/>
            </w:pPr>
            <w:r>
              <w:rPr>
                <w:color w:val="000000"/>
                <w:sz w:val="24"/>
              </w:rPr>
              <w:t>112008107</w:t>
            </w:r>
          </w:p>
        </w:tc>
        <w:tc>
          <w:tcPr>
            <w:vAlign w:val="center"/>
          </w:tcPr>
          <w:p>
            <w:pPr>
              <w:jc w:val="center"/>
            </w:pPr>
            <w:r>
              <w:rPr>
                <w:color w:val="000000"/>
                <w:sz w:val="24"/>
              </w:rPr>
              <w:t>20中信银行CD107</w:t>
            </w:r>
          </w:p>
        </w:tc>
        <w:tc>
          <w:tcPr>
            <w:vAlign w:val="center"/>
          </w:tcPr>
          <w:p>
            <w:pPr>
              <w:jc w:val="right"/>
            </w:pPr>
            <w:r>
              <w:rPr>
                <w:color w:val="000000"/>
                <w:sz w:val="24"/>
              </w:rPr>
              <w:t>5,000,000</w:t>
            </w:r>
          </w:p>
        </w:tc>
        <w:tc>
          <w:tcPr>
            <w:vAlign w:val="center"/>
          </w:tcPr>
          <w:p>
            <w:pPr>
              <w:jc w:val="right"/>
            </w:pPr>
            <w:r>
              <w:rPr>
                <w:color w:val="000000"/>
                <w:sz w:val="24"/>
              </w:rPr>
              <w:t>497,364,647.02</w:t>
            </w:r>
          </w:p>
        </w:tc>
        <w:tc>
          <w:tcPr>
            <w:vAlign w:val="center"/>
          </w:tcPr>
          <w:p>
            <w:pPr>
              <w:jc w:val="right"/>
            </w:pPr>
            <w:r>
              <w:rPr>
                <w:color w:val="000000"/>
                <w:sz w:val="24"/>
              </w:rPr>
              <w:t>1.43</w:t>
            </w:r>
          </w:p>
        </w:tc>
      </w:tr>
      <w:tr>
        <w:tc>
          <w:tcPr>
            <w:vAlign w:val="center"/>
          </w:tcPr>
          <w:p>
            <w:pPr>
              <w:jc w:val="center"/>
            </w:pPr>
            <w:r>
              <w:rPr>
                <w:color w:val="000000"/>
                <w:sz w:val="24"/>
              </w:rPr>
              <w:t>3</w:t>
            </w:r>
          </w:p>
        </w:tc>
        <w:tc>
          <w:tcPr>
            <w:vAlign w:val="center"/>
          </w:tcPr>
          <w:p>
            <w:pPr>
              <w:jc w:val="center"/>
            </w:pPr>
            <w:r>
              <w:rPr>
                <w:color w:val="000000"/>
                <w:sz w:val="24"/>
              </w:rPr>
              <w:t>112012065</w:t>
            </w:r>
          </w:p>
        </w:tc>
        <w:tc>
          <w:tcPr>
            <w:vAlign w:val="center"/>
          </w:tcPr>
          <w:p>
            <w:pPr>
              <w:jc w:val="center"/>
            </w:pPr>
            <w:r>
              <w:rPr>
                <w:color w:val="000000"/>
                <w:sz w:val="24"/>
              </w:rPr>
              <w:t>20北京银行CD065</w:t>
            </w:r>
          </w:p>
        </w:tc>
        <w:tc>
          <w:tcPr>
            <w:vAlign w:val="center"/>
          </w:tcPr>
          <w:p>
            <w:pPr>
              <w:jc w:val="right"/>
            </w:pPr>
            <w:r>
              <w:rPr>
                <w:color w:val="000000"/>
                <w:sz w:val="24"/>
              </w:rPr>
              <w:t>5,000,000</w:t>
            </w:r>
          </w:p>
        </w:tc>
        <w:tc>
          <w:tcPr>
            <w:vAlign w:val="center"/>
          </w:tcPr>
          <w:p>
            <w:pPr>
              <w:jc w:val="right"/>
            </w:pPr>
            <w:r>
              <w:rPr>
                <w:color w:val="000000"/>
                <w:sz w:val="24"/>
              </w:rPr>
              <w:t>497,334,215.25</w:t>
            </w:r>
          </w:p>
        </w:tc>
        <w:tc>
          <w:tcPr>
            <w:vAlign w:val="center"/>
          </w:tcPr>
          <w:p>
            <w:pPr>
              <w:jc w:val="right"/>
            </w:pPr>
            <w:r>
              <w:rPr>
                <w:color w:val="000000"/>
                <w:sz w:val="24"/>
              </w:rPr>
              <w:t>1.43</w:t>
            </w:r>
          </w:p>
        </w:tc>
      </w:tr>
      <w:tr>
        <w:tc>
          <w:tcPr>
            <w:vAlign w:val="center"/>
          </w:tcPr>
          <w:p>
            <w:pPr>
              <w:jc w:val="center"/>
            </w:pPr>
            <w:r>
              <w:rPr>
                <w:color w:val="000000"/>
                <w:sz w:val="24"/>
              </w:rPr>
              <w:t>4</w:t>
            </w:r>
          </w:p>
        </w:tc>
        <w:tc>
          <w:tcPr>
            <w:vAlign w:val="center"/>
          </w:tcPr>
          <w:p>
            <w:pPr>
              <w:jc w:val="center"/>
            </w:pPr>
            <w:r>
              <w:rPr>
                <w:color w:val="000000"/>
                <w:sz w:val="24"/>
              </w:rPr>
              <w:t>112003007</w:t>
            </w:r>
          </w:p>
        </w:tc>
        <w:tc>
          <w:tcPr>
            <w:vAlign w:val="center"/>
          </w:tcPr>
          <w:p>
            <w:pPr>
              <w:jc w:val="center"/>
            </w:pPr>
            <w:r>
              <w:rPr>
                <w:color w:val="000000"/>
                <w:sz w:val="24"/>
              </w:rPr>
              <w:t>20农业银行CD007</w:t>
            </w:r>
          </w:p>
        </w:tc>
        <w:tc>
          <w:tcPr>
            <w:vAlign w:val="center"/>
          </w:tcPr>
          <w:p>
            <w:pPr>
              <w:jc w:val="right"/>
            </w:pPr>
            <w:r>
              <w:rPr>
                <w:color w:val="000000"/>
                <w:sz w:val="24"/>
              </w:rPr>
              <w:t>5,000,000</w:t>
            </w:r>
          </w:p>
        </w:tc>
        <w:tc>
          <w:tcPr>
            <w:vAlign w:val="center"/>
          </w:tcPr>
          <w:p>
            <w:pPr>
              <w:jc w:val="right"/>
            </w:pPr>
            <w:r>
              <w:rPr>
                <w:color w:val="000000"/>
                <w:sz w:val="24"/>
              </w:rPr>
              <w:t>494,921,998.55</w:t>
            </w:r>
          </w:p>
        </w:tc>
        <w:tc>
          <w:tcPr>
            <w:vAlign w:val="center"/>
          </w:tcPr>
          <w:p>
            <w:pPr>
              <w:jc w:val="right"/>
            </w:pPr>
            <w:r>
              <w:rPr>
                <w:color w:val="000000"/>
                <w:sz w:val="24"/>
              </w:rPr>
              <w:t>1.42</w:t>
            </w:r>
          </w:p>
        </w:tc>
      </w:tr>
      <w:tr>
        <w:tc>
          <w:tcPr>
            <w:vAlign w:val="center"/>
          </w:tcPr>
          <w:p>
            <w:pPr>
              <w:jc w:val="center"/>
            </w:pPr>
            <w:r>
              <w:rPr>
                <w:color w:val="000000"/>
                <w:sz w:val="24"/>
              </w:rPr>
              <w:t>5</w:t>
            </w:r>
          </w:p>
        </w:tc>
        <w:tc>
          <w:tcPr>
            <w:vAlign w:val="center"/>
          </w:tcPr>
          <w:p>
            <w:pPr>
              <w:jc w:val="center"/>
            </w:pPr>
            <w:r>
              <w:rPr>
                <w:color w:val="000000"/>
                <w:sz w:val="24"/>
              </w:rPr>
              <w:t>112005027</w:t>
            </w:r>
          </w:p>
        </w:tc>
        <w:tc>
          <w:tcPr>
            <w:vAlign w:val="center"/>
          </w:tcPr>
          <w:p>
            <w:pPr>
              <w:jc w:val="center"/>
            </w:pPr>
            <w:r>
              <w:rPr>
                <w:color w:val="000000"/>
                <w:sz w:val="24"/>
              </w:rPr>
              <w:t>20建设银行CD027</w:t>
            </w:r>
          </w:p>
        </w:tc>
        <w:tc>
          <w:tcPr>
            <w:vAlign w:val="center"/>
          </w:tcPr>
          <w:p>
            <w:pPr>
              <w:jc w:val="right"/>
            </w:pPr>
            <w:r>
              <w:rPr>
                <w:color w:val="000000"/>
                <w:sz w:val="24"/>
              </w:rPr>
              <w:t>4,000,000</w:t>
            </w:r>
          </w:p>
        </w:tc>
        <w:tc>
          <w:tcPr>
            <w:vAlign w:val="center"/>
          </w:tcPr>
          <w:p>
            <w:pPr>
              <w:jc w:val="right"/>
            </w:pPr>
            <w:r>
              <w:rPr>
                <w:color w:val="000000"/>
                <w:sz w:val="24"/>
              </w:rPr>
              <w:t>398,094,958.64</w:t>
            </w:r>
          </w:p>
        </w:tc>
        <w:tc>
          <w:tcPr>
            <w:vAlign w:val="center"/>
          </w:tcPr>
          <w:p>
            <w:pPr>
              <w:jc w:val="right"/>
            </w:pPr>
            <w:r>
              <w:rPr>
                <w:color w:val="000000"/>
                <w:sz w:val="24"/>
              </w:rPr>
              <w:t>1.14</w:t>
            </w:r>
          </w:p>
        </w:tc>
      </w:tr>
      <w:tr>
        <w:tc>
          <w:tcPr>
            <w:vAlign w:val="center"/>
          </w:tcPr>
          <w:p>
            <w:pPr>
              <w:jc w:val="center"/>
            </w:pPr>
            <w:r>
              <w:rPr>
                <w:color w:val="000000"/>
                <w:sz w:val="24"/>
              </w:rPr>
              <w:t>6</w:t>
            </w:r>
          </w:p>
        </w:tc>
        <w:tc>
          <w:tcPr>
            <w:vAlign w:val="center"/>
          </w:tcPr>
          <w:p>
            <w:pPr>
              <w:jc w:val="center"/>
            </w:pPr>
            <w:r>
              <w:rPr>
                <w:color w:val="000000"/>
                <w:sz w:val="24"/>
              </w:rPr>
              <w:t>209911</w:t>
            </w:r>
          </w:p>
        </w:tc>
        <w:tc>
          <w:tcPr>
            <w:vAlign w:val="center"/>
          </w:tcPr>
          <w:p>
            <w:pPr>
              <w:jc w:val="center"/>
            </w:pPr>
            <w:r>
              <w:rPr>
                <w:color w:val="000000"/>
                <w:sz w:val="24"/>
              </w:rPr>
              <w:t>20贴现国债11</w:t>
            </w:r>
          </w:p>
        </w:tc>
        <w:tc>
          <w:tcPr>
            <w:vAlign w:val="center"/>
          </w:tcPr>
          <w:p>
            <w:pPr>
              <w:jc w:val="right"/>
            </w:pPr>
            <w:r>
              <w:rPr>
                <w:color w:val="000000"/>
                <w:sz w:val="24"/>
              </w:rPr>
              <w:t>3,200,000</w:t>
            </w:r>
          </w:p>
        </w:tc>
        <w:tc>
          <w:tcPr>
            <w:vAlign w:val="center"/>
          </w:tcPr>
          <w:p>
            <w:pPr>
              <w:jc w:val="right"/>
            </w:pPr>
            <w:r>
              <w:rPr>
                <w:color w:val="000000"/>
                <w:sz w:val="24"/>
              </w:rPr>
              <w:t>318,941,419.39</w:t>
            </w:r>
          </w:p>
        </w:tc>
        <w:tc>
          <w:tcPr>
            <w:vAlign w:val="center"/>
          </w:tcPr>
          <w:p>
            <w:pPr>
              <w:jc w:val="right"/>
            </w:pPr>
            <w:r>
              <w:rPr>
                <w:color w:val="000000"/>
                <w:sz w:val="24"/>
              </w:rPr>
              <w:t>0.92</w:t>
            </w:r>
          </w:p>
        </w:tc>
      </w:tr>
      <w:tr>
        <w:tc>
          <w:tcPr>
            <w:vAlign w:val="center"/>
          </w:tcPr>
          <w:p>
            <w:pPr>
              <w:jc w:val="center"/>
            </w:pPr>
            <w:r>
              <w:rPr>
                <w:color w:val="000000"/>
                <w:sz w:val="24"/>
              </w:rPr>
              <w:t>7</w:t>
            </w:r>
          </w:p>
        </w:tc>
        <w:tc>
          <w:tcPr>
            <w:vAlign w:val="center"/>
          </w:tcPr>
          <w:p>
            <w:pPr>
              <w:jc w:val="center"/>
            </w:pPr>
            <w:r>
              <w:rPr>
                <w:color w:val="000000"/>
                <w:sz w:val="24"/>
              </w:rPr>
              <w:t>180203</w:t>
            </w:r>
          </w:p>
        </w:tc>
        <w:tc>
          <w:tcPr>
            <w:vAlign w:val="center"/>
          </w:tcPr>
          <w:p>
            <w:pPr>
              <w:jc w:val="center"/>
            </w:pPr>
            <w:r>
              <w:rPr>
                <w:color w:val="000000"/>
                <w:sz w:val="24"/>
              </w:rPr>
              <w:t>18国开03</w:t>
            </w:r>
          </w:p>
        </w:tc>
        <w:tc>
          <w:tcPr>
            <w:vAlign w:val="center"/>
          </w:tcPr>
          <w:p>
            <w:pPr>
              <w:jc w:val="right"/>
            </w:pPr>
            <w:r>
              <w:rPr>
                <w:color w:val="000000"/>
                <w:sz w:val="24"/>
              </w:rPr>
              <w:t>3,000,000</w:t>
            </w:r>
          </w:p>
        </w:tc>
        <w:tc>
          <w:tcPr>
            <w:vAlign w:val="center"/>
          </w:tcPr>
          <w:p>
            <w:pPr>
              <w:jc w:val="right"/>
            </w:pPr>
            <w:r>
              <w:rPr>
                <w:color w:val="000000"/>
                <w:sz w:val="24"/>
              </w:rPr>
              <w:t>305,687,661.22</w:t>
            </w:r>
          </w:p>
        </w:tc>
        <w:tc>
          <w:tcPr>
            <w:vAlign w:val="center"/>
          </w:tcPr>
          <w:p>
            <w:pPr>
              <w:jc w:val="right"/>
            </w:pPr>
            <w:r>
              <w:rPr>
                <w:color w:val="000000"/>
                <w:sz w:val="24"/>
              </w:rPr>
              <w:t>0.88</w:t>
            </w:r>
          </w:p>
        </w:tc>
      </w:tr>
      <w:tr>
        <w:tc>
          <w:tcPr>
            <w:vAlign w:val="center"/>
          </w:tcPr>
          <w:p>
            <w:pPr>
              <w:jc w:val="center"/>
            </w:pPr>
            <w:r>
              <w:rPr>
                <w:color w:val="000000"/>
                <w:sz w:val="24"/>
              </w:rPr>
              <w:t>8</w:t>
            </w:r>
          </w:p>
        </w:tc>
        <w:tc>
          <w:tcPr>
            <w:vAlign w:val="center"/>
          </w:tcPr>
          <w:p>
            <w:pPr>
              <w:jc w:val="center"/>
            </w:pPr>
            <w:r>
              <w:rPr>
                <w:color w:val="000000"/>
                <w:sz w:val="24"/>
              </w:rPr>
              <w:t>112020020</w:t>
            </w:r>
          </w:p>
        </w:tc>
        <w:tc>
          <w:tcPr>
            <w:vAlign w:val="center"/>
          </w:tcPr>
          <w:p>
            <w:pPr>
              <w:jc w:val="center"/>
            </w:pPr>
            <w:r>
              <w:rPr>
                <w:color w:val="000000"/>
                <w:sz w:val="24"/>
              </w:rPr>
              <w:t>20广发银行CD020</w:t>
            </w:r>
          </w:p>
        </w:tc>
        <w:tc>
          <w:tcPr>
            <w:vAlign w:val="center"/>
          </w:tcPr>
          <w:p>
            <w:pPr>
              <w:jc w:val="right"/>
            </w:pPr>
            <w:r>
              <w:rPr>
                <w:color w:val="000000"/>
                <w:sz w:val="24"/>
              </w:rPr>
              <w:t>3,000,000</w:t>
            </w:r>
          </w:p>
        </w:tc>
        <w:tc>
          <w:tcPr>
            <w:vAlign w:val="center"/>
          </w:tcPr>
          <w:p>
            <w:pPr>
              <w:jc w:val="right"/>
            </w:pPr>
            <w:r>
              <w:rPr>
                <w:color w:val="000000"/>
                <w:sz w:val="24"/>
              </w:rPr>
              <w:t>298,839,077.22</w:t>
            </w:r>
          </w:p>
        </w:tc>
        <w:tc>
          <w:tcPr>
            <w:vAlign w:val="center"/>
          </w:tcPr>
          <w:p>
            <w:pPr>
              <w:jc w:val="right"/>
            </w:pPr>
            <w:r>
              <w:rPr>
                <w:color w:val="000000"/>
                <w:sz w:val="24"/>
              </w:rPr>
              <w:t>0.86</w:t>
            </w:r>
          </w:p>
        </w:tc>
      </w:tr>
      <w:tr>
        <w:tc>
          <w:tcPr>
            <w:vAlign w:val="center"/>
          </w:tcPr>
          <w:p>
            <w:pPr>
              <w:jc w:val="center"/>
            </w:pPr>
            <w:r>
              <w:rPr>
                <w:color w:val="000000"/>
                <w:sz w:val="24"/>
              </w:rPr>
              <w:t>9</w:t>
            </w:r>
          </w:p>
        </w:tc>
        <w:tc>
          <w:tcPr>
            <w:vAlign w:val="center"/>
          </w:tcPr>
          <w:p>
            <w:pPr>
              <w:jc w:val="center"/>
            </w:pPr>
            <w:r>
              <w:rPr>
                <w:color w:val="000000"/>
                <w:sz w:val="24"/>
              </w:rPr>
              <w:t>112011064</w:t>
            </w:r>
          </w:p>
        </w:tc>
        <w:tc>
          <w:tcPr>
            <w:vAlign w:val="center"/>
          </w:tcPr>
          <w:p>
            <w:pPr>
              <w:jc w:val="center"/>
            </w:pPr>
            <w:r>
              <w:rPr>
                <w:color w:val="000000"/>
                <w:sz w:val="24"/>
              </w:rPr>
              <w:t>20平安银行CD064</w:t>
            </w:r>
          </w:p>
        </w:tc>
        <w:tc>
          <w:tcPr>
            <w:vAlign w:val="center"/>
          </w:tcPr>
          <w:p>
            <w:pPr>
              <w:jc w:val="right"/>
            </w:pPr>
            <w:r>
              <w:rPr>
                <w:color w:val="000000"/>
                <w:sz w:val="24"/>
              </w:rPr>
              <w:t>3,000,000</w:t>
            </w:r>
          </w:p>
        </w:tc>
        <w:tc>
          <w:tcPr>
            <w:vAlign w:val="center"/>
          </w:tcPr>
          <w:p>
            <w:pPr>
              <w:jc w:val="right"/>
            </w:pPr>
            <w:r>
              <w:rPr>
                <w:color w:val="000000"/>
                <w:sz w:val="24"/>
              </w:rPr>
              <w:t>298,821,129.01</w:t>
            </w:r>
          </w:p>
        </w:tc>
        <w:tc>
          <w:tcPr>
            <w:vAlign w:val="center"/>
          </w:tcPr>
          <w:p>
            <w:pPr>
              <w:jc w:val="right"/>
            </w:pPr>
            <w:r>
              <w:rPr>
                <w:color w:val="000000"/>
                <w:sz w:val="24"/>
              </w:rPr>
              <w:t>0.86</w:t>
            </w:r>
          </w:p>
        </w:tc>
      </w:tr>
      <w:tr>
        <w:tc>
          <w:tcPr>
            <w:vAlign w:val="center"/>
          </w:tcPr>
          <w:p>
            <w:pPr>
              <w:jc w:val="center"/>
            </w:pPr>
            <w:r>
              <w:rPr>
                <w:color w:val="000000"/>
                <w:sz w:val="24"/>
              </w:rPr>
              <w:t>10</w:t>
            </w:r>
          </w:p>
        </w:tc>
        <w:tc>
          <w:tcPr>
            <w:vAlign w:val="center"/>
          </w:tcPr>
          <w:p>
            <w:pPr>
              <w:jc w:val="center"/>
            </w:pPr>
            <w:r>
              <w:rPr>
                <w:color w:val="000000"/>
                <w:sz w:val="24"/>
              </w:rPr>
              <w:t>112011125</w:t>
            </w:r>
          </w:p>
        </w:tc>
        <w:tc>
          <w:tcPr>
            <w:vAlign w:val="center"/>
          </w:tcPr>
          <w:p>
            <w:pPr>
              <w:jc w:val="center"/>
            </w:pPr>
            <w:r>
              <w:rPr>
                <w:color w:val="000000"/>
                <w:sz w:val="24"/>
              </w:rPr>
              <w:t>20平安银行CD125</w:t>
            </w:r>
          </w:p>
        </w:tc>
        <w:tc>
          <w:tcPr>
            <w:vAlign w:val="center"/>
          </w:tcPr>
          <w:p>
            <w:pPr>
              <w:jc w:val="right"/>
            </w:pPr>
            <w:r>
              <w:rPr>
                <w:color w:val="000000"/>
                <w:sz w:val="24"/>
              </w:rPr>
              <w:t>3,000,000</w:t>
            </w:r>
          </w:p>
        </w:tc>
        <w:tc>
          <w:tcPr>
            <w:vAlign w:val="center"/>
          </w:tcPr>
          <w:p>
            <w:pPr>
              <w:jc w:val="right"/>
            </w:pPr>
            <w:r>
              <w:rPr>
                <w:color w:val="000000"/>
                <w:sz w:val="24"/>
              </w:rPr>
              <w:t>298,663,590.00</w:t>
            </w:r>
          </w:p>
        </w:tc>
        <w:tc>
          <w:tcPr>
            <w:vAlign w:val="center"/>
          </w:tcPr>
          <w:p>
            <w:pPr>
              <w:jc w:val="right"/>
            </w:pPr>
            <w:r>
              <w:rPr>
                <w:color w:val="000000"/>
                <w:sz w:val="24"/>
              </w:rPr>
              <w:t>0.86</w:t>
            </w:r>
          </w:p>
        </w:tc>
      </w:tr>
    </w:tbl>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EA3F40" w:rsidRPr="0097021E" w:rsidTr="00F21A1D">
        <w:tc>
          <w:tcPr>
            <w:tcW w:type="dxa" w:w="581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338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偏离情况</w:t>
            </w:r>
          </w:p>
        </w:tc>
      </w:tr>
      <w:tr w:rsidR="00EA3F40" w:rsidRPr="0097021E" w:rsidTr="00F21A1D">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报告期内偏离度的绝对值在</w:t>
            </w:r>
            <w:r w:rsidRPr="00613409">
              <w:rPr>
                <w:color w:val="000000"/>
                <w:kern w:val="0"/>
                <w:sz w:val="24"/>
              </w:rPr>
              <w:t>0.25(</w:t>
            </w:r>
            <w:r w:rsidRPr="00613409">
              <w:rPr>
                <w:color w:val="000000"/>
                <w:kern w:val="0"/>
                <w:sz w:val="24"/>
              </w:rPr>
              <w:t>含</w:t>
            </w:r>
            <w:r w:rsidRPr="00613409">
              <w:rPr>
                <w:color w:val="000000"/>
                <w:kern w:val="0"/>
                <w:sz w:val="24"/>
              </w:rPr>
              <w:t>)-0.5%</w:t>
            </w:r>
            <w:r w:rsidRPr="00613409">
              <w:rPr>
                <w:color w:val="000000"/>
                <w:kern w:val="0"/>
                <w:sz w:val="24"/>
              </w:rPr>
              <w:t>间的次数</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w:t>
            </w:r>
            <w:r w:rsidRPr="00613409">
              <w:rPr>
                <w:color w:val="000000"/>
                <w:sz w:val="24"/>
              </w:rPr>
              <w:t>次</w:t>
            </w:r>
          </w:p>
        </w:tc>
      </w:tr>
      <w:tr w:rsidR="00EA3F40" w:rsidRPr="0097021E" w:rsidTr="00F21A1D">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报告期内偏离度的最高值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0.2171%</w:t>
            </w:r>
          </w:p>
        </w:tc>
      </w:tr>
      <w:tr w:rsidR="00EA3F40" w:rsidRPr="0097021E" w:rsidTr="00F21A1D">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报告期内偏离度的最低值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0.0335%</w:t>
            </w:r>
          </w:p>
        </w:tc>
      </w:tr>
      <w:tr w:rsidR="00EA3F40" w:rsidRPr="0097021E" w:rsidTr="00F21A1D">
        <w:tc>
          <w:tcPr>
            <w:tcW w:type="dxa" w:w="5812"/>
            <w:vAlign w:val="center"/>
          </w:tcPr>
          <w:p w:rsidP="00BD0F36"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报告期内每个工作日偏离度的绝对值的简单平均值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0.1277%</w:t>
            </w:r>
          </w:p>
        </w:tc>
      </w:tr>
    </w:tbl>
    <w:p w:rsidP="007A1ACF" w:rsidR="007A1ACF" w:rsidRDefault="007A1ACF" w:rsidRPr="007A1ACF">
      <w:pPr>
        <w:spacing w:line="360" w:lineRule="auto"/>
        <w:rPr>
          <w:b/>
          <w:color w:val="000000"/>
          <w:kern w:val="0"/>
          <w:sz w:val="24"/>
        </w:rPr>
      </w:pPr>
      <w:r w:rsidRPr="007A1ACF">
        <w:rPr>
          <w:b/>
          <w:color w:val="000000"/>
          <w:sz w:val="24"/>
        </w:rPr>
        <w:t>报告期内负偏离度的绝对值达到</w:t>
      </w:r>
      <w:r w:rsidRPr="007A1ACF">
        <w:rPr>
          <w:b/>
          <w:color w:val="000000"/>
          <w:sz w:val="24"/>
        </w:rPr>
        <w:t>0.25%</w:t>
      </w:r>
      <w:r w:rsidRPr="007A1ACF">
        <w:rPr>
          <w:b/>
          <w:color w:val="000000"/>
          <w:sz w:val="24"/>
        </w:rPr>
        <w:t>情况说明</w:t>
      </w:r>
    </w:p>
    <w:p w:rsidP="007A1ACF" w:rsidR="007A1ACF" w:rsidRDefault="007A1ACF" w:rsidRPr="007A1ACF">
      <w:pPr>
        <w:adjustRightInd w:val="0"/>
        <w:spacing w:line="360" w:lineRule="auto"/>
        <w:ind w:firstLine="480" w:firstLineChars="200"/>
        <w:rPr>
          <w:color w:val="000000"/>
          <w:sz w:val="24"/>
        </w:rPr>
      </w:pPr>
      <w:r w:rsidRPr="007A1ACF">
        <w:rPr>
          <w:color w:val="000000"/>
          <w:sz w:val="24"/>
        </w:rPr>
        <w:t>本基金本报告期内不存在负偏离度的绝对值达到0.25%的情况。</w:t>
      </w:r>
    </w:p>
    <w:p w:rsidP="007A1ACF" w:rsidR="007A1ACF" w:rsidRDefault="007A1ACF" w:rsidRPr="007A1ACF">
      <w:pPr>
        <w:spacing w:line="360" w:lineRule="auto"/>
        <w:rPr>
          <w:b/>
          <w:color w:val="000000"/>
          <w:kern w:val="0"/>
          <w:sz w:val="24"/>
        </w:rPr>
      </w:pPr>
      <w:r w:rsidRPr="007A1ACF">
        <w:rPr>
          <w:b/>
          <w:color w:val="000000"/>
          <w:sz w:val="24"/>
        </w:rPr>
        <w:t>报告期内正偏离度的绝对值达到</w:t>
      </w:r>
      <w:r w:rsidRPr="007A1ACF">
        <w:rPr>
          <w:b/>
          <w:color w:val="000000"/>
          <w:sz w:val="24"/>
        </w:rPr>
        <w:t>0.5%</w:t>
      </w:r>
      <w:r w:rsidRPr="007A1ACF">
        <w:rPr>
          <w:b/>
          <w:color w:val="000000"/>
          <w:sz w:val="24"/>
        </w:rPr>
        <w:t>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lastRenderedPageBreak/>
        <w:t>本基金本报告期内不存在正偏离度的绝对值达到0.5%的情况。</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8</w:t>
      </w:r>
      <w:r w:rsidR="00AD677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411"/>
        <w:gridCol w:w="1410"/>
        <w:gridCol w:w="1410"/>
        <w:gridCol w:w="1685"/>
        <w:gridCol w:w="1685"/>
        <w:gridCol w:w="1686"/>
      </w:tblGrid>
      <w:tr w:rsidR="00EA3F40" w:rsidRPr="0097021E" w:rsidTr="00841A22">
        <w:tc>
          <w:tcPr>
            <w:tcW w:type="dxa" w:w="1547"/>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证券代码</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证券名称</w:t>
            </w:r>
          </w:p>
        </w:tc>
        <w:tc>
          <w:tcPr>
            <w:tcW w:type="dxa" w:w="1548"/>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数量</w:t>
            </w:r>
            <w:r w:rsidR="007C3671" w:rsidRPr="00613409">
              <w:rPr>
                <w:color w:val="000000"/>
                <w:kern w:val="0"/>
                <w:sz w:val="24"/>
              </w:rPr>
              <w:t>（份）</w:t>
            </w:r>
          </w:p>
        </w:tc>
        <w:tc>
          <w:tcPr>
            <w:tcW w:type="dxa" w:w="1548"/>
            <w:vAlign w:val="center"/>
          </w:tcPr>
          <w:p w:rsidP="007C3671" w:rsidR="00EA3F40" w:rsidRDefault="00F84FDF" w:rsidRPr="00613409">
            <w:pPr>
              <w:autoSpaceDE w:val="0"/>
              <w:autoSpaceDN w:val="0"/>
              <w:adjustRightInd w:val="0"/>
              <w:spacing w:before="29" w:line="360" w:lineRule="auto"/>
              <w:ind w:left="15"/>
              <w:jc w:val="center"/>
              <w:rPr>
                <w:color w:val="000000"/>
                <w:kern w:val="0"/>
                <w:sz w:val="24"/>
              </w:rPr>
            </w:pPr>
            <w:r w:rsidRPr="00F84FDF">
              <w:rPr>
                <w:rFonts w:hint="eastAsia"/>
                <w:color w:val="000000"/>
                <w:kern w:val="0"/>
                <w:sz w:val="24"/>
              </w:rPr>
              <w:t>摊余成本</w:t>
            </w:r>
            <w:r w:rsidR="007C3671" w:rsidRPr="00613409">
              <w:rPr>
                <w:color w:val="000000"/>
                <w:kern w:val="0"/>
                <w:sz w:val="24"/>
              </w:rPr>
              <w:t>（元）</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138326</w:t>
            </w:r>
          </w:p>
        </w:tc>
        <w:tc>
          <w:tcPr>
            <w:vAlign w:val="center"/>
          </w:tcPr>
          <w:p>
            <w:pPr>
              <w:jc w:val="center"/>
            </w:pPr>
            <w:r>
              <w:rPr>
                <w:color w:val="000000"/>
                <w:sz w:val="24"/>
              </w:rPr>
              <w:t>链融20A1</w:t>
            </w:r>
          </w:p>
        </w:tc>
        <w:tc>
          <w:tcPr>
            <w:vAlign w:val="center"/>
          </w:tcPr>
          <w:p>
            <w:pPr>
              <w:jc w:val="right"/>
            </w:pPr>
            <w:r>
              <w:rPr>
                <w:color w:val="000000"/>
                <w:sz w:val="24"/>
              </w:rPr>
              <w:t>400,000</w:t>
            </w:r>
          </w:p>
        </w:tc>
        <w:tc>
          <w:tcPr>
            <w:vAlign w:val="center"/>
          </w:tcPr>
          <w:p>
            <w:pPr>
              <w:jc w:val="right"/>
            </w:pPr>
            <w:r>
              <w:rPr>
                <w:color w:val="000000"/>
                <w:sz w:val="24"/>
              </w:rPr>
              <w:t>40,011,785.23</w:t>
            </w:r>
          </w:p>
        </w:tc>
        <w:tc>
          <w:tcPr>
            <w:vAlign w:val="center"/>
          </w:tcPr>
          <w:p>
            <w:pPr>
              <w:jc w:val="right"/>
            </w:pPr>
            <w:r>
              <w:rPr>
                <w:color w:val="000000"/>
                <w:sz w:val="24"/>
              </w:rPr>
              <w:t>0.12</w:t>
            </w:r>
          </w:p>
        </w:tc>
      </w:tr>
      <w:tr>
        <w:tc>
          <w:tcPr>
            <w:vAlign w:val="center"/>
          </w:tcPr>
          <w:p>
            <w:pPr>
              <w:jc w:val="center"/>
            </w:pPr>
            <w:r>
              <w:rPr>
                <w:color w:val="000000"/>
                <w:sz w:val="24"/>
              </w:rPr>
              <w:t>2</w:t>
            </w:r>
          </w:p>
        </w:tc>
        <w:tc>
          <w:tcPr>
            <w:vAlign w:val="center"/>
          </w:tcPr>
          <w:p>
            <w:pPr>
              <w:jc w:val="center"/>
            </w:pPr>
            <w:r>
              <w:rPr>
                <w:color w:val="000000"/>
                <w:sz w:val="24"/>
              </w:rPr>
              <w:t>138596</w:t>
            </w:r>
          </w:p>
        </w:tc>
        <w:tc>
          <w:tcPr>
            <w:vAlign w:val="center"/>
          </w:tcPr>
          <w:p>
            <w:pPr>
              <w:jc w:val="center"/>
            </w:pPr>
            <w:r>
              <w:rPr>
                <w:color w:val="000000"/>
                <w:sz w:val="24"/>
              </w:rPr>
              <w:t>京东22A1</w:t>
            </w:r>
          </w:p>
        </w:tc>
        <w:tc>
          <w:tcPr>
            <w:vAlign w:val="center"/>
          </w:tcPr>
          <w:p>
            <w:pPr>
              <w:jc w:val="right"/>
            </w:pPr>
            <w:r>
              <w:rPr>
                <w:color w:val="000000"/>
                <w:sz w:val="24"/>
              </w:rPr>
              <w:t>400,000</w:t>
            </w:r>
          </w:p>
        </w:tc>
        <w:tc>
          <w:tcPr>
            <w:vAlign w:val="center"/>
          </w:tcPr>
          <w:p>
            <w:pPr>
              <w:jc w:val="right"/>
            </w:pPr>
            <w:r>
              <w:rPr>
                <w:color w:val="000000"/>
                <w:sz w:val="24"/>
              </w:rPr>
              <w:t>40,000,000.00</w:t>
            </w:r>
          </w:p>
        </w:tc>
        <w:tc>
          <w:tcPr>
            <w:vAlign w:val="center"/>
          </w:tcPr>
          <w:p>
            <w:pPr>
              <w:jc w:val="right"/>
            </w:pPr>
            <w:r>
              <w:rPr>
                <w:color w:val="000000"/>
                <w:sz w:val="24"/>
              </w:rPr>
              <w:t>0.11</w:t>
            </w:r>
          </w:p>
        </w:tc>
      </w:tr>
      <w:tr>
        <w:tc>
          <w:tcPr>
            <w:vAlign w:val="center"/>
          </w:tcPr>
          <w:p>
            <w:pPr>
              <w:jc w:val="center"/>
            </w:pPr>
            <w:r>
              <w:rPr>
                <w:color w:val="000000"/>
                <w:sz w:val="24"/>
              </w:rPr>
              <w:t>3</w:t>
            </w:r>
          </w:p>
        </w:tc>
        <w:tc>
          <w:tcPr>
            <w:vAlign w:val="center"/>
          </w:tcPr>
          <w:p>
            <w:pPr>
              <w:jc w:val="center"/>
            </w:pPr>
            <w:r>
              <w:rPr>
                <w:color w:val="000000"/>
                <w:sz w:val="24"/>
              </w:rPr>
              <w:t>138133</w:t>
            </w:r>
          </w:p>
        </w:tc>
        <w:tc>
          <w:tcPr>
            <w:vAlign w:val="center"/>
          </w:tcPr>
          <w:p>
            <w:pPr>
              <w:jc w:val="center"/>
            </w:pPr>
            <w:r>
              <w:rPr>
                <w:color w:val="000000"/>
                <w:sz w:val="24"/>
              </w:rPr>
              <w:t>永熙优19</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0.09</w:t>
            </w:r>
          </w:p>
        </w:tc>
      </w:tr>
      <w:tr>
        <w:tc>
          <w:tcPr>
            <w:vAlign w:val="center"/>
          </w:tcPr>
          <w:p>
            <w:pPr>
              <w:jc w:val="center"/>
            </w:pPr>
            <w:r>
              <w:rPr>
                <w:color w:val="000000"/>
                <w:sz w:val="24"/>
              </w:rPr>
              <w:t>3</w:t>
            </w:r>
          </w:p>
        </w:tc>
        <w:tc>
          <w:tcPr>
            <w:vAlign w:val="center"/>
          </w:tcPr>
          <w:p>
            <w:pPr>
              <w:jc w:val="center"/>
            </w:pPr>
            <w:r>
              <w:rPr>
                <w:color w:val="000000"/>
                <w:sz w:val="24"/>
              </w:rPr>
              <w:t>138265</w:t>
            </w:r>
          </w:p>
        </w:tc>
        <w:tc>
          <w:tcPr>
            <w:vAlign w:val="center"/>
          </w:tcPr>
          <w:p>
            <w:pPr>
              <w:jc w:val="center"/>
            </w:pPr>
            <w:r>
              <w:rPr>
                <w:color w:val="000000"/>
                <w:sz w:val="24"/>
              </w:rPr>
              <w:t>国链16A1</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0.09</w:t>
            </w:r>
          </w:p>
        </w:tc>
      </w:tr>
      <w:tr>
        <w:tc>
          <w:tcPr>
            <w:vAlign w:val="center"/>
          </w:tcPr>
          <w:p>
            <w:pPr>
              <w:jc w:val="center"/>
            </w:pPr>
            <w:r>
              <w:rPr>
                <w:color w:val="000000"/>
                <w:sz w:val="24"/>
              </w:rPr>
              <w:t>3</w:t>
            </w:r>
          </w:p>
        </w:tc>
        <w:tc>
          <w:tcPr>
            <w:vAlign w:val="center"/>
          </w:tcPr>
          <w:p>
            <w:pPr>
              <w:jc w:val="center"/>
            </w:pPr>
            <w:r>
              <w:rPr>
                <w:color w:val="000000"/>
                <w:sz w:val="24"/>
              </w:rPr>
              <w:t>138445</w:t>
            </w:r>
          </w:p>
        </w:tc>
        <w:tc>
          <w:tcPr>
            <w:vAlign w:val="center"/>
          </w:tcPr>
          <w:p>
            <w:pPr>
              <w:jc w:val="center"/>
            </w:pPr>
            <w:r>
              <w:rPr>
                <w:color w:val="000000"/>
                <w:sz w:val="24"/>
              </w:rPr>
              <w:t>链融21A1</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0.09</w:t>
            </w:r>
          </w:p>
        </w:tc>
      </w:tr>
      <w:tr>
        <w:tc>
          <w:tcPr>
            <w:vAlign w:val="center"/>
          </w:tcPr>
          <w:p>
            <w:pPr>
              <w:jc w:val="center"/>
            </w:pPr>
            <w:r>
              <w:rPr>
                <w:color w:val="000000"/>
                <w:sz w:val="24"/>
              </w:rPr>
              <w:t>3</w:t>
            </w:r>
          </w:p>
        </w:tc>
        <w:tc>
          <w:tcPr>
            <w:vAlign w:val="center"/>
          </w:tcPr>
          <w:p>
            <w:pPr>
              <w:jc w:val="center"/>
            </w:pPr>
            <w:r>
              <w:rPr>
                <w:color w:val="000000"/>
                <w:sz w:val="24"/>
              </w:rPr>
              <w:t>138540</w:t>
            </w:r>
          </w:p>
        </w:tc>
        <w:tc>
          <w:tcPr>
            <w:vAlign w:val="center"/>
          </w:tcPr>
          <w:p>
            <w:pPr>
              <w:jc w:val="center"/>
            </w:pPr>
            <w:r>
              <w:rPr>
                <w:color w:val="000000"/>
                <w:sz w:val="24"/>
              </w:rPr>
              <w:t>厚德01A</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0.09</w:t>
            </w:r>
          </w:p>
        </w:tc>
      </w:tr>
      <w:tr>
        <w:tc>
          <w:tcPr>
            <w:vAlign w:val="center"/>
          </w:tcPr>
          <w:p>
            <w:pPr>
              <w:jc w:val="center"/>
            </w:pPr>
            <w:r>
              <w:rPr>
                <w:color w:val="000000"/>
                <w:sz w:val="24"/>
              </w:rPr>
              <w:t>3</w:t>
            </w:r>
          </w:p>
        </w:tc>
        <w:tc>
          <w:tcPr>
            <w:vAlign w:val="center"/>
          </w:tcPr>
          <w:p>
            <w:pPr>
              <w:jc w:val="center"/>
            </w:pPr>
            <w:r>
              <w:rPr>
                <w:color w:val="000000"/>
                <w:sz w:val="24"/>
              </w:rPr>
              <w:t>139811</w:t>
            </w:r>
          </w:p>
        </w:tc>
        <w:tc>
          <w:tcPr>
            <w:vAlign w:val="center"/>
          </w:tcPr>
          <w:p>
            <w:pPr>
              <w:jc w:val="center"/>
            </w:pPr>
            <w:r>
              <w:rPr>
                <w:color w:val="000000"/>
                <w:sz w:val="24"/>
              </w:rPr>
              <w:t>永熙优09</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0.09</w:t>
            </w:r>
          </w:p>
        </w:tc>
      </w:tr>
      <w:tr>
        <w:tc>
          <w:tcPr>
            <w:vAlign w:val="center"/>
          </w:tcPr>
          <w:p>
            <w:pPr>
              <w:jc w:val="center"/>
            </w:pPr>
            <w:r>
              <w:rPr>
                <w:color w:val="000000"/>
                <w:sz w:val="24"/>
              </w:rPr>
              <w:t>3</w:t>
            </w:r>
          </w:p>
        </w:tc>
        <w:tc>
          <w:tcPr>
            <w:vAlign w:val="center"/>
          </w:tcPr>
          <w:p>
            <w:pPr>
              <w:jc w:val="center"/>
            </w:pPr>
            <w:r>
              <w:rPr>
                <w:color w:val="000000"/>
                <w:sz w:val="24"/>
              </w:rPr>
              <w:t>139849</w:t>
            </w:r>
          </w:p>
        </w:tc>
        <w:tc>
          <w:tcPr>
            <w:vAlign w:val="center"/>
          </w:tcPr>
          <w:p>
            <w:pPr>
              <w:jc w:val="center"/>
            </w:pPr>
            <w:r>
              <w:rPr>
                <w:color w:val="000000"/>
                <w:sz w:val="24"/>
              </w:rPr>
              <w:t>永泰优03</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0.09</w:t>
            </w:r>
          </w:p>
        </w:tc>
      </w:tr>
      <w:tr>
        <w:tc>
          <w:tcPr>
            <w:vAlign w:val="center"/>
          </w:tcPr>
          <w:p>
            <w:pPr>
              <w:jc w:val="center"/>
            </w:pPr>
            <w:r>
              <w:rPr>
                <w:color w:val="000000"/>
                <w:sz w:val="24"/>
              </w:rPr>
              <w:t>3</w:t>
            </w:r>
          </w:p>
        </w:tc>
        <w:tc>
          <w:tcPr>
            <w:vAlign w:val="center"/>
          </w:tcPr>
          <w:p>
            <w:pPr>
              <w:jc w:val="center"/>
            </w:pPr>
            <w:r>
              <w:rPr>
                <w:color w:val="000000"/>
                <w:sz w:val="24"/>
              </w:rPr>
              <w:t>139850</w:t>
            </w:r>
          </w:p>
        </w:tc>
        <w:tc>
          <w:tcPr>
            <w:vAlign w:val="center"/>
          </w:tcPr>
          <w:p>
            <w:pPr>
              <w:jc w:val="center"/>
            </w:pPr>
            <w:r>
              <w:rPr>
                <w:color w:val="000000"/>
                <w:sz w:val="24"/>
              </w:rPr>
              <w:t>瑞新3A1</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0.09</w:t>
            </w:r>
          </w:p>
        </w:tc>
      </w:tr>
      <w:tr>
        <w:tc>
          <w:tcPr>
            <w:vAlign w:val="center"/>
          </w:tcPr>
          <w:p>
            <w:pPr>
              <w:jc w:val="center"/>
            </w:pPr>
            <w:r>
              <w:rPr>
                <w:color w:val="000000"/>
                <w:sz w:val="24"/>
              </w:rPr>
              <w:t>3</w:t>
            </w:r>
          </w:p>
        </w:tc>
        <w:tc>
          <w:tcPr>
            <w:vAlign w:val="center"/>
          </w:tcPr>
          <w:p>
            <w:pPr>
              <w:jc w:val="center"/>
            </w:pPr>
            <w:r>
              <w:rPr>
                <w:color w:val="000000"/>
                <w:sz w:val="24"/>
              </w:rPr>
              <w:t>165762</w:t>
            </w:r>
          </w:p>
        </w:tc>
        <w:tc>
          <w:tcPr>
            <w:vAlign w:val="center"/>
          </w:tcPr>
          <w:p>
            <w:pPr>
              <w:jc w:val="center"/>
            </w:pPr>
            <w:r>
              <w:rPr>
                <w:color w:val="000000"/>
                <w:sz w:val="24"/>
              </w:rPr>
              <w:t>聚盈04A</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0.09</w:t>
            </w:r>
          </w:p>
        </w:tc>
      </w:tr>
    </w:tbl>
    <w:p w:rsidP="00976A1A" w:rsidR="00EA3F40" w:rsidRDefault="00EA3F40"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7A1ACF">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投资组合报告附注</w:t>
      </w:r>
    </w:p>
    <w:p w:rsidP="007A1ACF" w:rsidR="007A1ACF" w:rsidRDefault="007A1ACF" w:rsidRPr="007A1ACF">
      <w:pPr>
        <w:spacing w:line="360" w:lineRule="auto"/>
        <w:rPr>
          <w:color w:val="000000"/>
          <w:sz w:val="24"/>
        </w:rPr>
      </w:pPr>
      <w:r w:rsidRPr="007A1ACF">
        <w:rPr>
          <w:color w:val="000000"/>
          <w:sz w:val="24"/>
        </w:rPr>
        <w:t>5.9.1</w:t>
      </w:r>
      <w:r w:rsidRPr="007A1ACF">
        <w:rPr>
          <w:color w:val="000000"/>
          <w:sz w:val="24"/>
        </w:rPr>
        <w:t>基金计价方法说明</w:t>
      </w:r>
    </w:p>
    <w:p>
      <w:pPr>
        <w:spacing w:line="360" w:lineRule="auto"/>
        <w:ind w:firstLine="480" w:firstLineChars="200"/>
        <w:rPr>
          <w:color w:val="000000"/>
          <w:sz w:val="24"/>
        </w:rPr>
      </w:pPr>
      <w:r>
        <w:rPr>
          <w:color w:val="000000"/>
          <w:sz w:val="24"/>
        </w:rPr>
        <w:t>本基金目前投资工具的估值方法如下：</w:t>
      </w:r>
    </w:p>
    <w:p>
      <w:pPr>
        <w:spacing w:line="360" w:lineRule="auto"/>
        <w:ind w:firstLine="480" w:firstLineChars="200"/>
        <w:rPr>
          <w:color w:val="000000"/>
          <w:sz w:val="24"/>
        </w:rPr>
      </w:pPr>
      <w:r>
        <w:rPr>
          <w:color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color w:val="000000"/>
          <w:sz w:val="24"/>
        </w:rPr>
      </w:pPr>
      <w:r>
        <w:rPr>
          <w:color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color w:val="000000"/>
          <w:sz w:val="24"/>
        </w:rPr>
      </w:pPr>
      <w:r>
        <w:rPr>
          <w:color w:val="000000"/>
          <w:sz w:val="24"/>
        </w:rPr>
        <w:t>（3）基金持有的银行存款以本金列示，按实际协议利率逐日计提利息。</w:t>
      </w:r>
    </w:p>
    <w:p>
      <w:pPr>
        <w:spacing w:line="360" w:lineRule="auto"/>
        <w:ind w:firstLine="480" w:firstLineChars="200"/>
        <w:rPr>
          <w:color w:val="000000"/>
          <w:sz w:val="24"/>
        </w:rPr>
      </w:pPr>
      <w:r>
        <w:rPr>
          <w:color w:val="000000"/>
          <w:sz w:val="24"/>
        </w:rPr>
        <w:t>如有确凿证据表明按上述方法进行估值不能客观反映其公允价值的，基金管理人可根据具体情况与基金托管人商定后，按最能反映公允价值的方法估值。</w:t>
      </w:r>
    </w:p>
    <w:p w:rsidP="007A1ACF" w:rsidR="007A1ACF" w:rsidRDefault="007A1ACF" w:rsidRPr="007A1ACF">
      <w:pPr>
        <w:spacing w:line="360" w:lineRule="auto"/>
        <w:ind w:firstLine="480" w:firstLineChars="200"/>
        <w:rPr>
          <w:color w:val="000000"/>
          <w:sz w:val="24"/>
        </w:rPr>
      </w:pPr>
      <w:r w:rsidRPr="007A1ACF">
        <w:rPr>
          <w:color w:val="000000"/>
          <w:sz w:val="24"/>
        </w:rPr>
        <w:t>如有新增事项，按国家最新规定估值。</w:t>
      </w:r>
    </w:p>
    <w:p w:rsidP="00613409" w:rsidR="00EA3F40" w:rsidRDefault="007A1ACF" w:rsidRPr="007A1ACF">
      <w:pPr>
        <w:widowControl/>
        <w:spacing w:line="360" w:lineRule="auto"/>
        <w:rPr>
          <w:color w:val="000000"/>
          <w:sz w:val="24"/>
        </w:rPr>
      </w:pPr>
      <w:r w:rsidRPr="007A1ACF">
        <w:rPr>
          <w:color w:val="000000"/>
          <w:sz w:val="24"/>
        </w:rPr>
        <w:t>5.9.2</w:t>
      </w:r>
      <w:r w:rsidR="00AF698D">
        <w:rPr>
          <w:rFonts w:hint="eastAsia"/>
          <w:color w:val="000000"/>
          <w:sz w:val="24"/>
        </w:rPr>
        <w:t xml:space="preserve"> </w:t>
      </w:r>
      <w:r w:rsidRPr="007A1ACF">
        <w:rPr>
          <w:color w:val="000000"/>
          <w:sz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widowControl/>
        <w:spacing w:line="360" w:lineRule="auto"/>
        <w:rPr>
          <w:color w:val="000000"/>
          <w:sz w:val="24"/>
        </w:rPr>
      </w:pPr>
      <w:r>
        <w:rPr>
          <w:color w:val="000000"/>
          <w:sz w:val="24"/>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pPr>
        <w:widowControl/>
        <w:spacing w:line="360" w:lineRule="auto"/>
        <w:rPr>
          <w:color w:val="000000"/>
          <w:sz w:val="24"/>
        </w:rPr>
      </w:pPr>
      <w:r>
        <w:rPr>
          <w:color w:val="000000"/>
          <w:sz w:val="24"/>
        </w:rPr>
        <w:t>2019年9月3日，北京银保监局对北京银行作出“责令改正，并给予合计110万元罚款”的行政处罚，违法违规事由：个人消费贷款被挪用于支付购房首付款或投资股权、个别个人商办用房贷款违反房地产调控政策、同业投资通过信托通道违规发放土地储备贷款。2019年9月25日，北京银保监局对北京银行作出“责令改正，并给予合计100万元罚款”的行政处罚，违法违规事由：员工大额消费贷款违规行为长期未有效整改、同业业务专营部门制改革不到位、同业投资违规接受第三方金融机构信用担保。2020年5月14日，国家外汇管理局北京外汇管理部对北京银行作出“责令改正，给予警告，处14万元人民币罚款”的行政处罚，违法违规事由：未按照规定进行国际收支统计申报；未按照规定报送财务会计报告、统计报表等资料。</w:t>
      </w:r>
    </w:p>
    <w:p>
      <w:pPr>
        <w:widowControl/>
        <w:spacing w:line="360" w:lineRule="auto"/>
        <w:rPr>
          <w:color w:val="000000"/>
          <w:sz w:val="24"/>
        </w:rPr>
      </w:pPr>
      <w:r>
        <w:rPr>
          <w:color w:val="000000"/>
          <w:sz w:val="24"/>
        </w:rPr>
        <w:t>2019年7月25日，中国银行保险监督管理委员会上海监管局针对中国农业银行股份有限公司信用卡中心的如下违法违规行为作出“责令改正，并处罚款20万元”的行政处罚决定：2017年5月至2018年6月在办理部分客户信用卡业务时未遵守总授信额度管理制度的违法违规事实。2020年1月19日，国家税务总局北京市海淀区税务局对中国农业银行股份有限公司未按照规定期限办理纳税申报和报送纳税资料的违法违规事实，作出罚款50万元的行政处罚决定。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2020年4月22日，中国银行保险监督管理委员会对中国农业银行股份有限公司的如下违法违规行为作出罚款230万元的行政处罚决定：农业银行监管标准化数据（EAST）系统数据质量及数据报送（一）资金交易信息漏报严重；（二）信贷资产转让业务漏报；（三）贸易融资业务漏报；（四）分户账明细记录应报未报；（五）分户账账户数据应报未报；（六）关键且应报字段漏报或填报错误。2020年4月22日，中国银行保险监督管理委员会对中国农业银行股份有限公司的如下违法违规行为作出罚款200万元的行政处罚决定：（一）“两会一层”境外机构管理履职不到位；（二）国别风险管理不满足监管要求；（三）信贷资金被挪用作保证金；（四）未将集团成员纳入集团客户统一授信管理。</w:t>
      </w:r>
    </w:p>
    <w:p>
      <w:pPr>
        <w:widowControl/>
        <w:spacing w:line="360" w:lineRule="auto"/>
        <w:rPr>
          <w:color w:val="000000"/>
          <w:sz w:val="24"/>
        </w:rPr>
      </w:pPr>
      <w:r>
        <w:rPr>
          <w:color w:val="000000"/>
          <w:sz w:val="24"/>
        </w:rPr>
        <w:t>2019年7月8日，中国银行保险监督管理委员会上海监管局针对中国建设银行股份有限公司信用卡中心的如下违法违规行为作出“责令改正，并处罚款30万元”的行政处罚决定：1、2017年5月在为部分客户办理信用卡业务时，未遵守总授信额度管理制度；2、2017年9月、10月对部分信用卡申请人资信水平调查严重不尽职。2019年12月27日，中国银行保险监督管理委员会对中国建设银行股份有限公司的如下违法违规行为作出“罚款80万元”的行政处罚决定：1、用于风险缓释的保证金管理存在漏洞；2、国别风险管理不完善。2020年4月20日，中国银行保险监督管理委员会对中国建设银行股份有限公司的如下违法违规行为作出“罚款230万元”的行政处罚决定：建设银行监管标准化数据（EAS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pPr>
        <w:widowControl/>
        <w:spacing w:line="360" w:lineRule="auto"/>
        <w:rPr>
          <w:color w:val="000000"/>
          <w:sz w:val="24"/>
        </w:rPr>
      </w:pPr>
      <w:r>
        <w:rPr>
          <w:color w:val="000000"/>
          <w:sz w:val="24"/>
        </w:rPr>
        <w:t>2019年12月17日，国家外汇管理局广东省分局对广发银行股份有限公司的如下违法违规行为作出“责令改正，给予警告，没收违法所得370961.98元人民币，并处120万元人民币罚款”的行政处罚决定：1、办理经常项目资金收付，未对交易单证的真实性及其外汇收支的一致性进行合理审查；2、违反规定办理结汇；3、违反外汇账户管理规定。</w:t>
      </w:r>
    </w:p>
    <w:p>
      <w:pPr>
        <w:widowControl/>
        <w:spacing w:line="360" w:lineRule="auto"/>
        <w:rPr>
          <w:color w:val="000000"/>
          <w:sz w:val="24"/>
        </w:rPr>
      </w:pPr>
      <w:r>
        <w:rPr>
          <w:color w:val="000000"/>
          <w:sz w:val="24"/>
        </w:rPr>
        <w:t>2019年8月12日，中国银行保险监督管理委员会上海监管局针对平安银行股份有限公司资金运营中心2017年末至2018年9月信息科技风险管理严重违反审慎经营规则的违法违规事实，作出“责令改正，并处罚款20万元”的行政处罚决定。2020年1 月20日，中国银保监会深圳监管局对平安银行股份有限公司的如下违法违规行为作出罚款720万元的行政处罚决定：1.汽车金融事业部将贷款调查的核心事项委托第三方完成；2.代理保险销售的人员为非商业银行人员；3.汽车消费贷款风险分类结果不能反映真实风险水平；4.个人消费贷款风险分类结果不能反映真实风险水平；5.个人经营性贷款分类结果不能反映真实风险水平；6.汽车消费贷款和汽车抵押贷款贷前调查存在缺失；7.汽车消费及经营贷款审查不到位；8.个人汽车贷款和汽车抵押贷款业务存在同一抵押物重复抵押；9.个别汽车消费贷款和汽车抵押贷款用途管控不力，贷款资金被挪用；10.个人消费贷款及个人经营性贷款用途管控不力，贷款资金被挪用；11.部分个人消费贷款未按要求进行受托支付；12.信用卡现金分期用途管控不力；13.代销产品风险评级结果与合作机构评级结果不一致，未采用较高风险评级的评级结果；14.代销产品底层资产涉及本行非标资产，没有实现代销业务与其他业务的风险隔离；15.“双录”管理审慎性不足，理财销售人员销售话术不当。</w:t>
      </w:r>
    </w:p>
    <w:p>
      <w:pPr>
        <w:widowControl/>
        <w:spacing w:line="360" w:lineRule="auto"/>
        <w:rPr>
          <w:color w:val="000000"/>
          <w:sz w:val="24"/>
        </w:rPr>
      </w:pPr>
      <w:r>
        <w:rPr>
          <w:color w:val="000000"/>
          <w:sz w:val="24"/>
        </w:rPr>
        <w:t>本基金投资的20光大银行CD131、20中信银行CD107、20北京银行CD065、20农业银行CD007、20建设银行CD027、20广发银行CD020、20平安银行CD064、20平安银行CD125的投资决策程序符合公司投资制度的规定。</w:t>
      </w:r>
    </w:p>
    <w:p>
      <w:pPr>
        <w:widowControl/>
        <w:spacing w:line="360" w:lineRule="auto"/>
        <w:rPr>
          <w:color w:val="000000"/>
          <w:sz w:val="24"/>
        </w:rPr>
      </w:pPr>
      <w:r>
        <w:rPr>
          <w:color w:val="000000"/>
          <w:sz w:val="24"/>
        </w:rPr>
        <w:t>除20光大银行CD131、20中信银行CD107、20北京银行CD065、20农业银行CD007、20建设银行CD027、20广发银行CD020、20平安银行CD064、20平安银行CD125外，本基金投资的前十名证券的发行主体本期没有出现被监管部门立案调查，或在报告编制日前一年内受到公开谴责、处罚的情形。</w:t>
      </w:r>
    </w:p>
    <w:p w:rsidP="00976A1A" w:rsidR="00EA3F40" w:rsidRDefault="00EA3F40" w:rsidRPr="007A1ACF">
      <w:pPr>
        <w:spacing w:line="360" w:lineRule="auto"/>
        <w:rPr>
          <w:bCs/>
          <w:sz w:val="24"/>
        </w:rPr>
      </w:pPr>
      <w:r w:rsidRPr="007A1ACF">
        <w:rPr>
          <w:sz w:val="24"/>
        </w:rPr>
        <w:t>5.9.3</w:t>
      </w:r>
      <w:r w:rsidR="00557A66">
        <w:rPr>
          <w:sz w:val="24"/>
        </w:rPr>
        <w:t>其他</w:t>
      </w:r>
      <w:bookmarkStart w:id="2" w:name="_GoBack"/>
      <w:bookmarkEnd w:id="2"/>
      <w:r w:rsidRPr="007A1ACF">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序号</w:t>
            </w:r>
          </w:p>
        </w:tc>
        <w:tc>
          <w:tcPr>
            <w:tcW w:type="dxa" w:w="3535"/>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名称</w:t>
            </w:r>
          </w:p>
        </w:tc>
        <w:tc>
          <w:tcPr>
            <w:tcW w:type="dxa" w:w="4808"/>
            <w:vAlign w:val="center"/>
          </w:tcPr>
          <w:p w:rsidP="007C3671"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金额</w:t>
            </w:r>
            <w:r w:rsidR="007C3671" w:rsidRPr="00613409">
              <w:rPr>
                <w:color w:val="000000"/>
                <w:kern w:val="0"/>
                <w:sz w:val="24"/>
              </w:rPr>
              <w:t>（元）</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sz w:val="24"/>
              </w:rPr>
              <w:t>1</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存出保证金</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2</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应收证券清算款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98,878,530.89</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lastRenderedPageBreak/>
              <w:t>3</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应收利息</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103,369,303.09</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4</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应收申购款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237,860,083.59</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5</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其他应收款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6</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待摊费用</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7</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8</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合计</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440,107,917.57</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单位：份</w:t>
      </w:r>
    </w:p>
    <w:tbl>
      <w:tblPr>
        <w:tblW w:type="dxa" w:w="9903"/>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1991"/>
        <w:gridCol w:w="1984"/>
        <w:gridCol w:w="1985"/>
        <w:gridCol w:w="1984"/>
        <w:gridCol w:w="1959"/>
      </w:tblGrid>
      <w:tr w:rsidR="005B005F" w:rsidRPr="0097021E" w:rsidTr="005B005F">
        <w:trPr>
          <w:jc w:val="center"/>
        </w:trPr>
        <w:tc>
          <w:tcPr>
            <w:tcW w:type="dxa" w:w="1991"/>
          </w:tcPr>
          <w:p w:rsidP="00196812" w:rsidR="005B005F" w:rsidRDefault="005B005F"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p>
        </w:tc>
        <w:tc>
          <w:tcPr>
            <w:tcW w:type="dxa" w:w="1984"/>
          </w:tcPr>
          <w:p w:rsidP="00196812" w:rsidR="005B005F" w:rsidRDefault="005B005F"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易方达天天理财货币A</w:t>
            </w:r>
          </w:p>
        </w:tc>
        <w:tc>
          <w:tcPr>
            <w:tcW w:type="dxa" w:w="1985"/>
          </w:tcPr>
          <w:p w:rsidP="00196812" w:rsidR="005B005F" w:rsidRDefault="005B005F"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易方达天天理财货币B</w:t>
            </w:r>
          </w:p>
        </w:tc>
        <w:tc>
          <w:tcPr>
            <w:tcW w:type="dxa" w:w="1984"/>
          </w:tcPr>
          <w:p w:rsidP="003451F3" w:rsidR="005B005F" w:rsidRDefault="005B005F"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易方达天天理财货币R</w:t>
            </w:r>
          </w:p>
        </w:tc>
        <w:tc>
          <w:tcPr>
            <w:tcW w:type="dxa" w:w="1959"/>
          </w:tcPr>
          <w:p w:rsidP="00AB25B0" w:rsidR="005B005F" w:rsidRDefault="005B005F"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
            </w:r>
            <w:r>
              <w:rPr>
                <w:sz w:val="24"/>
              </w:rPr>
              <w:t/>
            </w:r>
            <w:r w:rsidRPr="00613409">
              <w:rPr>
                <w:sz w:val="24"/>
              </w:rPr>
              <w:t>易方达天天理财货币C</w:t>
            </w:r>
          </w:p>
        </w:tc>
      </w:tr>
      <w:tr w:rsidR="005B005F" w:rsidRPr="0097021E" w:rsidTr="005B005F">
        <w:trPr>
          <w:jc w:val="center"/>
        </w:trPr>
        <w:tc>
          <w:tcPr>
            <w:tcW w:type="dxa" w:w="1991"/>
            <w:vAlign w:val="center"/>
          </w:tcPr>
          <w:p w:rsidP="00587524" w:rsidR="005B005F" w:rsidRDefault="005B005F" w:rsidRPr="00613409">
            <w:pPr>
              <w:autoSpaceDE w:val="0"/>
              <w:autoSpaceDN w:val="0"/>
              <w:adjustRightInd w:val="0"/>
              <w:spacing w:before="29" w:line="360" w:lineRule="auto"/>
              <w:ind w:left="17"/>
              <w:jc w:val="left"/>
              <w:rPr>
                <w:color w:val="000000"/>
                <w:kern w:val="0"/>
                <w:sz w:val="24"/>
              </w:rPr>
            </w:pPr>
            <w:r w:rsidRPr="00613409">
              <w:rPr>
                <w:color w:val="000000"/>
                <w:kern w:val="0"/>
                <w:sz w:val="24"/>
              </w:rPr>
              <w:t>报告期期初基金份额总额</w:t>
            </w:r>
          </w:p>
        </w:tc>
        <w:tc>
          <w:tcPr>
            <w:tcW w:type="dxa" w:w="1984"/>
            <w:vAlign w:val="center"/>
          </w:tcPr>
          <w:p w:rsidP="00587524"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
            </w:r>
            <w:r w:rsidRPr="00613409">
              <w:rPr>
                <w:color w:val="000000"/>
                <w:sz w:val="24"/>
              </w:rPr>
              <w:lastRenderedPageBreak/>
              <w:t>16,881,716,230.90</w:t>
            </w:r>
          </w:p>
        </w:tc>
        <w:tc>
          <w:tcPr>
            <w:tcW w:type="dxa" w:w="1985"/>
            <w:vAlign w:val="center"/>
          </w:tcPr>
          <w:p w:rsidP="00587524"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lastRenderedPageBreak/>
              <w:t/>
            </w:r>
            <w:r w:rsidRPr="00613409">
              <w:rPr>
                <w:color w:val="000000"/>
                <w:sz w:val="24"/>
              </w:rPr>
              <w:lastRenderedPageBreak/>
              <w:t>20,832,202,965.11</w:t>
            </w:r>
          </w:p>
        </w:tc>
        <w:tc>
          <w:tcPr>
            <w:tcW w:type="dxa" w:w="1984"/>
            <w:vAlign w:val="center"/>
          </w:tcPr>
          <w:p w:rsidP="003A1E1E"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lastRenderedPageBreak/>
              <w:t/>
            </w:r>
            <w:r w:rsidRPr="00613409">
              <w:rPr>
                <w:color w:val="000000"/>
                <w:sz w:val="24"/>
              </w:rPr>
              <w:lastRenderedPageBreak/>
              <w:t>3,779,010,962.53</w:t>
            </w:r>
          </w:p>
        </w:tc>
        <w:tc>
          <w:tcPr>
            <w:tcW w:type="dxa" w:w="1959"/>
            <w:vAlign w:val="center"/>
          </w:tcPr>
          <w:p w:rsidP="00AB25B0"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lastRenderedPageBreak/>
              <w:t/>
            </w:r>
            <w:r>
              <w:rPr>
                <w:color w:val="000000"/>
                <w:sz w:val="24"/>
              </w:rPr>
              <w:t/>
            </w:r>
            <w:r>
              <w:rPr>
                <w:color w:val="000000"/>
                <w:sz w:val="24"/>
              </w:rPr>
              <w:lastRenderedPageBreak/>
              <w:t/>
            </w:r>
            <w:r>
              <w:rPr>
                <w:rFonts w:hint="eastAsia"/>
                <w:color w:val="000000"/>
                <w:sz w:val="24"/>
              </w:rPr>
              <w:t/>
            </w:r>
            <w:r w:rsidRPr="00613409">
              <w:rPr>
                <w:color w:val="000000"/>
                <w:sz w:val="24"/>
              </w:rPr>
              <w:t>1,081,739,579.18</w:t>
            </w:r>
          </w:p>
        </w:tc>
      </w:tr>
      <w:tr w:rsidR="005B005F" w:rsidRPr="0097021E" w:rsidTr="005B005F">
        <w:trPr>
          <w:jc w:val="center"/>
        </w:trPr>
        <w:tc>
          <w:tcPr>
            <w:tcW w:type="dxa" w:w="1991"/>
          </w:tcPr>
          <w:p w:rsidP="006B56E1" w:rsidR="005B005F" w:rsidRDefault="005B005F" w:rsidRPr="00613409">
            <w:pPr>
              <w:adjustRightInd w:val="0"/>
              <w:snapToGrid w:val="0"/>
              <w:spacing w:line="340" w:lineRule="exact"/>
              <w:rPr>
                <w:color w:val="000000"/>
                <w:sz w:val="24"/>
              </w:rPr>
            </w:pPr>
            <w:r w:rsidRPr="00613409">
              <w:rPr>
                <w:color w:val="000000"/>
                <w:kern w:val="0"/>
                <w:sz w:val="24"/>
              </w:rPr>
              <w:lastRenderedPageBreak/>
              <w:t>报告期</w:t>
            </w:r>
            <w:r w:rsidRPr="00613409">
              <w:rPr>
                <w:color w:val="000000"/>
                <w:sz w:val="24"/>
              </w:rPr>
              <w:t>基金总申购份额</w:t>
            </w:r>
          </w:p>
        </w:tc>
        <w:tc>
          <w:tcPr>
            <w:tcW w:type="dxa" w:w="1984"/>
            <w:vAlign w:val="center"/>
          </w:tcPr>
          <w:p w:rsidP="00587524"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7,955,897,042.55</w:t>
            </w:r>
          </w:p>
        </w:tc>
        <w:tc>
          <w:tcPr>
            <w:tcW w:type="dxa" w:w="1985"/>
            <w:vAlign w:val="center"/>
          </w:tcPr>
          <w:p w:rsidP="00587524"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3,523,866,582.77</w:t>
            </w:r>
          </w:p>
        </w:tc>
        <w:tc>
          <w:tcPr>
            <w:tcW w:type="dxa" w:w="1984"/>
            <w:vAlign w:val="center"/>
          </w:tcPr>
          <w:p w:rsidP="003A1E1E"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1,548,420,662.20</w:t>
            </w:r>
          </w:p>
        </w:tc>
        <w:tc>
          <w:tcPr>
            <w:tcW w:type="dxa" w:w="1959"/>
            <w:vAlign w:val="center"/>
          </w:tcPr>
          <w:p w:rsidP="00AB25B0"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
            </w:r>
            <w:r>
              <w:rPr>
                <w:color w:val="000000"/>
                <w:sz w:val="24"/>
              </w:rPr>
              <w:t/>
            </w:r>
            <w:r>
              <w:rPr>
                <w:rFonts w:hint="eastAsia"/>
                <w:color w:val="000000"/>
                <w:sz w:val="24"/>
              </w:rPr>
              <w:t/>
            </w:r>
            <w:r w:rsidRPr="00613409">
              <w:rPr>
                <w:color w:val="000000"/>
                <w:sz w:val="24"/>
              </w:rPr>
              <w:t>4,709,073,100.46</w:t>
            </w:r>
          </w:p>
        </w:tc>
      </w:tr>
      <w:tr w:rsidR="005B005F" w:rsidRPr="0097021E" w:rsidTr="005B005F">
        <w:trPr>
          <w:jc w:val="center"/>
        </w:trPr>
        <w:tc>
          <w:tcPr>
            <w:tcW w:type="dxa" w:w="1991"/>
          </w:tcPr>
          <w:p w:rsidP="006B56E1" w:rsidR="005B005F" w:rsidRDefault="005B005F"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基金总赎回份额</w:t>
            </w:r>
          </w:p>
        </w:tc>
        <w:tc>
          <w:tcPr>
            <w:tcW w:type="dxa" w:w="1984"/>
            <w:vAlign w:val="center"/>
          </w:tcPr>
          <w:p w:rsidP="00587524"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11,009,333,222.53</w:t>
            </w:r>
          </w:p>
        </w:tc>
        <w:tc>
          <w:tcPr>
            <w:tcW w:type="dxa" w:w="1985"/>
            <w:vAlign w:val="center"/>
          </w:tcPr>
          <w:p w:rsidP="00587524"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8,151,139,759.93</w:t>
            </w:r>
          </w:p>
        </w:tc>
        <w:tc>
          <w:tcPr>
            <w:tcW w:type="dxa" w:w="1984"/>
            <w:vAlign w:val="center"/>
          </w:tcPr>
          <w:p w:rsidP="003A1E1E"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1,584,097,174.22</w:t>
            </w:r>
          </w:p>
        </w:tc>
        <w:tc>
          <w:tcPr>
            <w:tcW w:type="dxa" w:w="1959"/>
            <w:vAlign w:val="center"/>
          </w:tcPr>
          <w:p w:rsidP="00AB25B0"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
            </w:r>
            <w:r>
              <w:rPr>
                <w:color w:val="000000"/>
                <w:sz w:val="24"/>
              </w:rPr>
              <w:t/>
            </w:r>
            <w:r>
              <w:rPr>
                <w:rFonts w:hint="eastAsia"/>
                <w:color w:val="000000"/>
                <w:sz w:val="24"/>
              </w:rPr>
              <w:t/>
            </w:r>
            <w:r w:rsidRPr="00613409">
              <w:rPr>
                <w:color w:val="000000"/>
                <w:sz w:val="24"/>
              </w:rPr>
              <w:t>4,781,816,679.51</w:t>
            </w:r>
          </w:p>
        </w:tc>
      </w:tr>
      <w:tr w:rsidR="005B005F" w:rsidRPr="0097021E" w:rsidTr="005B005F">
        <w:trPr>
          <w:jc w:val="center"/>
        </w:trPr>
        <w:tc>
          <w:tcPr>
            <w:tcW w:type="dxa" w:w="1991"/>
          </w:tcPr>
          <w:p w:rsidP="00587524" w:rsidR="005B005F" w:rsidRDefault="005B005F" w:rsidRPr="00613409">
            <w:pPr>
              <w:adjustRightInd w:val="0"/>
              <w:snapToGrid w:val="0"/>
              <w:spacing w:line="340" w:lineRule="exact"/>
              <w:rPr>
                <w:color w:val="000000"/>
                <w:sz w:val="24"/>
              </w:rPr>
            </w:pPr>
            <w:r w:rsidRPr="00613409">
              <w:rPr>
                <w:color w:val="000000"/>
                <w:sz w:val="24"/>
              </w:rPr>
              <w:t>报告期期末基金份额总额</w:t>
            </w:r>
          </w:p>
        </w:tc>
        <w:tc>
          <w:tcPr>
            <w:tcW w:type="dxa" w:w="1984"/>
            <w:vAlign w:val="center"/>
          </w:tcPr>
          <w:p w:rsidP="00587524"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13,828,280,050.92</w:t>
            </w:r>
          </w:p>
        </w:tc>
        <w:tc>
          <w:tcPr>
            <w:tcW w:type="dxa" w:w="1985"/>
            <w:vAlign w:val="center"/>
          </w:tcPr>
          <w:p w:rsidP="00587524"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16,204,929,787.95</w:t>
            </w:r>
          </w:p>
        </w:tc>
        <w:tc>
          <w:tcPr>
            <w:tcW w:type="dxa" w:w="1984"/>
            <w:vAlign w:val="center"/>
          </w:tcPr>
          <w:p w:rsidP="003A1E1E"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3,743,334,450.51</w:t>
            </w:r>
          </w:p>
        </w:tc>
        <w:tc>
          <w:tcPr>
            <w:tcW w:type="dxa" w:w="1959"/>
            <w:vAlign w:val="center"/>
          </w:tcPr>
          <w:p w:rsidP="00AB25B0" w:rsidR="005B005F" w:rsidRDefault="005B005F" w:rsidRPr="00613409">
            <w:pPr>
              <w:autoSpaceDE w:val="0"/>
              <w:autoSpaceDN w:val="0"/>
              <w:adjustRightInd w:val="0"/>
              <w:spacing w:before="29" w:line="360" w:lineRule="auto"/>
              <w:ind w:left="17"/>
              <w:jc w:val="right"/>
              <w:rPr>
                <w:color w:val="000000"/>
                <w:sz w:val="24"/>
              </w:rPr>
            </w:pPr>
            <w:r w:rsidRPr="00613409">
              <w:rPr>
                <w:color w:val="000000"/>
                <w:sz w:val="24"/>
              </w:rPr>
              <w:t/>
            </w:r>
            <w:r>
              <w:rPr>
                <w:color w:val="000000"/>
                <w:sz w:val="24"/>
              </w:rPr>
              <w:t/>
            </w:r>
            <w:r>
              <w:rPr>
                <w:rFonts w:hint="eastAsia"/>
                <w:color w:val="000000"/>
                <w:sz w:val="24"/>
              </w:rPr>
              <w:t/>
            </w:r>
            <w:r w:rsidRPr="00613409">
              <w:rPr>
                <w:color w:val="000000"/>
                <w:sz w:val="24"/>
              </w:rPr>
              <w:t>1,008,996,000.13</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color w:val="000000"/>
          <w:kern w:val="0"/>
          <w:sz w:val="24"/>
          <w:szCs w:val="24"/>
        </w:rPr>
        <w:t/>
      </w:r>
      <w:r w:rsidRPr="0097021E">
        <w:rPr>
          <w:rFonts w:ascii="宋体" w:cs="Arial" w:hAnsi="宋体"/>
          <w:color w:val="000000"/>
          <w:kern w:val="0"/>
          <w:sz w:val="24"/>
          <w:szCs w:val="24"/>
        </w:rPr>
        <w:t/>
      </w:r>
      <w:r w:rsidRPr="0097021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97021E">
        <w:rPr>
          <w:rFonts w:ascii="宋体" w:cs="Arial"/>
          <w:color w:val="000000"/>
          <w:kern w:val="0"/>
          <w:sz w:val="24"/>
          <w:szCs w:val="24"/>
        </w:rPr>
        <w:t>7</w:t>
      </w:r>
      <w:r w:rsidRPr="0097021E">
        <w:rPr>
          <w:rFonts w:ascii="宋体" w:cs="Arial" w:hAnsi="宋体"/>
          <w:color w:val="000000"/>
          <w:kern w:val="0"/>
          <w:sz w:val="24"/>
          <w:szCs w:val="24"/>
        </w:rPr>
        <w:t xml:space="preserve">  </w:t>
      </w:r>
      <w:r w:rsidRPr="00877329">
        <w:rPr>
          <w:rFonts w:ascii="宋体" w:cs="Arial" w:hAnsi="宋体" w:hint="eastAsia"/>
          <w:color w:val="000000"/>
          <w:kern w:val="0"/>
          <w:sz w:val="24"/>
          <w:szCs w:val="24"/>
        </w:rPr>
        <w:t>基金管理人运用固有资金投资本基金交易明细</w:t>
      </w:r>
    </w:p>
    <w:tbl>
      <w:tblPr>
        <w:tblW w:type="dxa" w:w="975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1253"/>
        <w:gridCol w:w="1851"/>
        <w:gridCol w:w="1370"/>
        <w:gridCol w:w="1814"/>
        <w:gridCol w:w="2268"/>
        <w:gridCol w:w="1198"/>
      </w:tblGrid>
      <w:tr w:rsidR="00EA3F40" w:rsidRPr="004A3251" w:rsidTr="00053472">
        <w:trPr>
          <w:trHeight w:val="340"/>
          <w:jc w:val="center"/>
        </w:trPr>
        <w:tc>
          <w:tcPr>
            <w:tcW w:type="dxa" w:w="1253"/>
            <w:vAlign w:val="center"/>
          </w:tcPr>
          <w:p w:rsidP="007A339E" w:rsidR="00EA3F40" w:rsidRDefault="00EA3F40" w:rsidRPr="002C17D5">
            <w:pPr>
              <w:pStyle w:val="ac"/>
              <w:adjustRightInd w:val="0"/>
              <w:snapToGrid w:val="0"/>
              <w:spacing w:line="360" w:lineRule="exact"/>
              <w:jc w:val="center"/>
              <w:rPr>
                <w:color w:val="000000"/>
                <w:kern w:val="0"/>
                <w:szCs w:val="24"/>
              </w:rPr>
            </w:pPr>
            <w:r w:rsidRPr="002C17D5">
              <w:rPr>
                <w:color w:val="000000"/>
                <w:kern w:val="0"/>
                <w:szCs w:val="24"/>
              </w:rPr>
              <w:t>序号</w:t>
            </w:r>
            <w:r w:rsidRPr="002C17D5">
              <w:rPr>
                <w:color w:val="000000"/>
                <w:kern w:val="0"/>
                <w:szCs w:val="24"/>
              </w:rPr>
              <w:t/>
            </w:r>
            <w:r w:rsidR="003B5756" w:rsidRPr="002C17D5">
              <w:rPr>
                <w:color w:val="000000"/>
              </w:rPr>
              <w:t/>
            </w:r>
          </w:p>
        </w:tc>
        <w:tc>
          <w:tcPr>
            <w:tcW w:type="dxa" w:w="1851"/>
          </w:tcPr>
          <w:p w:rsidP="00025C5D" w:rsidR="00EA3F40" w:rsidRDefault="00EA3F40" w:rsidRPr="00613409">
            <w:pPr>
              <w:adjustRightInd w:val="0"/>
              <w:snapToGrid w:val="0"/>
              <w:spacing w:line="360" w:lineRule="exact"/>
              <w:jc w:val="center"/>
              <w:rPr>
                <w:color w:val="000000"/>
                <w:kern w:val="0"/>
                <w:sz w:val="24"/>
              </w:rPr>
            </w:pPr>
            <w:r w:rsidRPr="00613409">
              <w:rPr>
                <w:color w:val="000000"/>
                <w:kern w:val="0"/>
                <w:sz w:val="24"/>
              </w:rPr>
              <w:t>交易方式</w:t>
            </w:r>
          </w:p>
        </w:tc>
        <w:tc>
          <w:tcPr>
            <w:tcW w:type="dxa" w:w="1370"/>
          </w:tcPr>
          <w:p w:rsidP="00025C5D" w:rsidR="00EA3F40" w:rsidRDefault="00EA3F40" w:rsidRPr="00613409">
            <w:pPr>
              <w:adjustRightInd w:val="0"/>
              <w:snapToGrid w:val="0"/>
              <w:spacing w:line="360" w:lineRule="exact"/>
              <w:rPr>
                <w:color w:val="000000"/>
                <w:kern w:val="0"/>
                <w:sz w:val="24"/>
              </w:rPr>
            </w:pPr>
            <w:r w:rsidRPr="00613409">
              <w:rPr>
                <w:color w:val="000000"/>
                <w:kern w:val="0"/>
                <w:sz w:val="24"/>
              </w:rPr>
              <w:t>交易日期</w:t>
            </w:r>
          </w:p>
        </w:tc>
        <w:tc>
          <w:tcPr>
            <w:tcW w:type="dxa" w:w="1814"/>
          </w:tcPr>
          <w:p w:rsidP="00025C5D" w:rsidR="00EA3F40" w:rsidRDefault="00EA3F40" w:rsidRPr="00613409">
            <w:pPr>
              <w:adjustRightInd w:val="0"/>
              <w:snapToGrid w:val="0"/>
              <w:spacing w:line="360" w:lineRule="exact"/>
              <w:jc w:val="center"/>
              <w:rPr>
                <w:color w:val="000000"/>
                <w:kern w:val="0"/>
                <w:sz w:val="24"/>
              </w:rPr>
            </w:pPr>
            <w:r w:rsidRPr="00613409">
              <w:rPr>
                <w:color w:val="000000"/>
                <w:kern w:val="0"/>
                <w:sz w:val="24"/>
              </w:rPr>
              <w:t>交易份额（份）</w:t>
            </w:r>
          </w:p>
        </w:tc>
        <w:tc>
          <w:tcPr>
            <w:tcW w:type="dxa" w:w="2268"/>
          </w:tcPr>
          <w:p w:rsidP="00025C5D" w:rsidR="00EA3F40" w:rsidRDefault="00EA3F40" w:rsidRPr="00613409">
            <w:pPr>
              <w:adjustRightInd w:val="0"/>
              <w:snapToGrid w:val="0"/>
              <w:spacing w:line="360" w:lineRule="exact"/>
              <w:jc w:val="center"/>
              <w:rPr>
                <w:color w:val="000000"/>
                <w:kern w:val="0"/>
                <w:sz w:val="24"/>
              </w:rPr>
            </w:pPr>
            <w:r w:rsidRPr="00613409">
              <w:rPr>
                <w:color w:val="000000"/>
                <w:kern w:val="0"/>
                <w:sz w:val="24"/>
              </w:rPr>
              <w:t>交易金额（元）</w:t>
            </w:r>
          </w:p>
        </w:tc>
        <w:tc>
          <w:tcPr>
            <w:tcW w:type="dxa" w:w="1198"/>
            <w:vAlign w:val="center"/>
          </w:tcPr>
          <w:p w:rsidP="00025C5D" w:rsidR="00EA3F40" w:rsidRDefault="00EA3F40" w:rsidRPr="00613409">
            <w:pPr>
              <w:adjustRightInd w:val="0"/>
              <w:snapToGrid w:val="0"/>
              <w:spacing w:line="360" w:lineRule="exact"/>
              <w:jc w:val="center"/>
              <w:rPr>
                <w:color w:val="000000"/>
                <w:kern w:val="0"/>
                <w:sz w:val="24"/>
              </w:rPr>
            </w:pPr>
            <w:r w:rsidRPr="00613409">
              <w:rPr>
                <w:color w:val="000000"/>
                <w:kern w:val="0"/>
                <w:sz w:val="24"/>
              </w:rPr>
              <w:t>适用费率</w:t>
            </w:r>
          </w:p>
        </w:tc>
      </w:tr>
      <w:tr>
        <w:tc>
          <w:tcPr>
            <w:vAlign w:val="center"/>
          </w:tcPr>
          <w:p>
            <w:pPr>
              <w:jc w:val="center"/>
            </w:pPr>
            <w:r>
              <w:rPr>
                <w:color w:val="000000"/>
                <w:sz w:val="24"/>
              </w:rPr>
              <w:t>1</w:t>
            </w:r>
          </w:p>
        </w:tc>
        <w:tc>
          <w:tcPr>
            <w:vAlign w:val="center"/>
          </w:tcPr>
          <w:p>
            <w:pPr>
              <w:jc w:val="center"/>
            </w:pPr>
            <w:r>
              <w:rPr>
                <w:color w:val="000000"/>
                <w:sz w:val="24"/>
              </w:rPr>
              <w:t>红利再投资</w:t>
            </w:r>
          </w:p>
        </w:tc>
        <w:tc>
          <w:tcPr>
            <w:vAlign w:val="center"/>
          </w:tcPr>
          <w:p>
            <w:pPr>
              <w:jc w:val="center"/>
            </w:pPr>
            <w:r>
              <w:rPr>
                <w:color w:val="000000"/>
                <w:sz w:val="24"/>
              </w:rPr>
              <w:t>2020-04-30</w:t>
            </w:r>
          </w:p>
        </w:tc>
        <w:tc>
          <w:tcPr>
            <w:vAlign w:val="center"/>
          </w:tcPr>
          <w:p>
            <w:pPr>
              <w:jc w:val="right"/>
            </w:pPr>
            <w:r>
              <w:rPr>
                <w:color w:val="000000"/>
                <w:sz w:val="24"/>
              </w:rPr>
              <w:t>700,726.63</w:t>
            </w:r>
          </w:p>
        </w:tc>
        <w:tc>
          <w:tcPr>
            <w:vAlign w:val="center"/>
          </w:tcPr>
          <w:p>
            <w:pPr>
              <w:jc w:val="right"/>
            </w:pPr>
            <w:r>
              <w:rPr>
                <w:color w:val="000000"/>
                <w:sz w:val="24"/>
              </w:rPr>
              <w:t>700,726.63</w:t>
            </w:r>
          </w:p>
        </w:tc>
        <w:tc>
          <w:tcPr>
            <w:vAlign w:val="center"/>
          </w:tcPr>
          <w:p>
            <w:pPr>
              <w:jc w:val="center"/>
            </w:pPr>
            <w:r>
              <w:rPr>
                <w:color w:val="000000"/>
                <w:sz w:val="24"/>
              </w:rPr>
              <w:t>-</w:t>
            </w:r>
          </w:p>
        </w:tc>
      </w:tr>
      <w:tr>
        <w:tc>
          <w:tcPr>
            <w:vAlign w:val="center"/>
          </w:tcPr>
          <w:p>
            <w:pPr>
              <w:jc w:val="center"/>
            </w:pPr>
            <w:r>
              <w:rPr>
                <w:color w:val="000000"/>
                <w:sz w:val="24"/>
              </w:rPr>
              <w:t>2</w:t>
            </w:r>
          </w:p>
        </w:tc>
        <w:tc>
          <w:tcPr>
            <w:vAlign w:val="center"/>
          </w:tcPr>
          <w:p>
            <w:pPr>
              <w:jc w:val="center"/>
            </w:pPr>
            <w:r>
              <w:rPr>
                <w:color w:val="000000"/>
                <w:sz w:val="24"/>
              </w:rPr>
              <w:t>红利再投资</w:t>
            </w:r>
          </w:p>
        </w:tc>
        <w:tc>
          <w:tcPr>
            <w:vAlign w:val="center"/>
          </w:tcPr>
          <w:p>
            <w:pPr>
              <w:jc w:val="center"/>
            </w:pPr>
            <w:r>
              <w:rPr>
                <w:color w:val="000000"/>
                <w:sz w:val="24"/>
              </w:rPr>
              <w:t>2020-05-29</w:t>
            </w:r>
          </w:p>
        </w:tc>
        <w:tc>
          <w:tcPr>
            <w:vAlign w:val="center"/>
          </w:tcPr>
          <w:p>
            <w:pPr>
              <w:jc w:val="right"/>
            </w:pPr>
            <w:r>
              <w:rPr>
                <w:color w:val="000000"/>
                <w:sz w:val="24"/>
              </w:rPr>
              <w:t>603,167.44</w:t>
            </w:r>
          </w:p>
        </w:tc>
        <w:tc>
          <w:tcPr>
            <w:vAlign w:val="center"/>
          </w:tcPr>
          <w:p>
            <w:pPr>
              <w:jc w:val="right"/>
            </w:pPr>
            <w:r>
              <w:rPr>
                <w:color w:val="000000"/>
                <w:sz w:val="24"/>
              </w:rPr>
              <w:t>603,167.44</w:t>
            </w:r>
          </w:p>
        </w:tc>
        <w:tc>
          <w:tcPr>
            <w:vAlign w:val="center"/>
          </w:tcPr>
          <w:p>
            <w:pPr>
              <w:jc w:val="center"/>
            </w:pPr>
            <w:r>
              <w:rPr>
                <w:color w:val="000000"/>
                <w:sz w:val="24"/>
              </w:rPr>
              <w:t>-</w:t>
            </w:r>
          </w:p>
        </w:tc>
      </w:tr>
      <w:tr>
        <w:tc>
          <w:tcPr>
            <w:vAlign w:val="center"/>
          </w:tcPr>
          <w:p>
            <w:pPr>
              <w:jc w:val="center"/>
            </w:pPr>
            <w:r>
              <w:rPr>
                <w:color w:val="000000"/>
                <w:sz w:val="24"/>
              </w:rPr>
              <w:t>3</w:t>
            </w:r>
          </w:p>
        </w:tc>
        <w:tc>
          <w:tcPr>
            <w:vAlign w:val="center"/>
          </w:tcPr>
          <w:p>
            <w:pPr>
              <w:jc w:val="center"/>
            </w:pPr>
            <w:r>
              <w:rPr>
                <w:color w:val="000000"/>
                <w:sz w:val="24"/>
              </w:rPr>
              <w:t>赎回</w:t>
            </w:r>
          </w:p>
        </w:tc>
        <w:tc>
          <w:tcPr>
            <w:vAlign w:val="center"/>
          </w:tcPr>
          <w:p>
            <w:pPr>
              <w:jc w:val="center"/>
            </w:pPr>
            <w:r>
              <w:rPr>
                <w:color w:val="000000"/>
                <w:sz w:val="24"/>
              </w:rPr>
              <w:t>2020-06-10</w:t>
            </w:r>
          </w:p>
        </w:tc>
        <w:tc>
          <w:tcPr>
            <w:vAlign w:val="center"/>
          </w:tcPr>
          <w:p>
            <w:pPr>
              <w:jc w:val="right"/>
            </w:pPr>
            <w:r>
              <w:rPr>
                <w:color w:val="000000"/>
                <w:sz w:val="24"/>
              </w:rPr>
              <w:t>-70,000,000.00</w:t>
            </w:r>
          </w:p>
        </w:tc>
        <w:tc>
          <w:tcPr>
            <w:vAlign w:val="center"/>
          </w:tcPr>
          <w:p>
            <w:pPr>
              <w:jc w:val="right"/>
            </w:pPr>
            <w:r>
              <w:rPr>
                <w:color w:val="000000"/>
                <w:sz w:val="24"/>
              </w:rPr>
              <w:t>-70,000,000.00</w:t>
            </w:r>
          </w:p>
        </w:tc>
        <w:tc>
          <w:tcPr>
            <w:vAlign w:val="center"/>
          </w:tcPr>
          <w:p>
            <w:pPr>
              <w:jc w:val="center"/>
            </w:pPr>
            <w:r>
              <w:rPr>
                <w:color w:val="000000"/>
                <w:sz w:val="24"/>
              </w:rPr>
              <w:t>-</w:t>
            </w:r>
          </w:p>
        </w:tc>
      </w:tr>
      <w:tr>
        <w:tc>
          <w:tcPr>
            <w:vAlign w:val="center"/>
          </w:tcPr>
          <w:p>
            <w:pPr>
              <w:jc w:val="center"/>
            </w:pPr>
            <w:r>
              <w:rPr>
                <w:color w:val="000000"/>
                <w:sz w:val="24"/>
              </w:rPr>
              <w:t>4</w:t>
            </w:r>
          </w:p>
        </w:tc>
        <w:tc>
          <w:tcPr>
            <w:vAlign w:val="center"/>
          </w:tcPr>
          <w:p>
            <w:pPr>
              <w:jc w:val="center"/>
            </w:pPr>
            <w:r>
              <w:rPr>
                <w:color w:val="000000"/>
                <w:sz w:val="24"/>
              </w:rPr>
              <w:t>红利再投资</w:t>
            </w:r>
          </w:p>
        </w:tc>
        <w:tc>
          <w:tcPr>
            <w:vAlign w:val="center"/>
          </w:tcPr>
          <w:p>
            <w:pPr>
              <w:jc w:val="center"/>
            </w:pPr>
            <w:r>
              <w:rPr>
                <w:color w:val="000000"/>
                <w:sz w:val="24"/>
              </w:rPr>
              <w:t>2020-06-30</w:t>
            </w:r>
          </w:p>
        </w:tc>
        <w:tc>
          <w:tcPr>
            <w:vAlign w:val="center"/>
          </w:tcPr>
          <w:p>
            <w:pPr>
              <w:jc w:val="right"/>
            </w:pPr>
            <w:r>
              <w:rPr>
                <w:color w:val="000000"/>
                <w:sz w:val="24"/>
              </w:rPr>
              <w:t>569,029.26</w:t>
            </w:r>
          </w:p>
        </w:tc>
        <w:tc>
          <w:tcPr>
            <w:vAlign w:val="center"/>
          </w:tcPr>
          <w:p>
            <w:pPr>
              <w:jc w:val="right"/>
            </w:pPr>
            <w:r>
              <w:rPr>
                <w:color w:val="000000"/>
                <w:sz w:val="24"/>
              </w:rPr>
              <w:t>569,029.26</w:t>
            </w:r>
          </w:p>
        </w:tc>
        <w:tc>
          <w:tcPr>
            <w:vAlign w:val="center"/>
          </w:tcPr>
          <w:p>
            <w:pPr>
              <w:jc w:val="center"/>
            </w:pPr>
            <w:r>
              <w:rPr>
                <w:color w:val="000000"/>
                <w:sz w:val="24"/>
              </w:rPr>
              <w:t>-</w:t>
            </w:r>
          </w:p>
        </w:tc>
      </w:tr>
      <w:tr w:rsidR="00EA3F40" w:rsidRPr="004A3251" w:rsidTr="00053472">
        <w:trPr>
          <w:trHeight w:val="340"/>
          <w:jc w:val="center"/>
        </w:trPr>
        <w:tc>
          <w:tcPr>
            <w:tcW w:type="dxa" w:w="1253"/>
            <w:vAlign w:val="center"/>
          </w:tcPr>
          <w:p w:rsidP="00025C5D" w:rsidR="00EA3F40" w:rsidRDefault="00EA3F40" w:rsidRPr="002C17D5">
            <w:pPr>
              <w:pStyle w:val="ac"/>
              <w:adjustRightInd w:val="0"/>
              <w:snapToGrid w:val="0"/>
              <w:spacing w:line="360" w:lineRule="exact"/>
              <w:jc w:val="center"/>
              <w:rPr>
                <w:color w:val="000000"/>
                <w:kern w:val="0"/>
                <w:szCs w:val="24"/>
              </w:rPr>
            </w:pPr>
            <w:r w:rsidRPr="002C17D5">
              <w:rPr>
                <w:color w:val="000000"/>
                <w:kern w:val="0"/>
                <w:szCs w:val="24"/>
              </w:rPr>
              <w:t>合计</w:t>
            </w:r>
          </w:p>
        </w:tc>
        <w:tc>
          <w:tcPr>
            <w:tcW w:type="dxa" w:w="1851"/>
          </w:tcPr>
          <w:p w:rsidP="00025C5D" w:rsidR="00EA3F40" w:rsidRDefault="00EA3F40" w:rsidRPr="00613409">
            <w:pPr>
              <w:adjustRightInd w:val="0"/>
              <w:snapToGrid w:val="0"/>
              <w:spacing w:line="360" w:lineRule="exact"/>
              <w:jc w:val="right"/>
              <w:rPr>
                <w:color w:val="0000FF"/>
                <w:kern w:val="0"/>
                <w:sz w:val="18"/>
              </w:rPr>
            </w:pPr>
          </w:p>
        </w:tc>
        <w:tc>
          <w:tcPr>
            <w:tcW w:type="dxa" w:w="1370"/>
          </w:tcPr>
          <w:p w:rsidP="00025C5D" w:rsidR="00EA3F40" w:rsidRDefault="00EA3F40" w:rsidRPr="00613409">
            <w:pPr>
              <w:adjustRightInd w:val="0"/>
              <w:snapToGrid w:val="0"/>
              <w:spacing w:line="360" w:lineRule="exact"/>
              <w:jc w:val="right"/>
              <w:rPr>
                <w:color w:val="0000FF"/>
                <w:kern w:val="0"/>
                <w:sz w:val="18"/>
              </w:rPr>
            </w:pPr>
          </w:p>
        </w:tc>
        <w:tc>
          <w:tcPr>
            <w:tcW w:type="dxa" w:w="1814"/>
          </w:tcPr>
          <w:p w:rsidP="00025C5D" w:rsidR="00EA3F40" w:rsidRDefault="00EA3F40" w:rsidRPr="00613409">
            <w:pPr>
              <w:adjustRightInd w:val="0"/>
              <w:snapToGrid w:val="0"/>
              <w:spacing w:line="360" w:lineRule="exact"/>
              <w:jc w:val="right"/>
              <w:rPr>
                <w:color w:val="000000"/>
                <w:sz w:val="24"/>
              </w:rPr>
            </w:pPr>
            <w:r w:rsidRPr="00613409">
              <w:rPr>
                <w:color w:val="000000"/>
                <w:sz w:val="24"/>
              </w:rPr>
              <w:t>-68,127,076.67</w:t>
            </w:r>
          </w:p>
        </w:tc>
        <w:tc>
          <w:tcPr>
            <w:tcW w:type="dxa" w:w="2268"/>
          </w:tcPr>
          <w:p w:rsidP="00025C5D" w:rsidR="00EA3F40" w:rsidRDefault="00EA3F40" w:rsidRPr="00613409">
            <w:pPr>
              <w:adjustRightInd w:val="0"/>
              <w:snapToGrid w:val="0"/>
              <w:spacing w:line="360" w:lineRule="exact"/>
              <w:jc w:val="right"/>
              <w:rPr>
                <w:color w:val="000000"/>
                <w:sz w:val="24"/>
              </w:rPr>
            </w:pPr>
            <w:r w:rsidRPr="00613409">
              <w:rPr>
                <w:color w:val="000000"/>
                <w:sz w:val="24"/>
              </w:rPr>
              <w:t>-68,127,076.67</w:t>
            </w:r>
          </w:p>
        </w:tc>
        <w:tc>
          <w:tcPr>
            <w:tcW w:type="dxa" w:w="1198"/>
            <w:vAlign w:val="center"/>
          </w:tcPr>
          <w:p w:rsidP="00025C5D" w:rsidR="00EA3F40" w:rsidRDefault="00EA3F40" w:rsidRPr="00613409">
            <w:pPr>
              <w:adjustRightInd w:val="0"/>
              <w:snapToGrid w:val="0"/>
              <w:spacing w:line="360" w:lineRule="exact"/>
              <w:jc w:val="right"/>
              <w:rPr>
                <w:color w:val="0000FF"/>
                <w:kern w:val="0"/>
                <w:sz w:val="18"/>
              </w:rPr>
            </w:pP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color w:val="000000"/>
          <w:kern w:val="0"/>
          <w:sz w:val="24"/>
          <w:szCs w:val="24"/>
        </w:rPr>
        <w:t/>
      </w:r>
      <w:r w:rsidRPr="0097021E">
        <w:rPr>
          <w:rFonts w:ascii="宋体" w:cs="Arial" w:hAnsi="宋体"/>
          <w:color w:val="000000"/>
          <w:kern w:val="0"/>
          <w:sz w:val="24"/>
          <w:szCs w:val="24"/>
        </w:rPr>
        <w:t xml:space="preserve">8  </w:t>
      </w:r>
      <w:r w:rsidRPr="0097021E">
        <w:rPr>
          <w:rFonts w:ascii="宋体" w:cs="Arial" w:hAnsi="宋体" w:hint="eastAsia"/>
          <w:color w:val="000000"/>
          <w:kern w:val="0"/>
          <w:sz w:val="24"/>
          <w:szCs w:val="24"/>
        </w:rPr>
        <w:t>备查文件目录</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1.中国证监会核准易方达天天理财货币市场基金募集的文件；</w:t>
      </w:r>
    </w:p>
    <w:p>
      <w:pPr>
        <w:adjustRightInd w:val="0"/>
        <w:spacing w:line="360" w:lineRule="auto"/>
        <w:ind w:firstLine="480" w:firstLineChars="200"/>
        <w:rPr>
          <w:color w:val="000000"/>
          <w:sz w:val="24"/>
        </w:rPr>
      </w:pPr>
      <w:r>
        <w:rPr>
          <w:color w:val="000000"/>
          <w:sz w:val="24"/>
        </w:rPr>
        <w:t>2.《易方达天天理财货币市场基金基金合同》；</w:t>
      </w:r>
    </w:p>
    <w:p>
      <w:pPr>
        <w:adjustRightInd w:val="0"/>
        <w:spacing w:line="360" w:lineRule="auto"/>
        <w:ind w:firstLine="480" w:firstLineChars="200"/>
        <w:rPr>
          <w:color w:val="000000"/>
          <w:sz w:val="24"/>
        </w:rPr>
      </w:pPr>
      <w:r>
        <w:rPr>
          <w:color w:val="000000"/>
          <w:sz w:val="24"/>
        </w:rPr>
        <w:t>3.《易方达天天理财货币市场基金托管协议》；</w:t>
      </w:r>
    </w:p>
    <w:p>
      <w:pPr>
        <w:adjustRightInd w:val="0"/>
        <w:spacing w:line="360" w:lineRule="auto"/>
        <w:ind w:firstLine="480" w:firstLineChars="200"/>
        <w:rPr>
          <w:color w:val="000000"/>
          <w:sz w:val="24"/>
        </w:rPr>
      </w:pPr>
      <w:r>
        <w:rPr>
          <w:color w:val="000000"/>
          <w:sz w:val="24"/>
        </w:rPr>
        <w:t>4.《易方达基金管理有限公司开放式基金业务规则》；</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5.基金管理人业务资格批件、营业执照。</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广州市天河区珠江新城珠江东路30号广州银行大厦40-43楼。</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投资者可在营业时间免费查阅，也可按工本费购买复印件。</w:t>
      </w: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196812" w:rsidR="00EA3F40" w:rsidRDefault="00EA3F40" w:rsidRPr="0097021E">
      <w:pPr>
        <w:spacing w:line="360" w:lineRule="auto"/>
        <w:ind w:left="840"/>
        <w:jc w:val="right"/>
        <w:rPr>
          <w:rFonts w:ascii="宋体"/>
          <w:color w:val="000000"/>
          <w:sz w:val="24"/>
        </w:rPr>
      </w:pPr>
    </w:p>
    <w:p w:rsidP="00394BC1" w:rsidR="00EA3F40" w:rsidRDefault="00EA3F40" w:rsidRPr="0097021E">
      <w:pPr>
        <w:spacing w:line="360" w:lineRule="auto"/>
        <w:jc w:val="right"/>
        <w:rPr>
          <w:rFonts w:ascii="宋体" w:hAnsi="宋体"/>
          <w:b/>
          <w:bCs/>
          <w:sz w:val="24"/>
        </w:rPr>
      </w:pPr>
      <w:r w:rsidRPr="0097021E">
        <w:rPr>
          <w:rFonts w:ascii="宋体"/>
          <w:b/>
          <w:bCs/>
          <w:sz w:val="24"/>
        </w:rPr>
        <w:t/>
      </w:r>
      <w:r w:rsidRPr="0097021E">
        <w:rPr>
          <w:rFonts w:ascii="宋体" w:hAnsi="宋体"/>
          <w:b/>
          <w:bCs/>
          <w:sz w:val="24"/>
        </w:rPr>
        <w:t>易方达基金管理有限公司</w:t>
      </w:r>
    </w:p>
    <w:p w:rsidP="00394BC1" w:rsidR="00EA3F40" w:rsidRDefault="00EA3F40" w:rsidRPr="0097021E">
      <w:pPr>
        <w:spacing w:line="360" w:lineRule="auto"/>
        <w:jc w:val="right"/>
        <w:rPr>
          <w:rFonts w:ascii="宋体" w:hAnsi="宋体"/>
          <w:b/>
          <w:bCs/>
          <w:sz w:val="24"/>
        </w:rPr>
      </w:pPr>
      <w:r w:rsidRPr="0097021E">
        <w:rPr>
          <w:rFonts w:ascii="宋体" w:hAnsi="宋体"/>
          <w:b/>
          <w:bCs/>
          <w:sz w:val="24"/>
        </w:rPr>
        <w:t>二〇二〇年七月二十一日</w:t>
      </w:r>
    </w:p>
    <w:sectPr w:rsidR="00EA3F40"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BE8" w:rsidRDefault="00E91BE8">
      <w:r>
        <w:separator/>
      </w:r>
    </w:p>
  </w:endnote>
  <w:endnote w:type="continuationSeparator" w:id="0">
    <w:p w:rsidR="00E91BE8" w:rsidRDefault="00E9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501E02" w:rsidRDefault="00501E02" w:rsidRPr="001D0DB0">
    <w:pPr>
      <w:pStyle w:val="a5"/>
      <w:jc w:val="center"/>
    </w:pPr>
    <w:r>
      <w:rPr>
        <w:rFonts w:hint="eastAsia"/>
        <w:szCs w:val="21"/>
      </w:rPr>
      <w:t>第</w:t>
    </w:r>
    <w:r>
      <w:rPr>
        <w:szCs w:val="21"/>
      </w:rPr>
      <w:fldChar w:fldCharType="begin"/>
    </w:r>
    <w:r>
      <w:rPr>
        <w:szCs w:val="21"/>
      </w:rPr>
      <w:instrText xml:space="preserve"> PAGE </w:instrText>
    </w:r>
    <w:r>
      <w:rPr>
        <w:szCs w:val="21"/>
      </w:rPr>
      <w:fldChar w:fldCharType="separate"/>
    </w:r>
    <w:r w:rsidR="00557A66">
      <w:rPr>
        <w:noProof/>
        <w:szCs w:val="21"/>
      </w:rPr>
      <w:t>23</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sidR="00557A66">
      <w:rPr>
        <w:noProof/>
        <w:szCs w:val="21"/>
      </w:rPr>
      <w:t>30</w:t>
    </w:r>
    <w:r>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E91BE8" w:rsidRDefault="00E91BE8">
      <w:r>
        <w:separator/>
      </w:r>
    </w:p>
  </w:footnote>
  <w:footnote w:id="0" w:type="continuationSeparator">
    <w:p w:rsidR="00E91BE8" w:rsidRDefault="00E91BE8">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501E02" w:rsidRDefault="00501E02" w:rsidRPr="00936106">
    <w:pPr>
      <w:pStyle w:val="a4"/>
      <w:pBdr>
        <w:bottom w:color="auto" w:space="0" w:sz="6" w:val="single"/>
      </w:pBdr>
      <w:jc w:val="right"/>
      <w:rPr>
        <w:sz w:val="15"/>
      </w:rPr>
    </w:pPr>
    <w:r w:rsidRPr="00936106">
      <w:rPr>
        <w:szCs w:val="21"/>
      </w:rPr>
      <w:t>易方达天天理财货币市场基金2020年第2季度报告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abstractNum w:abstractNumId="1">
    <w:nsid w:val="76E15721"/>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 w:numId="2">
    <w:abstractNumId w:val="1"/>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283"/>
    <w:rsid w:val="000028CE"/>
    <w:rsid w:val="00004DE7"/>
    <w:rsid w:val="00005433"/>
    <w:rsid w:val="0001552D"/>
    <w:rsid w:val="0001566B"/>
    <w:rsid w:val="000175F5"/>
    <w:rsid w:val="0002085F"/>
    <w:rsid w:val="00025C5D"/>
    <w:rsid w:val="000321E9"/>
    <w:rsid w:val="00034C31"/>
    <w:rsid w:val="00035596"/>
    <w:rsid w:val="000417E0"/>
    <w:rsid w:val="00044724"/>
    <w:rsid w:val="00047661"/>
    <w:rsid w:val="00052CA4"/>
    <w:rsid w:val="00053472"/>
    <w:rsid w:val="00054470"/>
    <w:rsid w:val="0005518A"/>
    <w:rsid w:val="00057D26"/>
    <w:rsid w:val="00063BA4"/>
    <w:rsid w:val="0006697D"/>
    <w:rsid w:val="00070092"/>
    <w:rsid w:val="0007109E"/>
    <w:rsid w:val="00075BBB"/>
    <w:rsid w:val="00075CA2"/>
    <w:rsid w:val="0007770D"/>
    <w:rsid w:val="00086731"/>
    <w:rsid w:val="000A39AB"/>
    <w:rsid w:val="000A466F"/>
    <w:rsid w:val="000B2044"/>
    <w:rsid w:val="000B2266"/>
    <w:rsid w:val="000C469F"/>
    <w:rsid w:val="000D0F44"/>
    <w:rsid w:val="000D6294"/>
    <w:rsid w:val="000E0F6E"/>
    <w:rsid w:val="000F3C21"/>
    <w:rsid w:val="000F4826"/>
    <w:rsid w:val="000F5947"/>
    <w:rsid w:val="00101278"/>
    <w:rsid w:val="00102307"/>
    <w:rsid w:val="001038EF"/>
    <w:rsid w:val="00103B93"/>
    <w:rsid w:val="001074D6"/>
    <w:rsid w:val="001136E5"/>
    <w:rsid w:val="00113777"/>
    <w:rsid w:val="00114C97"/>
    <w:rsid w:val="00127B62"/>
    <w:rsid w:val="001302DB"/>
    <w:rsid w:val="00157B55"/>
    <w:rsid w:val="00162222"/>
    <w:rsid w:val="001635C7"/>
    <w:rsid w:val="001669F2"/>
    <w:rsid w:val="001752C7"/>
    <w:rsid w:val="0018401C"/>
    <w:rsid w:val="00185622"/>
    <w:rsid w:val="00186667"/>
    <w:rsid w:val="001878B0"/>
    <w:rsid w:val="00191B28"/>
    <w:rsid w:val="00192A36"/>
    <w:rsid w:val="00193BCF"/>
    <w:rsid w:val="00195C6F"/>
    <w:rsid w:val="00196812"/>
    <w:rsid w:val="00197ED0"/>
    <w:rsid w:val="001A2524"/>
    <w:rsid w:val="001B42BE"/>
    <w:rsid w:val="001B72D6"/>
    <w:rsid w:val="001B7CC6"/>
    <w:rsid w:val="001C2355"/>
    <w:rsid w:val="001C5D80"/>
    <w:rsid w:val="001D0D4C"/>
    <w:rsid w:val="001D0DB0"/>
    <w:rsid w:val="001D3FAC"/>
    <w:rsid w:val="001D65C8"/>
    <w:rsid w:val="001D6ECD"/>
    <w:rsid w:val="001D75D9"/>
    <w:rsid w:val="001F0286"/>
    <w:rsid w:val="0020640F"/>
    <w:rsid w:val="0021251E"/>
    <w:rsid w:val="00220437"/>
    <w:rsid w:val="002315A5"/>
    <w:rsid w:val="00232095"/>
    <w:rsid w:val="00233014"/>
    <w:rsid w:val="0024424F"/>
    <w:rsid w:val="002507FE"/>
    <w:rsid w:val="0025157E"/>
    <w:rsid w:val="002525C7"/>
    <w:rsid w:val="00255320"/>
    <w:rsid w:val="002611C3"/>
    <w:rsid w:val="002622E8"/>
    <w:rsid w:val="00264E55"/>
    <w:rsid w:val="00267283"/>
    <w:rsid w:val="00274FAC"/>
    <w:rsid w:val="0027576B"/>
    <w:rsid w:val="002767C1"/>
    <w:rsid w:val="00281E3B"/>
    <w:rsid w:val="00282892"/>
    <w:rsid w:val="00291428"/>
    <w:rsid w:val="002A4B7F"/>
    <w:rsid w:val="002B45A4"/>
    <w:rsid w:val="002B6EAF"/>
    <w:rsid w:val="002C17D5"/>
    <w:rsid w:val="002C308A"/>
    <w:rsid w:val="002C4035"/>
    <w:rsid w:val="002D3ADF"/>
    <w:rsid w:val="002D680F"/>
    <w:rsid w:val="002D7BD9"/>
    <w:rsid w:val="002E040C"/>
    <w:rsid w:val="002E0F4A"/>
    <w:rsid w:val="002E41BD"/>
    <w:rsid w:val="002F0E9D"/>
    <w:rsid w:val="002F6539"/>
    <w:rsid w:val="00307062"/>
    <w:rsid w:val="0031055A"/>
    <w:rsid w:val="00311ADA"/>
    <w:rsid w:val="00311AEB"/>
    <w:rsid w:val="00322B07"/>
    <w:rsid w:val="0032323A"/>
    <w:rsid w:val="00323377"/>
    <w:rsid w:val="00327FB0"/>
    <w:rsid w:val="0033525E"/>
    <w:rsid w:val="00340292"/>
    <w:rsid w:val="00340456"/>
    <w:rsid w:val="00340C3A"/>
    <w:rsid w:val="00343648"/>
    <w:rsid w:val="00343AF0"/>
    <w:rsid w:val="003451F3"/>
    <w:rsid w:val="00346359"/>
    <w:rsid w:val="00346B82"/>
    <w:rsid w:val="0035022C"/>
    <w:rsid w:val="0035215C"/>
    <w:rsid w:val="00362E2A"/>
    <w:rsid w:val="0036392B"/>
    <w:rsid w:val="00371E26"/>
    <w:rsid w:val="00373AAB"/>
    <w:rsid w:val="00383631"/>
    <w:rsid w:val="00384942"/>
    <w:rsid w:val="00394BC1"/>
    <w:rsid w:val="003A0EC1"/>
    <w:rsid w:val="003A1E1E"/>
    <w:rsid w:val="003B2989"/>
    <w:rsid w:val="003B36B4"/>
    <w:rsid w:val="003B5756"/>
    <w:rsid w:val="003B6DC6"/>
    <w:rsid w:val="003B7F31"/>
    <w:rsid w:val="003C0E8C"/>
    <w:rsid w:val="003C1137"/>
    <w:rsid w:val="003C38DE"/>
    <w:rsid w:val="003C495A"/>
    <w:rsid w:val="003D1ECF"/>
    <w:rsid w:val="003D21F4"/>
    <w:rsid w:val="003D5A2D"/>
    <w:rsid w:val="003E14FE"/>
    <w:rsid w:val="003E565B"/>
    <w:rsid w:val="003F43EB"/>
    <w:rsid w:val="00402654"/>
    <w:rsid w:val="00403ED2"/>
    <w:rsid w:val="00407CC3"/>
    <w:rsid w:val="00413FA3"/>
    <w:rsid w:val="004250C5"/>
    <w:rsid w:val="00425438"/>
    <w:rsid w:val="00426E31"/>
    <w:rsid w:val="00433C1E"/>
    <w:rsid w:val="004369B0"/>
    <w:rsid w:val="00440828"/>
    <w:rsid w:val="004409FE"/>
    <w:rsid w:val="0044257C"/>
    <w:rsid w:val="0044342F"/>
    <w:rsid w:val="00446474"/>
    <w:rsid w:val="004527E3"/>
    <w:rsid w:val="00452D31"/>
    <w:rsid w:val="00460000"/>
    <w:rsid w:val="00461A70"/>
    <w:rsid w:val="004702DF"/>
    <w:rsid w:val="00470F55"/>
    <w:rsid w:val="00473E10"/>
    <w:rsid w:val="00473EC9"/>
    <w:rsid w:val="00474896"/>
    <w:rsid w:val="004771B9"/>
    <w:rsid w:val="004950A3"/>
    <w:rsid w:val="00496B2E"/>
    <w:rsid w:val="004A0C6B"/>
    <w:rsid w:val="004A2432"/>
    <w:rsid w:val="004A3251"/>
    <w:rsid w:val="004A357E"/>
    <w:rsid w:val="004A46A0"/>
    <w:rsid w:val="004B1C09"/>
    <w:rsid w:val="004C5B7C"/>
    <w:rsid w:val="004D22E1"/>
    <w:rsid w:val="004D581E"/>
    <w:rsid w:val="004D72C7"/>
    <w:rsid w:val="004E041A"/>
    <w:rsid w:val="004E1DC5"/>
    <w:rsid w:val="004E3452"/>
    <w:rsid w:val="004E4E63"/>
    <w:rsid w:val="004F3BE1"/>
    <w:rsid w:val="004F459B"/>
    <w:rsid w:val="00500487"/>
    <w:rsid w:val="00501E02"/>
    <w:rsid w:val="00506EF6"/>
    <w:rsid w:val="005141F5"/>
    <w:rsid w:val="0051505A"/>
    <w:rsid w:val="00515166"/>
    <w:rsid w:val="0051578D"/>
    <w:rsid w:val="005212AE"/>
    <w:rsid w:val="00532457"/>
    <w:rsid w:val="00533490"/>
    <w:rsid w:val="0053782E"/>
    <w:rsid w:val="0054464B"/>
    <w:rsid w:val="00546492"/>
    <w:rsid w:val="00546747"/>
    <w:rsid w:val="0054785C"/>
    <w:rsid w:val="00555883"/>
    <w:rsid w:val="00557A66"/>
    <w:rsid w:val="00560F94"/>
    <w:rsid w:val="005633AD"/>
    <w:rsid w:val="00564C24"/>
    <w:rsid w:val="00570F8C"/>
    <w:rsid w:val="00575970"/>
    <w:rsid w:val="00582960"/>
    <w:rsid w:val="00587524"/>
    <w:rsid w:val="00592D0A"/>
    <w:rsid w:val="00594DCA"/>
    <w:rsid w:val="00595285"/>
    <w:rsid w:val="005A60B7"/>
    <w:rsid w:val="005B005F"/>
    <w:rsid w:val="005B527B"/>
    <w:rsid w:val="005D1572"/>
    <w:rsid w:val="005D1BAF"/>
    <w:rsid w:val="005D21B9"/>
    <w:rsid w:val="005D4E63"/>
    <w:rsid w:val="005D596C"/>
    <w:rsid w:val="005D6807"/>
    <w:rsid w:val="005E05CC"/>
    <w:rsid w:val="005E2087"/>
    <w:rsid w:val="005E4559"/>
    <w:rsid w:val="005E6FA5"/>
    <w:rsid w:val="005F1343"/>
    <w:rsid w:val="005F1712"/>
    <w:rsid w:val="005F17EC"/>
    <w:rsid w:val="005F41D2"/>
    <w:rsid w:val="005F5A09"/>
    <w:rsid w:val="005F668B"/>
    <w:rsid w:val="005F6B28"/>
    <w:rsid w:val="00613327"/>
    <w:rsid w:val="00613409"/>
    <w:rsid w:val="006214E4"/>
    <w:rsid w:val="006254A5"/>
    <w:rsid w:val="006317E8"/>
    <w:rsid w:val="0063302E"/>
    <w:rsid w:val="00633177"/>
    <w:rsid w:val="006331F2"/>
    <w:rsid w:val="00636261"/>
    <w:rsid w:val="00636B17"/>
    <w:rsid w:val="0064191E"/>
    <w:rsid w:val="00664834"/>
    <w:rsid w:val="006662B2"/>
    <w:rsid w:val="00672BEF"/>
    <w:rsid w:val="00673BA5"/>
    <w:rsid w:val="00680A32"/>
    <w:rsid w:val="006911A1"/>
    <w:rsid w:val="006961CC"/>
    <w:rsid w:val="006A1E40"/>
    <w:rsid w:val="006A2D00"/>
    <w:rsid w:val="006B4C67"/>
    <w:rsid w:val="006B56E1"/>
    <w:rsid w:val="006D0BD6"/>
    <w:rsid w:val="006D27DD"/>
    <w:rsid w:val="006D4647"/>
    <w:rsid w:val="006D4C22"/>
    <w:rsid w:val="006E4EB5"/>
    <w:rsid w:val="006F1C55"/>
    <w:rsid w:val="006F3CEE"/>
    <w:rsid w:val="006F622C"/>
    <w:rsid w:val="00705970"/>
    <w:rsid w:val="00707CB2"/>
    <w:rsid w:val="00710487"/>
    <w:rsid w:val="00710B11"/>
    <w:rsid w:val="00714B3D"/>
    <w:rsid w:val="00714FD1"/>
    <w:rsid w:val="007277D1"/>
    <w:rsid w:val="00727EA0"/>
    <w:rsid w:val="00730216"/>
    <w:rsid w:val="0073105A"/>
    <w:rsid w:val="00734B8E"/>
    <w:rsid w:val="00737060"/>
    <w:rsid w:val="00741288"/>
    <w:rsid w:val="0074455F"/>
    <w:rsid w:val="007521F9"/>
    <w:rsid w:val="00756489"/>
    <w:rsid w:val="00756EA2"/>
    <w:rsid w:val="00757F37"/>
    <w:rsid w:val="007600BC"/>
    <w:rsid w:val="00762326"/>
    <w:rsid w:val="00762E87"/>
    <w:rsid w:val="00764CF7"/>
    <w:rsid w:val="007723FD"/>
    <w:rsid w:val="00772687"/>
    <w:rsid w:val="007746B3"/>
    <w:rsid w:val="00774E1E"/>
    <w:rsid w:val="00780252"/>
    <w:rsid w:val="007806BE"/>
    <w:rsid w:val="0078105B"/>
    <w:rsid w:val="00782061"/>
    <w:rsid w:val="00785C32"/>
    <w:rsid w:val="007A1ACF"/>
    <w:rsid w:val="007A339E"/>
    <w:rsid w:val="007A3C26"/>
    <w:rsid w:val="007B082A"/>
    <w:rsid w:val="007B1C3E"/>
    <w:rsid w:val="007C3671"/>
    <w:rsid w:val="007C42E5"/>
    <w:rsid w:val="007C5CCD"/>
    <w:rsid w:val="007C65CB"/>
    <w:rsid w:val="007E0C02"/>
    <w:rsid w:val="007F1DE3"/>
    <w:rsid w:val="007F7BD7"/>
    <w:rsid w:val="008056FA"/>
    <w:rsid w:val="008115B6"/>
    <w:rsid w:val="00811A1A"/>
    <w:rsid w:val="00812956"/>
    <w:rsid w:val="00813897"/>
    <w:rsid w:val="00814461"/>
    <w:rsid w:val="00823B47"/>
    <w:rsid w:val="00823E09"/>
    <w:rsid w:val="00824D84"/>
    <w:rsid w:val="00825EA5"/>
    <w:rsid w:val="00833555"/>
    <w:rsid w:val="008347B3"/>
    <w:rsid w:val="00834D9F"/>
    <w:rsid w:val="008356E6"/>
    <w:rsid w:val="00835BDD"/>
    <w:rsid w:val="008379E2"/>
    <w:rsid w:val="00841A22"/>
    <w:rsid w:val="00852119"/>
    <w:rsid w:val="0085498E"/>
    <w:rsid w:val="0086245E"/>
    <w:rsid w:val="00870A3C"/>
    <w:rsid w:val="00870FF9"/>
    <w:rsid w:val="00873386"/>
    <w:rsid w:val="00877329"/>
    <w:rsid w:val="00880EE6"/>
    <w:rsid w:val="008821D9"/>
    <w:rsid w:val="00882323"/>
    <w:rsid w:val="00893021"/>
    <w:rsid w:val="008B23BD"/>
    <w:rsid w:val="008C579A"/>
    <w:rsid w:val="008D0A39"/>
    <w:rsid w:val="008D55F2"/>
    <w:rsid w:val="008E4638"/>
    <w:rsid w:val="008E71D2"/>
    <w:rsid w:val="008F44F3"/>
    <w:rsid w:val="009004F7"/>
    <w:rsid w:val="00902E3F"/>
    <w:rsid w:val="00903E98"/>
    <w:rsid w:val="00906C9B"/>
    <w:rsid w:val="00910FB5"/>
    <w:rsid w:val="00911C0E"/>
    <w:rsid w:val="009153D7"/>
    <w:rsid w:val="00917991"/>
    <w:rsid w:val="009216A0"/>
    <w:rsid w:val="009223B5"/>
    <w:rsid w:val="00922A49"/>
    <w:rsid w:val="00934C3D"/>
    <w:rsid w:val="00936106"/>
    <w:rsid w:val="0094213C"/>
    <w:rsid w:val="0094236C"/>
    <w:rsid w:val="00943AFD"/>
    <w:rsid w:val="00950BF5"/>
    <w:rsid w:val="0097021E"/>
    <w:rsid w:val="00971C19"/>
    <w:rsid w:val="00971D35"/>
    <w:rsid w:val="00976A1A"/>
    <w:rsid w:val="0098023C"/>
    <w:rsid w:val="00987902"/>
    <w:rsid w:val="0099296A"/>
    <w:rsid w:val="009965A5"/>
    <w:rsid w:val="009A0BE2"/>
    <w:rsid w:val="009A56D7"/>
    <w:rsid w:val="009A6938"/>
    <w:rsid w:val="009A755D"/>
    <w:rsid w:val="009B15FD"/>
    <w:rsid w:val="009B2693"/>
    <w:rsid w:val="009B3C3F"/>
    <w:rsid w:val="009B73A7"/>
    <w:rsid w:val="009C0C44"/>
    <w:rsid w:val="009C1A42"/>
    <w:rsid w:val="009D60EB"/>
    <w:rsid w:val="009D74FC"/>
    <w:rsid w:val="009E07F4"/>
    <w:rsid w:val="009E2527"/>
    <w:rsid w:val="009E2BAA"/>
    <w:rsid w:val="009E3E0B"/>
    <w:rsid w:val="009F2322"/>
    <w:rsid w:val="009F480F"/>
    <w:rsid w:val="00A01505"/>
    <w:rsid w:val="00A1530B"/>
    <w:rsid w:val="00A16747"/>
    <w:rsid w:val="00A16D78"/>
    <w:rsid w:val="00A24DC0"/>
    <w:rsid w:val="00A40052"/>
    <w:rsid w:val="00A42A96"/>
    <w:rsid w:val="00A455A0"/>
    <w:rsid w:val="00A50D92"/>
    <w:rsid w:val="00A6166A"/>
    <w:rsid w:val="00A62DD4"/>
    <w:rsid w:val="00A63D5F"/>
    <w:rsid w:val="00A65A66"/>
    <w:rsid w:val="00A7219D"/>
    <w:rsid w:val="00A74DD3"/>
    <w:rsid w:val="00A805BC"/>
    <w:rsid w:val="00A80F9F"/>
    <w:rsid w:val="00A81075"/>
    <w:rsid w:val="00A87550"/>
    <w:rsid w:val="00A95FA9"/>
    <w:rsid w:val="00AA5B03"/>
    <w:rsid w:val="00AA68D4"/>
    <w:rsid w:val="00AB24CA"/>
    <w:rsid w:val="00AB373C"/>
    <w:rsid w:val="00AB5159"/>
    <w:rsid w:val="00AB67DE"/>
    <w:rsid w:val="00AB7D0C"/>
    <w:rsid w:val="00AC2B47"/>
    <w:rsid w:val="00AC3D9E"/>
    <w:rsid w:val="00AC6C3D"/>
    <w:rsid w:val="00AD1ADB"/>
    <w:rsid w:val="00AD6777"/>
    <w:rsid w:val="00AD6BD5"/>
    <w:rsid w:val="00AE17F1"/>
    <w:rsid w:val="00AE27A3"/>
    <w:rsid w:val="00AE2FB9"/>
    <w:rsid w:val="00AE342F"/>
    <w:rsid w:val="00AE4F96"/>
    <w:rsid w:val="00AE6D9A"/>
    <w:rsid w:val="00AE7435"/>
    <w:rsid w:val="00AF2397"/>
    <w:rsid w:val="00AF27F9"/>
    <w:rsid w:val="00AF3D19"/>
    <w:rsid w:val="00AF698D"/>
    <w:rsid w:val="00B03D98"/>
    <w:rsid w:val="00B040BC"/>
    <w:rsid w:val="00B0441A"/>
    <w:rsid w:val="00B044FC"/>
    <w:rsid w:val="00B06458"/>
    <w:rsid w:val="00B213AC"/>
    <w:rsid w:val="00B2435F"/>
    <w:rsid w:val="00B25119"/>
    <w:rsid w:val="00B27004"/>
    <w:rsid w:val="00B33F45"/>
    <w:rsid w:val="00B33FA5"/>
    <w:rsid w:val="00B415B8"/>
    <w:rsid w:val="00B420AC"/>
    <w:rsid w:val="00B4354A"/>
    <w:rsid w:val="00B461D8"/>
    <w:rsid w:val="00B54CC5"/>
    <w:rsid w:val="00B60E27"/>
    <w:rsid w:val="00B64D62"/>
    <w:rsid w:val="00B65C2B"/>
    <w:rsid w:val="00B76BBB"/>
    <w:rsid w:val="00B83944"/>
    <w:rsid w:val="00B94B49"/>
    <w:rsid w:val="00BA7AF1"/>
    <w:rsid w:val="00BB03CC"/>
    <w:rsid w:val="00BB252C"/>
    <w:rsid w:val="00BB5126"/>
    <w:rsid w:val="00BB7518"/>
    <w:rsid w:val="00BC0205"/>
    <w:rsid w:val="00BC14F5"/>
    <w:rsid w:val="00BC2146"/>
    <w:rsid w:val="00BD0F36"/>
    <w:rsid w:val="00BD6918"/>
    <w:rsid w:val="00BE1FC8"/>
    <w:rsid w:val="00BE439F"/>
    <w:rsid w:val="00BE5584"/>
    <w:rsid w:val="00BF1111"/>
    <w:rsid w:val="00BF3886"/>
    <w:rsid w:val="00BF711D"/>
    <w:rsid w:val="00C006E9"/>
    <w:rsid w:val="00C009AF"/>
    <w:rsid w:val="00C2005E"/>
    <w:rsid w:val="00C205E4"/>
    <w:rsid w:val="00C2782D"/>
    <w:rsid w:val="00C3040F"/>
    <w:rsid w:val="00C31708"/>
    <w:rsid w:val="00C343F3"/>
    <w:rsid w:val="00C361A1"/>
    <w:rsid w:val="00C36C15"/>
    <w:rsid w:val="00C4213A"/>
    <w:rsid w:val="00C4371A"/>
    <w:rsid w:val="00C4627A"/>
    <w:rsid w:val="00C637D1"/>
    <w:rsid w:val="00C640B8"/>
    <w:rsid w:val="00C67493"/>
    <w:rsid w:val="00C7033B"/>
    <w:rsid w:val="00C75870"/>
    <w:rsid w:val="00C83157"/>
    <w:rsid w:val="00C91200"/>
    <w:rsid w:val="00C927D5"/>
    <w:rsid w:val="00CA0730"/>
    <w:rsid w:val="00CA1C04"/>
    <w:rsid w:val="00CA3808"/>
    <w:rsid w:val="00CA592F"/>
    <w:rsid w:val="00CA65DD"/>
    <w:rsid w:val="00CB0E8A"/>
    <w:rsid w:val="00CC0035"/>
    <w:rsid w:val="00CC05B9"/>
    <w:rsid w:val="00CC3F83"/>
    <w:rsid w:val="00CC40F7"/>
    <w:rsid w:val="00CC57FC"/>
    <w:rsid w:val="00CC7DB0"/>
    <w:rsid w:val="00CD3D1C"/>
    <w:rsid w:val="00CD5F24"/>
    <w:rsid w:val="00CE0E18"/>
    <w:rsid w:val="00CE193A"/>
    <w:rsid w:val="00CE6A71"/>
    <w:rsid w:val="00CF6DF0"/>
    <w:rsid w:val="00CF7A26"/>
    <w:rsid w:val="00CF7E28"/>
    <w:rsid w:val="00D02B35"/>
    <w:rsid w:val="00D06255"/>
    <w:rsid w:val="00D06394"/>
    <w:rsid w:val="00D15D82"/>
    <w:rsid w:val="00D1705E"/>
    <w:rsid w:val="00D25602"/>
    <w:rsid w:val="00D271A9"/>
    <w:rsid w:val="00D30BD3"/>
    <w:rsid w:val="00D33791"/>
    <w:rsid w:val="00D33BA8"/>
    <w:rsid w:val="00D364EB"/>
    <w:rsid w:val="00D40363"/>
    <w:rsid w:val="00D41D32"/>
    <w:rsid w:val="00D451BC"/>
    <w:rsid w:val="00D51E96"/>
    <w:rsid w:val="00D568BB"/>
    <w:rsid w:val="00D63B9E"/>
    <w:rsid w:val="00D65D90"/>
    <w:rsid w:val="00D66016"/>
    <w:rsid w:val="00D757B2"/>
    <w:rsid w:val="00D769BA"/>
    <w:rsid w:val="00D8034F"/>
    <w:rsid w:val="00D81755"/>
    <w:rsid w:val="00D8617C"/>
    <w:rsid w:val="00D87D00"/>
    <w:rsid w:val="00D94E23"/>
    <w:rsid w:val="00DA1983"/>
    <w:rsid w:val="00DA2F1E"/>
    <w:rsid w:val="00DA5831"/>
    <w:rsid w:val="00DB17B8"/>
    <w:rsid w:val="00DB2873"/>
    <w:rsid w:val="00DC4482"/>
    <w:rsid w:val="00DD5028"/>
    <w:rsid w:val="00DD5350"/>
    <w:rsid w:val="00DE38DA"/>
    <w:rsid w:val="00DF1198"/>
    <w:rsid w:val="00E009CD"/>
    <w:rsid w:val="00E067CB"/>
    <w:rsid w:val="00E12082"/>
    <w:rsid w:val="00E17870"/>
    <w:rsid w:val="00E21589"/>
    <w:rsid w:val="00E23C1B"/>
    <w:rsid w:val="00E24D9E"/>
    <w:rsid w:val="00E257C8"/>
    <w:rsid w:val="00E26581"/>
    <w:rsid w:val="00E2722E"/>
    <w:rsid w:val="00E325AB"/>
    <w:rsid w:val="00E3447D"/>
    <w:rsid w:val="00E431CE"/>
    <w:rsid w:val="00E445F8"/>
    <w:rsid w:val="00E503E4"/>
    <w:rsid w:val="00E55E02"/>
    <w:rsid w:val="00E571C4"/>
    <w:rsid w:val="00E63B3D"/>
    <w:rsid w:val="00E64479"/>
    <w:rsid w:val="00E67D99"/>
    <w:rsid w:val="00E75556"/>
    <w:rsid w:val="00E75EFA"/>
    <w:rsid w:val="00E76F1F"/>
    <w:rsid w:val="00E80BE2"/>
    <w:rsid w:val="00E8309D"/>
    <w:rsid w:val="00E90A9C"/>
    <w:rsid w:val="00E91BE8"/>
    <w:rsid w:val="00E95356"/>
    <w:rsid w:val="00E966E5"/>
    <w:rsid w:val="00EA3D96"/>
    <w:rsid w:val="00EA3F40"/>
    <w:rsid w:val="00EA6B69"/>
    <w:rsid w:val="00EA6B7B"/>
    <w:rsid w:val="00EB25E4"/>
    <w:rsid w:val="00EB3D8B"/>
    <w:rsid w:val="00EB7416"/>
    <w:rsid w:val="00EC06C6"/>
    <w:rsid w:val="00EC104E"/>
    <w:rsid w:val="00EC4453"/>
    <w:rsid w:val="00ED0D44"/>
    <w:rsid w:val="00ED1B77"/>
    <w:rsid w:val="00ED5511"/>
    <w:rsid w:val="00ED57D1"/>
    <w:rsid w:val="00EE2BF2"/>
    <w:rsid w:val="00EF172D"/>
    <w:rsid w:val="00EF3B7C"/>
    <w:rsid w:val="00EF56FA"/>
    <w:rsid w:val="00EF6216"/>
    <w:rsid w:val="00EF6E42"/>
    <w:rsid w:val="00F0613C"/>
    <w:rsid w:val="00F07CBB"/>
    <w:rsid w:val="00F11244"/>
    <w:rsid w:val="00F14A7B"/>
    <w:rsid w:val="00F1658B"/>
    <w:rsid w:val="00F21A1D"/>
    <w:rsid w:val="00F2540D"/>
    <w:rsid w:val="00F26602"/>
    <w:rsid w:val="00F31380"/>
    <w:rsid w:val="00F333BF"/>
    <w:rsid w:val="00F34499"/>
    <w:rsid w:val="00F406E3"/>
    <w:rsid w:val="00F40C82"/>
    <w:rsid w:val="00F50707"/>
    <w:rsid w:val="00F5114E"/>
    <w:rsid w:val="00F53B1A"/>
    <w:rsid w:val="00F54568"/>
    <w:rsid w:val="00F56FBC"/>
    <w:rsid w:val="00F57249"/>
    <w:rsid w:val="00F62DE3"/>
    <w:rsid w:val="00F77131"/>
    <w:rsid w:val="00F84FDF"/>
    <w:rsid w:val="00F85D7E"/>
    <w:rsid w:val="00FA041A"/>
    <w:rsid w:val="00FA4C13"/>
    <w:rsid w:val="00FA7550"/>
    <w:rsid w:val="00FB345F"/>
    <w:rsid w:val="00FB4DA5"/>
    <w:rsid w:val="00FC1146"/>
    <w:rsid w:val="00FC57A1"/>
    <w:rsid w:val="00FC6D26"/>
    <w:rsid w:val="00FD3820"/>
    <w:rsid w:val="00FE6E6D"/>
    <w:rsid w:val="00FF0DAE"/>
    <w:rsid w:val="00FF3092"/>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33525E"/>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6F6012"/>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6F6012"/>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6F6012"/>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6F6012"/>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6F6012"/>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6B56E1"/>
    <w:pPr>
      <w:snapToGrid w:val="0"/>
      <w:jc w:val="left"/>
    </w:pPr>
    <w:rPr>
      <w:sz w:val="18"/>
      <w:szCs w:val="18"/>
    </w:rPr>
  </w:style>
  <w:style w:customStyle="1" w:styleId="Char6" w:type="character">
    <w:name w:val="脚注文本 Char"/>
    <w:link w:val="ad"/>
    <w:uiPriority w:val="99"/>
    <w:locked/>
    <w:rsid w:val="006B56E1"/>
    <w:rPr>
      <w:rFonts w:cs="Times New Roman"/>
      <w:kern w:val="2"/>
      <w:sz w:val="18"/>
      <w:szCs w:val="18"/>
    </w:rPr>
  </w:style>
  <w:style w:styleId="ae" w:type="character">
    <w:name w:val="footnote reference"/>
    <w:uiPriority w:val="99"/>
    <w:rsid w:val="006B56E1"/>
    <w:rPr>
      <w:rFonts w:cs="Times New Roman"/>
      <w:vertAlign w:val="superscript"/>
    </w:rPr>
  </w:style>
  <w:style w:styleId="af" w:type="character">
    <w:name w:val="Strong"/>
    <w:uiPriority w:val="22"/>
    <w:qFormat/>
    <w:locked/>
    <w:rsid w:val="001136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761562">
      <w:bodyDiv w:val="1"/>
      <w:marLeft w:val="0"/>
      <w:marRight w:val="0"/>
      <w:marTop w:val="0"/>
      <w:marBottom w:val="0"/>
      <w:divBdr>
        <w:top w:val="none" w:sz="0" w:space="0" w:color="auto"/>
        <w:left w:val="none" w:sz="0" w:space="0" w:color="auto"/>
        <w:bottom w:val="none" w:sz="0" w:space="0" w:color="auto"/>
        <w:right w:val="none" w:sz="0" w:space="0" w:color="auto"/>
      </w:divBdr>
    </w:div>
    <w:div w:id="1478953944">
      <w:bodyDiv w:val="1"/>
      <w:marLeft w:val="0"/>
      <w:marRight w:val="0"/>
      <w:marTop w:val="0"/>
      <w:marBottom w:val="0"/>
      <w:divBdr>
        <w:top w:val="none" w:sz="0" w:space="0" w:color="auto"/>
        <w:left w:val="none" w:sz="0" w:space="0" w:color="auto"/>
        <w:bottom w:val="none" w:sz="0" w:space="0" w:color="auto"/>
        <w:right w:val="none" w:sz="0" w:space="0" w:color="auto"/>
      </w:divBdr>
    </w:div>
    <w:div w:id="1485588124">
      <w:bodyDiv w:val="1"/>
      <w:marLeft w:val="0"/>
      <w:marRight w:val="0"/>
      <w:marTop w:val="0"/>
      <w:marBottom w:val="0"/>
      <w:divBdr>
        <w:top w:val="none" w:sz="0" w:space="0" w:color="auto"/>
        <w:left w:val="none" w:sz="0" w:space="0" w:color="auto"/>
        <w:bottom w:val="none" w:sz="0" w:space="0" w:color="auto"/>
        <w:right w:val="none" w:sz="0" w:space="0" w:color="auto"/>
      </w:divBdr>
    </w:div>
    <w:div w:id="1489787940">
      <w:bodyDiv w:val="1"/>
      <w:marLeft w:val="0"/>
      <w:marRight w:val="0"/>
      <w:marTop w:val="0"/>
      <w:marBottom w:val="0"/>
      <w:divBdr>
        <w:top w:val="none" w:sz="0" w:space="0" w:color="auto"/>
        <w:left w:val="none" w:sz="0" w:space="0" w:color="auto"/>
        <w:bottom w:val="none" w:sz="0" w:space="0" w:color="auto"/>
        <w:right w:val="none" w:sz="0" w:space="0" w:color="auto"/>
      </w:divBdr>
    </w:div>
    <w:div w:id="1718818727">
      <w:marLeft w:val="0"/>
      <w:marRight w:val="0"/>
      <w:marTop w:val="0"/>
      <w:marBottom w:val="0"/>
      <w:divBdr>
        <w:top w:val="none" w:sz="0" w:space="0" w:color="auto"/>
        <w:left w:val="none" w:sz="0" w:space="0" w:color="auto"/>
        <w:bottom w:val="none" w:sz="0" w:space="0" w:color="auto"/>
        <w:right w:val="none" w:sz="0" w:space="0" w:color="auto"/>
      </w:divBdr>
    </w:div>
    <w:div w:id="1718818728">
      <w:marLeft w:val="0"/>
      <w:marRight w:val="0"/>
      <w:marTop w:val="0"/>
      <w:marBottom w:val="0"/>
      <w:divBdr>
        <w:top w:val="none" w:sz="0" w:space="0" w:color="auto"/>
        <w:left w:val="none" w:sz="0" w:space="0" w:color="auto"/>
        <w:bottom w:val="none" w:sz="0" w:space="0" w:color="auto"/>
        <w:right w:val="none" w:sz="0" w:space="0" w:color="auto"/>
      </w:divBdr>
    </w:div>
    <w:div w:id="1718818729">
      <w:marLeft w:val="0"/>
      <w:marRight w:val="0"/>
      <w:marTop w:val="0"/>
      <w:marBottom w:val="0"/>
      <w:divBdr>
        <w:top w:val="none" w:sz="0" w:space="0" w:color="auto"/>
        <w:left w:val="none" w:sz="0" w:space="0" w:color="auto"/>
        <w:bottom w:val="none" w:sz="0" w:space="0" w:color="auto"/>
        <w:right w:val="none" w:sz="0" w:space="0" w:color="auto"/>
      </w:divBdr>
    </w:div>
    <w:div w:id="1921401921">
      <w:bodyDiv w:val="1"/>
      <w:marLeft w:val="0"/>
      <w:marRight w:val="0"/>
      <w:marTop w:val="0"/>
      <w:marBottom w:val="0"/>
      <w:divBdr>
        <w:top w:val="none" w:sz="0" w:space="0" w:color="auto"/>
        <w:left w:val="none" w:sz="0" w:space="0" w:color="auto"/>
        <w:bottom w:val="none" w:sz="0" w:space="0" w:color="auto"/>
        <w:right w:val="none" w:sz="0" w:space="0" w:color="auto"/>
      </w:divBdr>
    </w:div>
    <w:div w:id="20514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media/image3.jpeg" Type="http://schemas.openxmlformats.org/officeDocument/2006/relationships/image"/>
<Relationship Id="rId13" Target="media/image4.jpeg" Type="http://schemas.openxmlformats.org/officeDocument/2006/relationships/image"/>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30</Pages>
  <Words>4233</Words>
  <Characters>24129</Characters>
  <Application>Microsoft Office Word</Application>
  <DocSecurity>0</DocSecurity>
  <Lines>201</Lines>
  <Paragraphs>56</Paragraphs>
  <ScaleCrop>false</ScaleCrop>
  <Company>jysld</Company>
  <LinksUpToDate>false</LinksUpToDate>
  <CharactersWithSpaces>28306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2013-12-25T02:47:00Z</dcterms:created>
  <dc:creator>bonnieliu</dc:creator>
  <cp:lastModifiedBy>sirong han</cp:lastModifiedBy>
  <cp:lastPrinted>2009-01-22T10:11:00Z</cp:lastPrinted>
  <dcterms:modified xsi:type="dcterms:W3CDTF">2020-07-09T02:58:00Z</dcterms:modified>
  <cp:revision>96</cp:revision>
</cp:coreProperties>
</file>