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易方达行业领先企业混合型证券投资基金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中国工商银行股份有限公司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易方达行业领先混合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110015</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110015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2009年3月26日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422,391,778.62</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在优化行业资产配置的基础上，从行业领先企业中精选行业龙头与高成长企业进行投资，力求基金资产的长期增值。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在行业配置的基础上，本基金将从各细分行业中选择行业领先企业，然后从行业领先企业中选择行业龙头企业和具有较高成长性的公司，构造股票组合。</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沪深300指数收益率×80%+中债总指数收益率×20%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本基金是混合基金，理论上其风险收益水平高于债券基金和货币市场基金，低于股票基金。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中国工商银行股份有限公司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45,385,808.17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324,269,570.26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0.7659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1,397,853,005.84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3.309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30.07%</w:t>
            </w:r>
          </w:p>
        </w:tc>
        <w:tc>
          <w:tcPr>
            <w:vAlign w:val="center"/>
          </w:tcPr>
          <w:p>
            <w:pPr>
              <w:jc w:val="center"/>
            </w:pPr>
            <w:r>
              <w:rPr>
                <w:color w:val="000000"/>
                <w:kern w:val="0"/>
                <w:sz w:val="24"/>
                <w:szCs w:val="24"/>
              </w:rPr>
              <w:t>1.06%</w:t>
            </w:r>
          </w:p>
        </w:tc>
        <w:tc>
          <w:tcPr>
            <w:vAlign w:val="center"/>
          </w:tcPr>
          <w:p>
            <w:pPr>
              <w:jc w:val="center"/>
            </w:pPr>
            <w:r>
              <w:rPr>
                <w:color w:val="000000"/>
                <w:kern w:val="0"/>
                <w:sz w:val="24"/>
                <w:szCs w:val="24"/>
              </w:rPr>
              <w:t>10.03%</w:t>
            </w:r>
          </w:p>
        </w:tc>
        <w:tc>
          <w:tcPr>
            <w:vAlign w:val="center"/>
          </w:tcPr>
          <w:p>
            <w:pPr>
              <w:jc w:val="center"/>
            </w:pPr>
            <w:r>
              <w:rPr>
                <w:color w:val="000000"/>
                <w:kern w:val="0"/>
                <w:sz w:val="24"/>
                <w:szCs w:val="24"/>
              </w:rPr>
              <w:t>0.72%</w:t>
            </w:r>
          </w:p>
        </w:tc>
        <w:tc>
          <w:tcPr>
            <w:vAlign w:val="center"/>
          </w:tcPr>
          <w:p>
            <w:pPr>
              <w:jc w:val="center"/>
            </w:pPr>
            <w:r>
              <w:rPr>
                <w:color w:val="000000"/>
                <w:kern w:val="0"/>
                <w:sz w:val="24"/>
                <w:szCs w:val="24"/>
              </w:rPr>
              <w:t>20.04%</w:t>
            </w:r>
          </w:p>
        </w:tc>
        <w:tc>
          <w:tcPr>
            <w:vAlign w:val="center"/>
          </w:tcPr>
          <w:p>
            <w:pPr>
              <w:jc w:val="center"/>
            </w:pPr>
            <w:r>
              <w:rPr>
                <w:color w:val="000000"/>
                <w:kern w:val="0"/>
                <w:sz w:val="24"/>
                <w:szCs w:val="24"/>
              </w:rPr>
              <w:t>0.34%</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22.38%</w:t>
            </w:r>
          </w:p>
        </w:tc>
        <w:tc>
          <w:tcPr>
            <w:vAlign w:val="center"/>
          </w:tcPr>
          <w:p>
            <w:pPr>
              <w:jc w:val="center"/>
            </w:pPr>
            <w:r>
              <w:rPr>
                <w:color w:val="000000"/>
                <w:kern w:val="0"/>
                <w:sz w:val="24"/>
                <w:szCs w:val="24"/>
              </w:rPr>
              <w:t>1.63%</w:t>
            </w:r>
          </w:p>
        </w:tc>
        <w:tc>
          <w:tcPr>
            <w:vAlign w:val="center"/>
          </w:tcPr>
          <w:p>
            <w:pPr>
              <w:jc w:val="center"/>
            </w:pPr>
            <w:r>
              <w:rPr>
                <w:color w:val="000000"/>
                <w:kern w:val="0"/>
                <w:sz w:val="24"/>
                <w:szCs w:val="24"/>
              </w:rPr>
              <w:t>1.48%</w:t>
            </w:r>
          </w:p>
        </w:tc>
        <w:tc>
          <w:tcPr>
            <w:vAlign w:val="center"/>
          </w:tcPr>
          <w:p>
            <w:pPr>
              <w:jc w:val="center"/>
            </w:pPr>
            <w:r>
              <w:rPr>
                <w:color w:val="000000"/>
                <w:kern w:val="0"/>
                <w:sz w:val="24"/>
                <w:szCs w:val="24"/>
              </w:rPr>
              <w:t>1.21%</w:t>
            </w:r>
          </w:p>
        </w:tc>
        <w:tc>
          <w:tcPr>
            <w:vAlign w:val="center"/>
          </w:tcPr>
          <w:p>
            <w:pPr>
              <w:jc w:val="center"/>
            </w:pPr>
            <w:r>
              <w:rPr>
                <w:color w:val="000000"/>
                <w:kern w:val="0"/>
                <w:sz w:val="24"/>
                <w:szCs w:val="24"/>
              </w:rPr>
              <w:t>20.90%</w:t>
            </w:r>
          </w:p>
        </w:tc>
        <w:tc>
          <w:tcPr>
            <w:vAlign w:val="center"/>
          </w:tcPr>
          <w:p>
            <w:pPr>
              <w:jc w:val="center"/>
            </w:pPr>
            <w:r>
              <w:rPr>
                <w:color w:val="000000"/>
                <w:kern w:val="0"/>
                <w:sz w:val="24"/>
                <w:szCs w:val="24"/>
              </w:rPr>
              <w:t>0.42%</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44.92%</w:t>
            </w:r>
          </w:p>
        </w:tc>
        <w:tc>
          <w:tcPr>
            <w:vAlign w:val="center"/>
          </w:tcPr>
          <w:p>
            <w:pPr>
              <w:jc w:val="center"/>
            </w:pPr>
            <w:r>
              <w:rPr>
                <w:color w:val="000000"/>
                <w:kern w:val="0"/>
                <w:sz w:val="24"/>
                <w:szCs w:val="24"/>
              </w:rPr>
              <w:t>1.33%</w:t>
            </w:r>
          </w:p>
        </w:tc>
        <w:tc>
          <w:tcPr>
            <w:vAlign w:val="center"/>
          </w:tcPr>
          <w:p>
            <w:pPr>
              <w:jc w:val="center"/>
            </w:pPr>
            <w:r>
              <w:rPr>
                <w:color w:val="000000"/>
                <w:kern w:val="0"/>
                <w:sz w:val="24"/>
                <w:szCs w:val="24"/>
              </w:rPr>
              <w:t>7.54%</w:t>
            </w:r>
          </w:p>
        </w:tc>
        <w:tc>
          <w:tcPr>
            <w:vAlign w:val="center"/>
          </w:tcPr>
          <w:p>
            <w:pPr>
              <w:jc w:val="center"/>
            </w:pPr>
            <w:r>
              <w:rPr>
                <w:color w:val="000000"/>
                <w:kern w:val="0"/>
                <w:sz w:val="24"/>
                <w:szCs w:val="24"/>
              </w:rPr>
              <w:t>0.97%</w:t>
            </w:r>
          </w:p>
        </w:tc>
        <w:tc>
          <w:tcPr>
            <w:vAlign w:val="center"/>
          </w:tcPr>
          <w:p>
            <w:pPr>
              <w:jc w:val="center"/>
            </w:pPr>
            <w:r>
              <w:rPr>
                <w:color w:val="000000"/>
                <w:kern w:val="0"/>
                <w:sz w:val="24"/>
                <w:szCs w:val="24"/>
              </w:rPr>
              <w:t>37.38%</w:t>
            </w:r>
          </w:p>
        </w:tc>
        <w:tc>
          <w:tcPr>
            <w:vAlign w:val="center"/>
          </w:tcPr>
          <w:p>
            <w:pPr>
              <w:jc w:val="center"/>
            </w:pPr>
            <w:r>
              <w:rPr>
                <w:color w:val="000000"/>
                <w:kern w:val="0"/>
                <w:sz w:val="24"/>
                <w:szCs w:val="24"/>
              </w:rPr>
              <w:t>0.36%</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77.51%</w:t>
            </w:r>
          </w:p>
        </w:tc>
        <w:tc>
          <w:tcPr>
            <w:vAlign w:val="center"/>
          </w:tcPr>
          <w:p>
            <w:pPr>
              <w:jc w:val="center"/>
            </w:pPr>
            <w:r>
              <w:rPr>
                <w:color w:val="000000"/>
                <w:kern w:val="0"/>
                <w:sz w:val="24"/>
                <w:szCs w:val="24"/>
              </w:rPr>
              <w:t>1.38%</w:t>
            </w:r>
          </w:p>
        </w:tc>
        <w:tc>
          <w:tcPr>
            <w:vAlign w:val="center"/>
          </w:tcPr>
          <w:p>
            <w:pPr>
              <w:jc w:val="center"/>
            </w:pPr>
            <w:r>
              <w:rPr>
                <w:color w:val="000000"/>
                <w:kern w:val="0"/>
                <w:sz w:val="24"/>
                <w:szCs w:val="24"/>
              </w:rPr>
              <w:t>12.10%</w:t>
            </w:r>
          </w:p>
        </w:tc>
        <w:tc>
          <w:tcPr>
            <w:vAlign w:val="center"/>
          </w:tcPr>
          <w:p>
            <w:pPr>
              <w:jc w:val="center"/>
            </w:pPr>
            <w:r>
              <w:rPr>
                <w:color w:val="000000"/>
                <w:kern w:val="0"/>
                <w:sz w:val="24"/>
                <w:szCs w:val="24"/>
              </w:rPr>
              <w:t>1.00%</w:t>
            </w:r>
          </w:p>
        </w:tc>
        <w:tc>
          <w:tcPr>
            <w:vAlign w:val="center"/>
          </w:tcPr>
          <w:p>
            <w:pPr>
              <w:jc w:val="center"/>
            </w:pPr>
            <w:r>
              <w:rPr>
                <w:color w:val="000000"/>
                <w:kern w:val="0"/>
                <w:sz w:val="24"/>
                <w:szCs w:val="24"/>
              </w:rPr>
              <w:t>65.41%</w:t>
            </w:r>
          </w:p>
        </w:tc>
        <w:tc>
          <w:tcPr>
            <w:vAlign w:val="center"/>
          </w:tcPr>
          <w:p>
            <w:pPr>
              <w:jc w:val="center"/>
            </w:pPr>
            <w:r>
              <w:rPr>
                <w:color w:val="000000"/>
                <w:kern w:val="0"/>
                <w:sz w:val="24"/>
                <w:szCs w:val="24"/>
              </w:rPr>
              <w:t>0.38%</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55.25%</w:t>
            </w:r>
          </w:p>
        </w:tc>
        <w:tc>
          <w:tcPr>
            <w:vAlign w:val="center"/>
          </w:tcPr>
          <w:p>
            <w:pPr>
              <w:jc w:val="center"/>
            </w:pPr>
            <w:r>
              <w:rPr>
                <w:color w:val="000000"/>
                <w:kern w:val="0"/>
                <w:sz w:val="24"/>
                <w:szCs w:val="24"/>
              </w:rPr>
              <w:t>1.75%</w:t>
            </w:r>
          </w:p>
        </w:tc>
        <w:tc>
          <w:tcPr>
            <w:vAlign w:val="center"/>
          </w:tcPr>
          <w:p>
            <w:pPr>
              <w:jc w:val="center"/>
            </w:pPr>
            <w:r>
              <w:rPr>
                <w:color w:val="000000"/>
                <w:kern w:val="0"/>
                <w:sz w:val="24"/>
                <w:szCs w:val="24"/>
              </w:rPr>
              <w:t>-4.42%</w:t>
            </w:r>
          </w:p>
        </w:tc>
        <w:tc>
          <w:tcPr>
            <w:vAlign w:val="center"/>
          </w:tcPr>
          <w:p>
            <w:pPr>
              <w:jc w:val="center"/>
            </w:pPr>
            <w:r>
              <w:rPr>
                <w:color w:val="000000"/>
                <w:kern w:val="0"/>
                <w:sz w:val="24"/>
                <w:szCs w:val="24"/>
              </w:rPr>
              <w:t>1.16%</w:t>
            </w:r>
          </w:p>
        </w:tc>
        <w:tc>
          <w:tcPr>
            <w:vAlign w:val="center"/>
          </w:tcPr>
          <w:p>
            <w:pPr>
              <w:jc w:val="center"/>
            </w:pPr>
            <w:r>
              <w:rPr>
                <w:color w:val="000000"/>
                <w:kern w:val="0"/>
                <w:sz w:val="24"/>
                <w:szCs w:val="24"/>
              </w:rPr>
              <w:t>59.67%</w:t>
            </w:r>
          </w:p>
        </w:tc>
        <w:tc>
          <w:tcPr>
            <w:vAlign w:val="center"/>
          </w:tcPr>
          <w:p>
            <w:pPr>
              <w:jc w:val="center"/>
            </w:pPr>
            <w:r>
              <w:rPr>
                <w:color w:val="000000"/>
                <w:kern w:val="0"/>
                <w:sz w:val="24"/>
                <w:szCs w:val="24"/>
              </w:rPr>
              <w:t>0.59%</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318.13%</w:t>
            </w:r>
          </w:p>
        </w:tc>
        <w:tc>
          <w:tcPr>
            <w:vAlign w:val="center"/>
          </w:tcPr>
          <w:p>
            <w:pPr>
              <w:jc w:val="center"/>
            </w:pPr>
            <w:r>
              <w:rPr>
                <w:color w:val="000000"/>
                <w:kern w:val="0"/>
                <w:sz w:val="24"/>
                <w:szCs w:val="24"/>
              </w:rPr>
              <w:t>1.58%</w:t>
            </w:r>
          </w:p>
        </w:tc>
        <w:tc>
          <w:tcPr>
            <w:vAlign w:val="center"/>
          </w:tcPr>
          <w:p>
            <w:pPr>
              <w:jc w:val="center"/>
            </w:pPr>
            <w:r>
              <w:rPr>
                <w:color w:val="000000"/>
                <w:kern w:val="0"/>
                <w:sz w:val="24"/>
                <w:szCs w:val="24"/>
              </w:rPr>
              <w:t>60.08%</w:t>
            </w:r>
          </w:p>
        </w:tc>
        <w:tc>
          <w:tcPr>
            <w:vAlign w:val="center"/>
          </w:tcPr>
          <w:p>
            <w:pPr>
              <w:jc w:val="center"/>
            </w:pPr>
            <w:r>
              <w:rPr>
                <w:color w:val="000000"/>
                <w:kern w:val="0"/>
                <w:sz w:val="24"/>
                <w:szCs w:val="24"/>
              </w:rPr>
              <w:t>1.20%</w:t>
            </w:r>
          </w:p>
        </w:tc>
        <w:tc>
          <w:tcPr>
            <w:vAlign w:val="center"/>
          </w:tcPr>
          <w:p>
            <w:pPr>
              <w:jc w:val="center"/>
            </w:pPr>
            <w:r>
              <w:rPr>
                <w:color w:val="000000"/>
                <w:kern w:val="0"/>
                <w:sz w:val="24"/>
                <w:szCs w:val="24"/>
              </w:rPr>
              <w:t>258.05%</w:t>
            </w:r>
          </w:p>
        </w:tc>
        <w:tc>
          <w:tcPr>
            <w:vAlign w:val="center"/>
          </w:tcPr>
          <w:p>
            <w:pPr>
              <w:jc w:val="center"/>
            </w:pPr>
            <w:r>
              <w:rPr>
                <w:color w:val="000000"/>
                <w:kern w:val="0"/>
                <w:sz w:val="24"/>
                <w:szCs w:val="24"/>
              </w:rPr>
              <w:t>0.38%</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易方达行业领先企业混合型证券投资基金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2009年3月26日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注：自基金合同生效至报告期末，基金份额净值增长率为318.13%，同期业绩比较基准收益率为60.08%。</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冯波</w:t>
            </w:r>
          </w:p>
        </w:tc>
        <w:tc>
          <w:tcPr>
            <w:vAlign w:val="center"/>
          </w:tcPr>
          <w:p>
            <w:pPr>
              <w:jc w:val="left"/>
            </w:pPr>
            <w:r>
              <w:rPr>
                <w:color w:val="000000"/>
                <w:sz w:val="24"/>
              </w:rPr>
              <w:t>本基金的基金经理、易方达中盘成长混合型证券投资基金的基金经理、易方达研究精选股票型证券投资基金的基金经理、研究部总经理</w:t>
            </w:r>
          </w:p>
        </w:tc>
        <w:tc>
          <w:tcPr>
            <w:vAlign w:val="center"/>
          </w:tcPr>
          <w:p>
            <w:pPr>
              <w:jc w:val="center"/>
            </w:pPr>
            <w:r>
              <w:rPr>
                <w:color w:val="000000"/>
                <w:sz w:val="24"/>
              </w:rPr>
              <w:t>2010-01-01</w:t>
            </w:r>
          </w:p>
        </w:tc>
        <w:tc>
          <w:tcPr>
            <w:vAlign w:val="center"/>
          </w:tcPr>
          <w:p>
            <w:pPr>
              <w:jc w:val="center"/>
            </w:pPr>
            <w:r>
              <w:rPr>
                <w:color w:val="000000"/>
                <w:sz w:val="24"/>
              </w:rPr>
              <w:t>-</w:t>
            </w:r>
          </w:p>
        </w:tc>
        <w:tc>
          <w:tcPr>
            <w:vAlign w:val="center"/>
          </w:tcPr>
          <w:p>
            <w:pPr>
              <w:jc w:val="center"/>
            </w:pPr>
            <w:r>
              <w:rPr>
                <w:color w:val="000000"/>
                <w:sz w:val="24"/>
              </w:rPr>
              <w:t>19年</w:t>
            </w:r>
          </w:p>
        </w:tc>
        <w:tc>
          <w:tcPr>
            <w:vAlign w:val="center"/>
          </w:tcPr>
          <w:p>
            <w:pPr>
              <w:jc w:val="both"/>
            </w:pPr>
            <w:r>
              <w:rPr>
                <w:color w:val="000000"/>
                <w:sz w:val="24"/>
              </w:rPr>
              <w:t>硕士研究生，具有基金从业资格。曾任广东发展银行行员，易方达基金管理有限公司市场拓展部研究员、市场拓展部副经理、市场部大区销售经理、北京分公司副总经理、研究部行业研究员、基金经理助理、研究部总经理助理、研究部副总经理、易方达科汇灵活配置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二季度，全球疫情度过了最困难的阶段。欧洲、亚洲大部分国家的疫情得到了有效控制，新增病例数、死亡数均从高点大幅回落；但美国的疫情仍维持在高位，南美、印度等国家情况也仍然严重。随着各国采取了大力度的货币、财政政策对冲疫情的影响，投资者的恐慌情绪得到缓解，全球市场从低位大幅反弹。随着中国疫情控制成功，政府各种经济刺激政策逐步见效，中国经济稳步回升。在上述背景下，A股市场大幅上扬，截至季末，上证指数收于2985点，涨幅8.52%。受益于流动性放松和风险偏好的持续提升，创业板指数大涨30.25%。行业上，医药、TMT、消费等行业表现较好，大幅战胜市场；而银行、采掘、纺织服装、建筑装饰等行业仍然受疫情影响较大，涨幅靠后。</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基于国内外疫情和经济环境的变化，本基金二季度在资产配置上，保持了较高的股票仓位。行业方面，基本维持上期配置，小幅进行了结构调整。个股方面，加大结构调整力度，继续从中期角度出发，增加核心竞争力突出、长期估值水平合理的个股，同时减持短期涨幅过大、估值过高的公司，取得了较好效果。</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截至报告期末，本基金份额净值为3.309元，本报告期份额净值增长率为30.07%，同期业绩比较基准收益率为10.03%。</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1,235,035,756.89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87.57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1,235,035,756.89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87.57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1,788,700.00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0.13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1,788,700.00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0.13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166,678,226.17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11.82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6,774,732.22</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0.48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1,410,277,415.28</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1,080,758,501.18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77.32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54,163,818.62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3.87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14,917,030.77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1.07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64,013,640.00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4.58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21,170,000.00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1,235,035,756.89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88.35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779,988</w:t>
            </w:r>
          </w:p>
        </w:tc>
        <w:tc>
          <w:tcPr>
            <w:vAlign w:val="center"/>
          </w:tcPr>
          <w:p>
            <w:pPr>
              <w:jc w:val="right"/>
            </w:pPr>
            <w:r>
              <w:rPr>
                <w:color w:val="000000"/>
                <w:kern w:val="0"/>
                <w:sz w:val="24"/>
                <w:szCs w:val="24"/>
              </w:rPr>
              <w:t>133,471,546.56</w:t>
            </w:r>
          </w:p>
        </w:tc>
        <w:tc>
          <w:tcPr>
            <w:vAlign w:val="center"/>
          </w:tcPr>
          <w:p>
            <w:pPr>
              <w:jc w:val="right"/>
            </w:pPr>
            <w:r>
              <w:rPr>
                <w:color w:val="000000"/>
                <w:kern w:val="0"/>
                <w:sz w:val="24"/>
                <w:szCs w:val="24"/>
              </w:rPr>
              <w:t>9.55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85,793</w:t>
            </w:r>
          </w:p>
        </w:tc>
        <w:tc>
          <w:tcPr>
            <w:vAlign w:val="center"/>
          </w:tcPr>
          <w:p>
            <w:pPr>
              <w:jc w:val="right"/>
            </w:pPr>
            <w:r>
              <w:rPr>
                <w:color w:val="000000"/>
                <w:kern w:val="0"/>
                <w:sz w:val="24"/>
                <w:szCs w:val="24"/>
              </w:rPr>
              <w:t>125,504,863.84</w:t>
            </w:r>
          </w:p>
        </w:tc>
        <w:tc>
          <w:tcPr>
            <w:vAlign w:val="center"/>
          </w:tcPr>
          <w:p>
            <w:pPr>
              <w:jc w:val="right"/>
            </w:pPr>
            <w:r>
              <w:rPr>
                <w:color w:val="000000"/>
                <w:kern w:val="0"/>
                <w:sz w:val="24"/>
                <w:szCs w:val="24"/>
              </w:rPr>
              <w:t>8.98</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000333</w:t>
            </w:r>
          </w:p>
        </w:tc>
        <w:tc>
          <w:tcPr>
            <w:vAlign w:val="center"/>
          </w:tcPr>
          <w:p>
            <w:pPr>
              <w:jc w:val="center"/>
            </w:pPr>
            <w:r>
              <w:rPr>
                <w:color w:val="000000"/>
                <w:kern w:val="0"/>
                <w:sz w:val="24"/>
                <w:szCs w:val="24"/>
              </w:rPr>
              <w:t>美的集团</w:t>
            </w:r>
          </w:p>
        </w:tc>
        <w:tc>
          <w:tcPr>
            <w:vAlign w:val="center"/>
          </w:tcPr>
          <w:p>
            <w:pPr>
              <w:jc w:val="right"/>
            </w:pPr>
            <w:r>
              <w:rPr>
                <w:color w:val="000000"/>
                <w:kern w:val="0"/>
                <w:sz w:val="24"/>
                <w:szCs w:val="24"/>
              </w:rPr>
              <w:t>1,578,264</w:t>
            </w:r>
          </w:p>
        </w:tc>
        <w:tc>
          <w:tcPr>
            <w:vAlign w:val="center"/>
          </w:tcPr>
          <w:p>
            <w:pPr>
              <w:jc w:val="right"/>
            </w:pPr>
            <w:r>
              <w:rPr>
                <w:color w:val="000000"/>
                <w:kern w:val="0"/>
                <w:sz w:val="24"/>
                <w:szCs w:val="24"/>
              </w:rPr>
              <w:t>94,364,404.56</w:t>
            </w:r>
          </w:p>
        </w:tc>
        <w:tc>
          <w:tcPr>
            <w:vAlign w:val="center"/>
          </w:tcPr>
          <w:p>
            <w:pPr>
              <w:jc w:val="right"/>
            </w:pPr>
            <w:r>
              <w:rPr>
                <w:color w:val="000000"/>
                <w:kern w:val="0"/>
                <w:sz w:val="24"/>
                <w:szCs w:val="24"/>
              </w:rPr>
              <w:t>6.75</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601012</w:t>
            </w:r>
          </w:p>
        </w:tc>
        <w:tc>
          <w:tcPr>
            <w:vAlign w:val="center"/>
          </w:tcPr>
          <w:p>
            <w:pPr>
              <w:jc w:val="center"/>
            </w:pPr>
            <w:r>
              <w:rPr>
                <w:color w:val="000000"/>
                <w:kern w:val="0"/>
                <w:sz w:val="24"/>
                <w:szCs w:val="24"/>
              </w:rPr>
              <w:t>隆基股份</w:t>
            </w:r>
          </w:p>
        </w:tc>
        <w:tc>
          <w:tcPr>
            <w:vAlign w:val="center"/>
          </w:tcPr>
          <w:p>
            <w:pPr>
              <w:jc w:val="right"/>
            </w:pPr>
            <w:r>
              <w:rPr>
                <w:color w:val="000000"/>
                <w:kern w:val="0"/>
                <w:sz w:val="24"/>
                <w:szCs w:val="24"/>
              </w:rPr>
              <w:t>1,835,102</w:t>
            </w:r>
          </w:p>
        </w:tc>
        <w:tc>
          <w:tcPr>
            <w:vAlign w:val="center"/>
          </w:tcPr>
          <w:p>
            <w:pPr>
              <w:jc w:val="right"/>
            </w:pPr>
            <w:r>
              <w:rPr>
                <w:color w:val="000000"/>
                <w:kern w:val="0"/>
                <w:sz w:val="24"/>
                <w:szCs w:val="24"/>
              </w:rPr>
              <w:t>74,743,704.46</w:t>
            </w:r>
          </w:p>
        </w:tc>
        <w:tc>
          <w:tcPr>
            <w:vAlign w:val="center"/>
          </w:tcPr>
          <w:p>
            <w:pPr>
              <w:jc w:val="right"/>
            </w:pPr>
            <w:r>
              <w:rPr>
                <w:color w:val="000000"/>
                <w:kern w:val="0"/>
                <w:sz w:val="24"/>
                <w:szCs w:val="24"/>
              </w:rPr>
              <w:t>5.35</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000568</w:t>
            </w:r>
          </w:p>
        </w:tc>
        <w:tc>
          <w:tcPr>
            <w:vAlign w:val="center"/>
          </w:tcPr>
          <w:p>
            <w:pPr>
              <w:jc w:val="center"/>
            </w:pPr>
            <w:r>
              <w:rPr>
                <w:color w:val="000000"/>
                <w:kern w:val="0"/>
                <w:sz w:val="24"/>
                <w:szCs w:val="24"/>
              </w:rPr>
              <w:t>泸州老窖</w:t>
            </w:r>
          </w:p>
        </w:tc>
        <w:tc>
          <w:tcPr>
            <w:vAlign w:val="center"/>
          </w:tcPr>
          <w:p>
            <w:pPr>
              <w:jc w:val="right"/>
            </w:pPr>
            <w:r>
              <w:rPr>
                <w:color w:val="000000"/>
                <w:kern w:val="0"/>
                <w:sz w:val="24"/>
                <w:szCs w:val="24"/>
              </w:rPr>
              <w:t>810,000</w:t>
            </w:r>
          </w:p>
        </w:tc>
        <w:tc>
          <w:tcPr>
            <w:vAlign w:val="center"/>
          </w:tcPr>
          <w:p>
            <w:pPr>
              <w:jc w:val="right"/>
            </w:pPr>
            <w:r>
              <w:rPr>
                <w:color w:val="000000"/>
                <w:kern w:val="0"/>
                <w:sz w:val="24"/>
                <w:szCs w:val="24"/>
              </w:rPr>
              <w:t>73,807,200.00</w:t>
            </w:r>
          </w:p>
        </w:tc>
        <w:tc>
          <w:tcPr>
            <w:vAlign w:val="center"/>
          </w:tcPr>
          <w:p>
            <w:pPr>
              <w:jc w:val="right"/>
            </w:pPr>
            <w:r>
              <w:rPr>
                <w:color w:val="000000"/>
                <w:kern w:val="0"/>
                <w:sz w:val="24"/>
                <w:szCs w:val="24"/>
              </w:rPr>
              <w:t>5.28</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000100</w:t>
            </w:r>
          </w:p>
        </w:tc>
        <w:tc>
          <w:tcPr>
            <w:vAlign w:val="center"/>
          </w:tcPr>
          <w:p>
            <w:pPr>
              <w:jc w:val="center"/>
            </w:pPr>
            <w:r>
              <w:rPr>
                <w:color w:val="000000"/>
                <w:kern w:val="0"/>
                <w:sz w:val="24"/>
                <w:szCs w:val="24"/>
              </w:rPr>
              <w:t>TCL科技</w:t>
            </w:r>
          </w:p>
        </w:tc>
        <w:tc>
          <w:tcPr>
            <w:vAlign w:val="center"/>
          </w:tcPr>
          <w:p>
            <w:pPr>
              <w:jc w:val="right"/>
            </w:pPr>
            <w:r>
              <w:rPr>
                <w:color w:val="000000"/>
                <w:kern w:val="0"/>
                <w:sz w:val="24"/>
                <w:szCs w:val="24"/>
              </w:rPr>
              <w:t>11,260,791</w:t>
            </w:r>
          </w:p>
        </w:tc>
        <w:tc>
          <w:tcPr>
            <w:vAlign w:val="center"/>
          </w:tcPr>
          <w:p>
            <w:pPr>
              <w:jc w:val="right"/>
            </w:pPr>
            <w:r>
              <w:rPr>
                <w:color w:val="000000"/>
                <w:kern w:val="0"/>
                <w:sz w:val="24"/>
                <w:szCs w:val="24"/>
              </w:rPr>
              <w:t>69,816,904.20</w:t>
            </w:r>
          </w:p>
        </w:tc>
        <w:tc>
          <w:tcPr>
            <w:vAlign w:val="center"/>
          </w:tcPr>
          <w:p>
            <w:pPr>
              <w:jc w:val="right"/>
            </w:pPr>
            <w:r>
              <w:rPr>
                <w:color w:val="000000"/>
                <w:kern w:val="0"/>
                <w:sz w:val="24"/>
                <w:szCs w:val="24"/>
              </w:rPr>
              <w:t>4.99</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002475</w:t>
            </w:r>
          </w:p>
        </w:tc>
        <w:tc>
          <w:tcPr>
            <w:vAlign w:val="center"/>
          </w:tcPr>
          <w:p>
            <w:pPr>
              <w:jc w:val="center"/>
            </w:pPr>
            <w:r>
              <w:rPr>
                <w:color w:val="000000"/>
                <w:kern w:val="0"/>
                <w:sz w:val="24"/>
                <w:szCs w:val="24"/>
              </w:rPr>
              <w:t>立讯精密</w:t>
            </w:r>
          </w:p>
        </w:tc>
        <w:tc>
          <w:tcPr>
            <w:vAlign w:val="center"/>
          </w:tcPr>
          <w:p>
            <w:pPr>
              <w:jc w:val="right"/>
            </w:pPr>
            <w:r>
              <w:rPr>
                <w:color w:val="000000"/>
                <w:kern w:val="0"/>
                <w:sz w:val="24"/>
                <w:szCs w:val="24"/>
              </w:rPr>
              <w:t>1,159,054</w:t>
            </w:r>
          </w:p>
        </w:tc>
        <w:tc>
          <w:tcPr>
            <w:vAlign w:val="center"/>
          </w:tcPr>
          <w:p>
            <w:pPr>
              <w:jc w:val="right"/>
            </w:pPr>
            <w:r>
              <w:rPr>
                <w:color w:val="000000"/>
                <w:kern w:val="0"/>
                <w:sz w:val="24"/>
                <w:szCs w:val="24"/>
              </w:rPr>
              <w:t>59,517,422.90</w:t>
            </w:r>
          </w:p>
        </w:tc>
        <w:tc>
          <w:tcPr>
            <w:vAlign w:val="center"/>
          </w:tcPr>
          <w:p>
            <w:pPr>
              <w:jc w:val="right"/>
            </w:pPr>
            <w:r>
              <w:rPr>
                <w:color w:val="000000"/>
                <w:kern w:val="0"/>
                <w:sz w:val="24"/>
                <w:szCs w:val="24"/>
              </w:rPr>
              <w:t>4.26</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600276</w:t>
            </w:r>
          </w:p>
        </w:tc>
        <w:tc>
          <w:tcPr>
            <w:vAlign w:val="center"/>
          </w:tcPr>
          <w:p>
            <w:pPr>
              <w:jc w:val="center"/>
            </w:pPr>
            <w:r>
              <w:rPr>
                <w:color w:val="000000"/>
                <w:kern w:val="0"/>
                <w:sz w:val="24"/>
                <w:szCs w:val="24"/>
              </w:rPr>
              <w:t>恒瑞医药</w:t>
            </w:r>
          </w:p>
        </w:tc>
        <w:tc>
          <w:tcPr>
            <w:vAlign w:val="center"/>
          </w:tcPr>
          <w:p>
            <w:pPr>
              <w:jc w:val="right"/>
            </w:pPr>
            <w:r>
              <w:rPr>
                <w:color w:val="000000"/>
                <w:kern w:val="0"/>
                <w:sz w:val="24"/>
                <w:szCs w:val="24"/>
              </w:rPr>
              <w:t>611,760</w:t>
            </w:r>
          </w:p>
        </w:tc>
        <w:tc>
          <w:tcPr>
            <w:vAlign w:val="center"/>
          </w:tcPr>
          <w:p>
            <w:pPr>
              <w:jc w:val="right"/>
            </w:pPr>
            <w:r>
              <w:rPr>
                <w:color w:val="000000"/>
                <w:kern w:val="0"/>
                <w:sz w:val="24"/>
                <w:szCs w:val="24"/>
              </w:rPr>
              <w:t>56,465,448.00</w:t>
            </w:r>
          </w:p>
        </w:tc>
        <w:tc>
          <w:tcPr>
            <w:vAlign w:val="center"/>
          </w:tcPr>
          <w:p>
            <w:pPr>
              <w:jc w:val="right"/>
            </w:pPr>
            <w:r>
              <w:rPr>
                <w:color w:val="000000"/>
                <w:kern w:val="0"/>
                <w:sz w:val="24"/>
                <w:szCs w:val="24"/>
              </w:rPr>
              <w:t>4.04</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600036</w:t>
            </w:r>
          </w:p>
        </w:tc>
        <w:tc>
          <w:tcPr>
            <w:vAlign w:val="center"/>
          </w:tcPr>
          <w:p>
            <w:pPr>
              <w:jc w:val="center"/>
            </w:pPr>
            <w:r>
              <w:rPr>
                <w:color w:val="000000"/>
                <w:kern w:val="0"/>
                <w:sz w:val="24"/>
                <w:szCs w:val="24"/>
              </w:rPr>
              <w:t>招商银行</w:t>
            </w:r>
          </w:p>
        </w:tc>
        <w:tc>
          <w:tcPr>
            <w:vAlign w:val="center"/>
          </w:tcPr>
          <w:p>
            <w:pPr>
              <w:jc w:val="right"/>
            </w:pPr>
            <w:r>
              <w:rPr>
                <w:color w:val="000000"/>
                <w:kern w:val="0"/>
                <w:sz w:val="24"/>
                <w:szCs w:val="24"/>
              </w:rPr>
              <w:t>1,300,000</w:t>
            </w:r>
          </w:p>
        </w:tc>
        <w:tc>
          <w:tcPr>
            <w:vAlign w:val="center"/>
          </w:tcPr>
          <w:p>
            <w:pPr>
              <w:jc w:val="right"/>
            </w:pPr>
            <w:r>
              <w:rPr>
                <w:color w:val="000000"/>
                <w:kern w:val="0"/>
                <w:sz w:val="24"/>
                <w:szCs w:val="24"/>
              </w:rPr>
              <w:t>43,836,000.00</w:t>
            </w:r>
          </w:p>
        </w:tc>
        <w:tc>
          <w:tcPr>
            <w:vAlign w:val="center"/>
          </w:tcPr>
          <w:p>
            <w:pPr>
              <w:jc w:val="right"/>
            </w:pPr>
            <w:r>
              <w:rPr>
                <w:color w:val="000000"/>
                <w:kern w:val="0"/>
                <w:sz w:val="24"/>
                <w:szCs w:val="24"/>
              </w:rPr>
              <w:t>3.14</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002241</w:t>
            </w:r>
          </w:p>
        </w:tc>
        <w:tc>
          <w:tcPr>
            <w:vAlign w:val="center"/>
          </w:tcPr>
          <w:p>
            <w:pPr>
              <w:jc w:val="center"/>
            </w:pPr>
            <w:r>
              <w:rPr>
                <w:color w:val="000000"/>
                <w:kern w:val="0"/>
                <w:sz w:val="24"/>
                <w:szCs w:val="24"/>
              </w:rPr>
              <w:t>歌尔股份</w:t>
            </w:r>
          </w:p>
        </w:tc>
        <w:tc>
          <w:tcPr>
            <w:vAlign w:val="center"/>
          </w:tcPr>
          <w:p>
            <w:pPr>
              <w:jc w:val="right"/>
            </w:pPr>
            <w:r>
              <w:rPr>
                <w:color w:val="000000"/>
                <w:kern w:val="0"/>
                <w:sz w:val="24"/>
                <w:szCs w:val="24"/>
              </w:rPr>
              <w:t>1,417,776</w:t>
            </w:r>
          </w:p>
        </w:tc>
        <w:tc>
          <w:tcPr>
            <w:vAlign w:val="center"/>
          </w:tcPr>
          <w:p>
            <w:pPr>
              <w:jc w:val="right"/>
            </w:pPr>
            <w:r>
              <w:rPr>
                <w:color w:val="000000"/>
                <w:kern w:val="0"/>
                <w:sz w:val="24"/>
                <w:szCs w:val="24"/>
              </w:rPr>
              <w:t>41,625,903.36</w:t>
            </w:r>
          </w:p>
        </w:tc>
        <w:tc>
          <w:tcPr>
            <w:vAlign w:val="center"/>
          </w:tcPr>
          <w:p>
            <w:pPr>
              <w:jc w:val="right"/>
            </w:pPr>
            <w:r>
              <w:rPr>
                <w:color w:val="000000"/>
                <w:kern w:val="0"/>
                <w:sz w:val="24"/>
                <w:szCs w:val="24"/>
              </w:rPr>
              <w:t>2.98</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1,788,700.00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0.13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1,788,700.00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0.13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128112</w:t>
            </w:r>
          </w:p>
        </w:tc>
        <w:tc>
          <w:tcPr>
            <w:vAlign w:val="center"/>
          </w:tcPr>
          <w:p>
            <w:pPr>
              <w:jc w:val="center"/>
            </w:pPr>
            <w:r>
              <w:rPr>
                <w:color w:val="000000"/>
                <w:kern w:val="0"/>
                <w:sz w:val="24"/>
                <w:szCs w:val="24"/>
              </w:rPr>
              <w:t>歌尔转2</w:t>
            </w:r>
          </w:p>
        </w:tc>
        <w:tc>
          <w:tcPr>
            <w:vAlign w:val="center"/>
          </w:tcPr>
          <w:p>
            <w:pPr>
              <w:jc w:val="right"/>
            </w:pPr>
            <w:r>
              <w:rPr>
                <w:color w:val="000000"/>
                <w:kern w:val="0"/>
                <w:sz w:val="24"/>
                <w:szCs w:val="24"/>
              </w:rPr>
              <w:t>17,887</w:t>
            </w:r>
          </w:p>
        </w:tc>
        <w:tc>
          <w:tcPr>
            <w:vAlign w:val="center"/>
          </w:tcPr>
          <w:p>
            <w:pPr>
              <w:jc w:val="right"/>
            </w:pPr>
            <w:r>
              <w:rPr>
                <w:color w:val="000000"/>
                <w:kern w:val="0"/>
                <w:sz w:val="24"/>
                <w:szCs w:val="24"/>
              </w:rPr>
              <w:t>1,788,700.00</w:t>
            </w:r>
          </w:p>
        </w:tc>
        <w:tc>
          <w:tcPr>
            <w:vAlign w:val="center"/>
          </w:tcPr>
          <w:p>
            <w:pPr>
              <w:jc w:val="right"/>
            </w:pPr>
            <w:r>
              <w:rPr>
                <w:color w:val="000000"/>
                <w:kern w:val="0"/>
                <w:sz w:val="24"/>
                <w:szCs w:val="24"/>
              </w:rPr>
              <w:t>0.13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7月8日，中国银行保险监督管理委员会上海监管局对招商银行股份有限公司信用卡中心2016年9月至2018年6月在为部分客户办理信用卡业务时，未遵守总授信额度管理制度的违法违规事实，处以责令改正，并处罚款20万元的行政处罚。</w:t>
      </w:r>
    </w:p>
    <w:p>
      <w:pPr>
        <w:spacing w:line="360" w:lineRule="auto"/>
        <w:rPr>
          <w:rFonts w:ascii="宋体" w:hAnsi="宋体"/>
          <w:color w:val="000000"/>
          <w:sz w:val="24"/>
          <w:szCs w:val="24"/>
        </w:rPr>
      </w:pPr>
      <w:r>
        <w:rPr>
          <w:rFonts w:ascii="宋体" w:hAnsi="宋体"/>
          <w:color w:val="000000"/>
          <w:sz w:val="24"/>
          <w:szCs w:val="24"/>
        </w:rPr>
        <w:t>2019年9月26日，美国国际贸易委员会(ITC)根据美国Global Foundries公司提出的申请，决定对包括TCL集团（现已更名为“TCL科技”）在内的多家公司提起337调查，指控包括该公司在内的一系列企业对美出口、在美进口和在美销售的相关产品侵犯其专利权。2019年10月29日，上述337调查的芯片制程工艺方与Global Foundries公司联合宣布已就双方现有及未来十年将申请的半导体技术专利达成全球专利交互授权协议，并撤销双方之间及与各自客户相关的所有法律诉讼。</w:t>
      </w:r>
    </w:p>
    <w:p>
      <w:pPr>
        <w:spacing w:line="360" w:lineRule="auto"/>
        <w:rPr>
          <w:rFonts w:ascii="宋体" w:hAnsi="宋体"/>
          <w:color w:val="000000"/>
          <w:sz w:val="24"/>
          <w:szCs w:val="24"/>
        </w:rPr>
      </w:pPr>
      <w:r>
        <w:rPr>
          <w:rFonts w:ascii="宋体" w:hAnsi="宋体"/>
          <w:color w:val="000000"/>
          <w:sz w:val="24"/>
          <w:szCs w:val="24"/>
        </w:rPr>
        <w:t>本基金投资招商银行、TCL科技的投资决策程序符合公司投资制度的规定。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除招商银行、TCL科技外，本基金投资的前十名证券的发行主体本期没有出现被监管部门立案调查，或在报告编制日前一年内受到公开谴责、处罚的情形。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156,330.96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14,898.82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6,603,502.44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6,774,732.22</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425,611,654.46</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45,632,189.48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48,852,065.32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422,391,778.62</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1.中国证监会核准易方达行业领先企业股票型证券投资基金募集的文件；</w:t>
      </w:r>
    </w:p>
    <w:p>
      <w:pPr>
        <w:spacing w:line="360" w:lineRule="auto"/>
        <w:ind w:firstLine="480" w:firstLineChars="200"/>
        <w:rPr>
          <w:color w:val="000000"/>
          <w:sz w:val="24"/>
          <w:szCs w:val="24"/>
        </w:rPr>
      </w:pPr>
      <w:r>
        <w:rPr>
          <w:color w:val="000000"/>
          <w:sz w:val="24"/>
          <w:szCs w:val="24"/>
        </w:rPr>
        <w:t>2.易方达基金管理有限公司关于旗下部分开放式基金更名及修改基金合同、托管协议的公告</w:t>
      </w:r>
    </w:p>
    <w:p>
      <w:pPr>
        <w:spacing w:line="360" w:lineRule="auto"/>
        <w:ind w:firstLine="480" w:firstLineChars="200"/>
        <w:rPr>
          <w:color w:val="000000"/>
          <w:sz w:val="24"/>
          <w:szCs w:val="24"/>
        </w:rPr>
      </w:pPr>
      <w:r>
        <w:rPr>
          <w:color w:val="000000"/>
          <w:sz w:val="24"/>
          <w:szCs w:val="24"/>
        </w:rPr>
        <w:t>3.《易方达行业领先企业混合型证券投资基金基金合同》；</w:t>
      </w:r>
    </w:p>
    <w:p>
      <w:pPr>
        <w:spacing w:line="360" w:lineRule="auto"/>
        <w:ind w:firstLine="480" w:firstLineChars="200"/>
        <w:rPr>
          <w:color w:val="000000"/>
          <w:sz w:val="24"/>
          <w:szCs w:val="24"/>
        </w:rPr>
      </w:pPr>
      <w:r>
        <w:rPr>
          <w:color w:val="000000"/>
          <w:sz w:val="24"/>
          <w:szCs w:val="24"/>
        </w:rPr>
        <w:t>4.《易方达行业领先企业混合型证券投资基金托管协议》；</w:t>
      </w:r>
    </w:p>
    <w:p>
      <w:pPr>
        <w:spacing w:line="360" w:lineRule="auto"/>
        <w:ind w:firstLine="480" w:firstLineChars="200"/>
        <w:rPr>
          <w:color w:val="000000"/>
          <w:sz w:val="24"/>
          <w:szCs w:val="24"/>
        </w:rPr>
      </w:pPr>
      <w:r>
        <w:rPr>
          <w:color w:val="000000"/>
          <w:sz w:val="24"/>
          <w:szCs w:val="24"/>
        </w:rPr>
        <w:t>5.《易方达基金管理有限公司开放式基金业务规则》；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6.基金管理人业务资格批件和营业执照。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易方达行业领先企业混合型证券投资基金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