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易方达科翔混合型证券投资基金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中国工商银行股份有限公司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易方达科翔混合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110013</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110013</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2008年11月13日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1,164,529,232.47</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本基金主要投资于红利股，追求在有效控制风险的前提下，实现基金资产的长期稳健增值。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本基金基于定量与定性相结合的宏观及市场分析，确定组合中股票、债券、货币市场工具及其他金融工具的比例，追求更高收益，回避市场风险。</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80%×中证红利指数收益率＋中债总指数收益率×20%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本基金为混合基金，理论上其风险收益水平高于债券基金和货币市场基金，低于股票基金。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中国工商银行股份有限公司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66,735,607.58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1,285,329,930.91</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1.1729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5,060,356,751.53</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4.345</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注：1.所述基金业绩指标不包括持有人交易基金的各项费用，计入费用后实际收益水平要低于所列数字。</w:t>
      </w:r>
    </w:p>
    <w:p>
      <w:pPr>
        <w:spacing w:line="360" w:lineRule="auto"/>
        <w:ind w:firstLine="480" w:firstLineChars="200"/>
        <w:rPr>
          <w:color w:val="000000"/>
          <w:sz w:val="24"/>
          <w:szCs w:val="24"/>
        </w:rPr>
      </w:pPr>
      <w:r>
        <w:rPr>
          <w:color w:val="000000"/>
          <w:sz w:val="24"/>
        </w:rPr>
        <w:t>2.本期已实现收益指基金本期利息收入、投资收益、其他收入（不含公允价值变动收益）扣除相关费用后的余额，本期利润为本期已实现收益加上本期公允价值变动收益。</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3.本基金已于2008年12月12日对原基金科翔退市时的基金份额进行了拆分，基金拆分比例为1：1.340278796。</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36.38%</w:t>
            </w:r>
          </w:p>
        </w:tc>
        <w:tc>
          <w:tcPr>
            <w:vAlign w:val="center"/>
          </w:tcPr>
          <w:p>
            <w:pPr>
              <w:jc w:val="center"/>
            </w:pPr>
            <w:r>
              <w:rPr>
                <w:color w:val="000000"/>
                <w:kern w:val="0"/>
                <w:sz w:val="24"/>
                <w:szCs w:val="24"/>
              </w:rPr>
              <w:t>1.22%</w:t>
            </w:r>
          </w:p>
        </w:tc>
        <w:tc>
          <w:tcPr>
            <w:vAlign w:val="center"/>
          </w:tcPr>
          <w:p>
            <w:pPr>
              <w:jc w:val="center"/>
            </w:pPr>
            <w:r>
              <w:rPr>
                <w:color w:val="000000"/>
                <w:kern w:val="0"/>
                <w:sz w:val="24"/>
                <w:szCs w:val="24"/>
              </w:rPr>
              <w:t>1.96%</w:t>
            </w:r>
          </w:p>
        </w:tc>
        <w:tc>
          <w:tcPr>
            <w:vAlign w:val="center"/>
          </w:tcPr>
          <w:p>
            <w:pPr>
              <w:jc w:val="center"/>
            </w:pPr>
            <w:r>
              <w:rPr>
                <w:color w:val="000000"/>
                <w:kern w:val="0"/>
                <w:sz w:val="24"/>
                <w:szCs w:val="24"/>
              </w:rPr>
              <w:t>0.59%</w:t>
            </w:r>
          </w:p>
        </w:tc>
        <w:tc>
          <w:tcPr>
            <w:vAlign w:val="center"/>
          </w:tcPr>
          <w:p>
            <w:pPr>
              <w:jc w:val="center"/>
            </w:pPr>
            <w:r>
              <w:rPr>
                <w:color w:val="000000"/>
                <w:kern w:val="0"/>
                <w:sz w:val="24"/>
                <w:szCs w:val="24"/>
              </w:rPr>
              <w:t>34.42%</w:t>
            </w:r>
          </w:p>
        </w:tc>
        <w:tc>
          <w:tcPr>
            <w:vAlign w:val="center"/>
          </w:tcPr>
          <w:p>
            <w:pPr>
              <w:jc w:val="center"/>
            </w:pPr>
            <w:r>
              <w:rPr>
                <w:color w:val="000000"/>
                <w:kern w:val="0"/>
                <w:sz w:val="24"/>
                <w:szCs w:val="24"/>
              </w:rPr>
              <w:t>0.63%</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39.90%</w:t>
            </w:r>
          </w:p>
        </w:tc>
        <w:tc>
          <w:tcPr>
            <w:vAlign w:val="center"/>
          </w:tcPr>
          <w:p>
            <w:pPr>
              <w:jc w:val="center"/>
            </w:pPr>
            <w:r>
              <w:rPr>
                <w:color w:val="000000"/>
                <w:kern w:val="0"/>
                <w:sz w:val="24"/>
                <w:szCs w:val="24"/>
              </w:rPr>
              <w:t>1.77%</w:t>
            </w:r>
          </w:p>
        </w:tc>
        <w:tc>
          <w:tcPr>
            <w:vAlign w:val="center"/>
          </w:tcPr>
          <w:p>
            <w:pPr>
              <w:jc w:val="center"/>
            </w:pPr>
            <w:r>
              <w:rPr>
                <w:color w:val="000000"/>
                <w:kern w:val="0"/>
                <w:sz w:val="24"/>
                <w:szCs w:val="24"/>
              </w:rPr>
              <w:t>-6.16%</w:t>
            </w:r>
          </w:p>
        </w:tc>
        <w:tc>
          <w:tcPr>
            <w:vAlign w:val="center"/>
          </w:tcPr>
          <w:p>
            <w:pPr>
              <w:jc w:val="center"/>
            </w:pPr>
            <w:r>
              <w:rPr>
                <w:color w:val="000000"/>
                <w:kern w:val="0"/>
                <w:sz w:val="24"/>
                <w:szCs w:val="24"/>
              </w:rPr>
              <w:t>1.12%</w:t>
            </w:r>
          </w:p>
        </w:tc>
        <w:tc>
          <w:tcPr>
            <w:vAlign w:val="center"/>
          </w:tcPr>
          <w:p>
            <w:pPr>
              <w:jc w:val="center"/>
            </w:pPr>
            <w:r>
              <w:rPr>
                <w:color w:val="000000"/>
                <w:kern w:val="0"/>
                <w:sz w:val="24"/>
                <w:szCs w:val="24"/>
              </w:rPr>
              <w:t>46.06%</w:t>
            </w:r>
          </w:p>
        </w:tc>
        <w:tc>
          <w:tcPr>
            <w:vAlign w:val="center"/>
          </w:tcPr>
          <w:p>
            <w:pPr>
              <w:jc w:val="center"/>
            </w:pPr>
            <w:r>
              <w:rPr>
                <w:color w:val="000000"/>
                <w:kern w:val="0"/>
                <w:sz w:val="24"/>
                <w:szCs w:val="24"/>
              </w:rPr>
              <w:t>0.65%</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80.80%</w:t>
            </w:r>
          </w:p>
        </w:tc>
        <w:tc>
          <w:tcPr>
            <w:vAlign w:val="center"/>
          </w:tcPr>
          <w:p>
            <w:pPr>
              <w:jc w:val="center"/>
            </w:pPr>
            <w:r>
              <w:rPr>
                <w:color w:val="000000"/>
                <w:kern w:val="0"/>
                <w:sz w:val="24"/>
                <w:szCs w:val="24"/>
              </w:rPr>
              <w:t>1.52%</w:t>
            </w:r>
          </w:p>
        </w:tc>
        <w:tc>
          <w:tcPr>
            <w:vAlign w:val="center"/>
          </w:tcPr>
          <w:p>
            <w:pPr>
              <w:jc w:val="center"/>
            </w:pPr>
            <w:r>
              <w:rPr>
                <w:color w:val="000000"/>
                <w:kern w:val="0"/>
                <w:sz w:val="24"/>
                <w:szCs w:val="24"/>
              </w:rPr>
              <w:t>-5.30%</w:t>
            </w:r>
          </w:p>
        </w:tc>
        <w:tc>
          <w:tcPr>
            <w:vAlign w:val="center"/>
          </w:tcPr>
          <w:p>
            <w:pPr>
              <w:jc w:val="center"/>
            </w:pPr>
            <w:r>
              <w:rPr>
                <w:color w:val="000000"/>
                <w:kern w:val="0"/>
                <w:sz w:val="24"/>
                <w:szCs w:val="24"/>
              </w:rPr>
              <w:t>0.91%</w:t>
            </w:r>
          </w:p>
        </w:tc>
        <w:tc>
          <w:tcPr>
            <w:vAlign w:val="center"/>
          </w:tcPr>
          <w:p>
            <w:pPr>
              <w:jc w:val="center"/>
            </w:pPr>
            <w:r>
              <w:rPr>
                <w:color w:val="000000"/>
                <w:kern w:val="0"/>
                <w:sz w:val="24"/>
                <w:szCs w:val="24"/>
              </w:rPr>
              <w:t>86.10%</w:t>
            </w:r>
          </w:p>
        </w:tc>
        <w:tc>
          <w:tcPr>
            <w:vAlign w:val="center"/>
          </w:tcPr>
          <w:p>
            <w:pPr>
              <w:jc w:val="center"/>
            </w:pPr>
            <w:r>
              <w:rPr>
                <w:color w:val="000000"/>
                <w:kern w:val="0"/>
                <w:sz w:val="24"/>
                <w:szCs w:val="24"/>
              </w:rPr>
              <w:t>0.61%</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88.03%</w:t>
            </w:r>
          </w:p>
        </w:tc>
        <w:tc>
          <w:tcPr>
            <w:vAlign w:val="center"/>
          </w:tcPr>
          <w:p>
            <w:pPr>
              <w:jc w:val="center"/>
            </w:pPr>
            <w:r>
              <w:rPr>
                <w:color w:val="000000"/>
                <w:kern w:val="0"/>
                <w:sz w:val="24"/>
                <w:szCs w:val="24"/>
              </w:rPr>
              <w:t>1.49%</w:t>
            </w:r>
          </w:p>
        </w:tc>
        <w:tc>
          <w:tcPr>
            <w:vAlign w:val="center"/>
          </w:tcPr>
          <w:p>
            <w:pPr>
              <w:jc w:val="center"/>
            </w:pPr>
            <w:r>
              <w:rPr>
                <w:color w:val="000000"/>
                <w:kern w:val="0"/>
                <w:sz w:val="24"/>
                <w:szCs w:val="24"/>
              </w:rPr>
              <w:t>-6.48%</w:t>
            </w:r>
          </w:p>
        </w:tc>
        <w:tc>
          <w:tcPr>
            <w:vAlign w:val="center"/>
          </w:tcPr>
          <w:p>
            <w:pPr>
              <w:jc w:val="center"/>
            </w:pPr>
            <w:r>
              <w:rPr>
                <w:color w:val="000000"/>
                <w:kern w:val="0"/>
                <w:sz w:val="24"/>
                <w:szCs w:val="24"/>
              </w:rPr>
              <w:t>0.90%</w:t>
            </w:r>
          </w:p>
        </w:tc>
        <w:tc>
          <w:tcPr>
            <w:vAlign w:val="center"/>
          </w:tcPr>
          <w:p>
            <w:pPr>
              <w:jc w:val="center"/>
            </w:pPr>
            <w:r>
              <w:rPr>
                <w:color w:val="000000"/>
                <w:kern w:val="0"/>
                <w:sz w:val="24"/>
                <w:szCs w:val="24"/>
              </w:rPr>
              <w:t>94.51%</w:t>
            </w:r>
          </w:p>
        </w:tc>
        <w:tc>
          <w:tcPr>
            <w:vAlign w:val="center"/>
          </w:tcPr>
          <w:p>
            <w:pPr>
              <w:jc w:val="center"/>
            </w:pPr>
            <w:r>
              <w:rPr>
                <w:color w:val="000000"/>
                <w:kern w:val="0"/>
                <w:sz w:val="24"/>
                <w:szCs w:val="24"/>
              </w:rPr>
              <w:t>0.59%</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84.99%</w:t>
            </w:r>
          </w:p>
        </w:tc>
        <w:tc>
          <w:tcPr>
            <w:vAlign w:val="center"/>
          </w:tcPr>
          <w:p>
            <w:pPr>
              <w:jc w:val="center"/>
            </w:pPr>
            <w:r>
              <w:rPr>
                <w:color w:val="000000"/>
                <w:kern w:val="0"/>
                <w:sz w:val="24"/>
                <w:szCs w:val="24"/>
              </w:rPr>
              <w:t>1.77%</w:t>
            </w:r>
          </w:p>
        </w:tc>
        <w:tc>
          <w:tcPr>
            <w:vAlign w:val="center"/>
          </w:tcPr>
          <w:p>
            <w:pPr>
              <w:jc w:val="center"/>
            </w:pPr>
            <w:r>
              <w:rPr>
                <w:color w:val="000000"/>
                <w:kern w:val="0"/>
                <w:sz w:val="24"/>
                <w:szCs w:val="24"/>
              </w:rPr>
              <w:t>-14.97%</w:t>
            </w:r>
          </w:p>
        </w:tc>
        <w:tc>
          <w:tcPr>
            <w:vAlign w:val="center"/>
          </w:tcPr>
          <w:p>
            <w:pPr>
              <w:jc w:val="center"/>
            </w:pPr>
            <w:r>
              <w:rPr>
                <w:color w:val="000000"/>
                <w:kern w:val="0"/>
                <w:sz w:val="24"/>
                <w:szCs w:val="24"/>
              </w:rPr>
              <w:t>1.15%</w:t>
            </w:r>
          </w:p>
        </w:tc>
        <w:tc>
          <w:tcPr>
            <w:vAlign w:val="center"/>
          </w:tcPr>
          <w:p>
            <w:pPr>
              <w:jc w:val="center"/>
            </w:pPr>
            <w:r>
              <w:rPr>
                <w:color w:val="000000"/>
                <w:kern w:val="0"/>
                <w:sz w:val="24"/>
                <w:szCs w:val="24"/>
              </w:rPr>
              <w:t>99.96%</w:t>
            </w:r>
          </w:p>
        </w:tc>
        <w:tc>
          <w:tcPr>
            <w:vAlign w:val="center"/>
          </w:tcPr>
          <w:p>
            <w:pPr>
              <w:jc w:val="center"/>
            </w:pPr>
            <w:r>
              <w:rPr>
                <w:color w:val="000000"/>
                <w:kern w:val="0"/>
                <w:sz w:val="24"/>
                <w:szCs w:val="24"/>
              </w:rPr>
              <w:t>0.62%</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658.93%</w:t>
            </w:r>
          </w:p>
        </w:tc>
        <w:tc>
          <w:tcPr>
            <w:vAlign w:val="center"/>
          </w:tcPr>
          <w:p>
            <w:pPr>
              <w:jc w:val="center"/>
            </w:pPr>
            <w:r>
              <w:rPr>
                <w:color w:val="000000"/>
                <w:kern w:val="0"/>
                <w:sz w:val="24"/>
                <w:szCs w:val="24"/>
              </w:rPr>
              <w:t>1.60%</w:t>
            </w:r>
          </w:p>
        </w:tc>
        <w:tc>
          <w:tcPr>
            <w:vAlign w:val="center"/>
          </w:tcPr>
          <w:p>
            <w:pPr>
              <w:jc w:val="center"/>
            </w:pPr>
            <w:r>
              <w:rPr>
                <w:color w:val="000000"/>
                <w:kern w:val="0"/>
                <w:sz w:val="24"/>
                <w:szCs w:val="24"/>
              </w:rPr>
              <w:t>110.27%</w:t>
            </w:r>
          </w:p>
        </w:tc>
        <w:tc>
          <w:tcPr>
            <w:vAlign w:val="center"/>
          </w:tcPr>
          <w:p>
            <w:pPr>
              <w:jc w:val="center"/>
            </w:pPr>
            <w:r>
              <w:rPr>
                <w:color w:val="000000"/>
                <w:kern w:val="0"/>
                <w:sz w:val="24"/>
                <w:szCs w:val="24"/>
              </w:rPr>
              <w:t>1.25%</w:t>
            </w:r>
          </w:p>
        </w:tc>
        <w:tc>
          <w:tcPr>
            <w:vAlign w:val="center"/>
          </w:tcPr>
          <w:p>
            <w:pPr>
              <w:jc w:val="center"/>
            </w:pPr>
            <w:r>
              <w:rPr>
                <w:color w:val="000000"/>
                <w:kern w:val="0"/>
                <w:sz w:val="24"/>
                <w:szCs w:val="24"/>
              </w:rPr>
              <w:t>548.66%</w:t>
            </w:r>
          </w:p>
        </w:tc>
        <w:tc>
          <w:tcPr>
            <w:vAlign w:val="center"/>
          </w:tcPr>
          <w:p>
            <w:pPr>
              <w:jc w:val="center"/>
            </w:pPr>
            <w:r>
              <w:rPr>
                <w:color w:val="000000"/>
                <w:kern w:val="0"/>
                <w:sz w:val="24"/>
                <w:szCs w:val="24"/>
              </w:rPr>
              <w:t>0.35%</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自基金转型以来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易方达科翔混合型证券投资基金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2008年11月13日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pPr>
        <w:spacing w:line="360" w:lineRule="auto"/>
        <w:ind w:firstLine="480" w:firstLineChars="200"/>
        <w:rPr>
          <w:color w:val="000000"/>
          <w:sz w:val="24"/>
          <w:szCs w:val="24"/>
        </w:rPr>
      </w:pPr>
      <w:r>
        <w:rPr>
          <w:color w:val="000000"/>
          <w:sz w:val="24"/>
          <w:szCs w:val="24"/>
        </w:rPr>
        <w:t>注：1.本基金由原基金科翔于2008年11月13日转型而来。</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2.自基金转型至报告期末，基金份额净值增长率为658.93%，同期业绩比较基准收益率为110.27%。</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陈皓</w:t>
            </w:r>
          </w:p>
        </w:tc>
        <w:tc>
          <w:tcPr>
            <w:vAlign w:val="center"/>
          </w:tcPr>
          <w:p>
            <w:pPr>
              <w:jc w:val="left"/>
            </w:pPr>
            <w:r>
              <w:rPr>
                <w:color w:val="000000"/>
                <w:sz w:val="24"/>
              </w:rPr>
              <w:t>本基金的基金经理、易方达平稳增长证券投资基金的基金经理、易方达新经济灵活配置混合型证券投资基金的基金经理、易方达国防军工混合型证券投资基金的基金经理（自2015年06月19日至2020年06月05日）、易方达科讯混合型证券投资基金的基金经理、易方达科融混合型证券投资基金的基金经理、易方达均衡成长股票型证券投资基金的基金经理、投资一部总经理</w:t>
            </w:r>
          </w:p>
        </w:tc>
        <w:tc>
          <w:tcPr>
            <w:vAlign w:val="center"/>
          </w:tcPr>
          <w:p>
            <w:pPr>
              <w:jc w:val="center"/>
            </w:pPr>
            <w:r>
              <w:rPr>
                <w:color w:val="000000"/>
                <w:sz w:val="24"/>
              </w:rPr>
              <w:t>2014-05-10</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易方达基金管理有限公司行业研究员、基金经理助理、基金投资部基金经理助理、投资一部总经理助理、投资一部副总经理、投资经理、易方达价值精选混合型证券投资基金基金经理、易方达供给改革灵活配置混合型证券投资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上证综指上涨8.52%，创业板指数上涨30.25%，中证500指数上涨16.32%，市场整体涨幅较大，成长板块表现显著强于大盘蓝筹板块。新兴成长板块经过3月份的大幅调整下跌幅度较大，电子、新能源、计算机等领域的优质个股经过调整后投资风险收益比提升。二季度，疫情恐慌过后，新兴成长板块开始反弹，高新电子、云计算、新能源等代表未来成长方向的板块涨幅较大；同期医药生物板块涨幅也较大。</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本基金二季度采取了较为积极的投资策略，在市场经历前期大幅回调后提升了组合整体仓位，并集中配置了部分风险收益比较好的新兴成长类个股，取得了较好超额收益。</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截至报告期末，本基金份额净值为4.345元，本报告期份额净值增长率为36.38%，同期业绩比较基准收益率为1.96%。</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4,670,358,315.44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90.83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4,670,358,315.44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90.83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6,483,288.00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0.13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6,483,288.00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0.13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392,414,481.78</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7.63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72,527,688.89</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5,141,783,774.11</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3,136,330,232.55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61.98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117,770,650.40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2.33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32,021,239.50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0.63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59,333,892.00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1.17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861,140,060.09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17.02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33,921,640.20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0.67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50,252,000.00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0.99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109,178,738.88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2.16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219,994,617.50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4.35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50,402,478.00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4,670,358,315.44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92.29</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300476</w:t>
            </w:r>
          </w:p>
        </w:tc>
        <w:tc>
          <w:tcPr>
            <w:vAlign w:val="center"/>
          </w:tcPr>
          <w:p>
            <w:pPr>
              <w:jc w:val="center"/>
            </w:pPr>
            <w:r>
              <w:rPr>
                <w:color w:val="000000"/>
                <w:kern w:val="0"/>
                <w:sz w:val="24"/>
                <w:szCs w:val="24"/>
              </w:rPr>
              <w:t>胜宏科技</w:t>
            </w:r>
          </w:p>
        </w:tc>
        <w:tc>
          <w:tcPr>
            <w:vAlign w:val="center"/>
          </w:tcPr>
          <w:p>
            <w:pPr>
              <w:jc w:val="right"/>
            </w:pPr>
            <w:r>
              <w:rPr>
                <w:color w:val="000000"/>
                <w:kern w:val="0"/>
                <w:sz w:val="24"/>
                <w:szCs w:val="24"/>
              </w:rPr>
              <w:t>15,005,511</w:t>
            </w:r>
          </w:p>
        </w:tc>
        <w:tc>
          <w:tcPr>
            <w:vAlign w:val="center"/>
          </w:tcPr>
          <w:p>
            <w:pPr>
              <w:jc w:val="right"/>
            </w:pPr>
            <w:r>
              <w:rPr>
                <w:color w:val="000000"/>
                <w:kern w:val="0"/>
                <w:sz w:val="24"/>
                <w:szCs w:val="24"/>
              </w:rPr>
              <w:t>360,406,679.97</w:t>
            </w:r>
          </w:p>
        </w:tc>
        <w:tc>
          <w:tcPr>
            <w:vAlign w:val="center"/>
          </w:tcPr>
          <w:p>
            <w:pPr>
              <w:jc w:val="right"/>
            </w:pPr>
            <w:r>
              <w:rPr>
                <w:color w:val="000000"/>
                <w:kern w:val="0"/>
                <w:sz w:val="24"/>
                <w:szCs w:val="24"/>
              </w:rPr>
              <w:t>7.12</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600570</w:t>
            </w:r>
          </w:p>
        </w:tc>
        <w:tc>
          <w:tcPr>
            <w:vAlign w:val="center"/>
          </w:tcPr>
          <w:p>
            <w:pPr>
              <w:jc w:val="center"/>
            </w:pPr>
            <w:r>
              <w:rPr>
                <w:color w:val="000000"/>
                <w:kern w:val="0"/>
                <w:sz w:val="24"/>
                <w:szCs w:val="24"/>
              </w:rPr>
              <w:t>恒生电子</w:t>
            </w:r>
          </w:p>
        </w:tc>
        <w:tc>
          <w:tcPr>
            <w:vAlign w:val="center"/>
          </w:tcPr>
          <w:p>
            <w:pPr>
              <w:jc w:val="right"/>
            </w:pPr>
            <w:r>
              <w:rPr>
                <w:color w:val="000000"/>
                <w:kern w:val="0"/>
                <w:sz w:val="24"/>
                <w:szCs w:val="24"/>
              </w:rPr>
              <w:t>2,114,696</w:t>
            </w:r>
          </w:p>
        </w:tc>
        <w:tc>
          <w:tcPr>
            <w:vAlign w:val="center"/>
          </w:tcPr>
          <w:p>
            <w:pPr>
              <w:jc w:val="right"/>
            </w:pPr>
            <w:r>
              <w:rPr>
                <w:color w:val="000000"/>
                <w:kern w:val="0"/>
                <w:sz w:val="24"/>
                <w:szCs w:val="24"/>
              </w:rPr>
              <w:t>227,752,759.20</w:t>
            </w:r>
          </w:p>
        </w:tc>
        <w:tc>
          <w:tcPr>
            <w:vAlign w:val="center"/>
          </w:tcPr>
          <w:p>
            <w:pPr>
              <w:jc w:val="right"/>
            </w:pPr>
            <w:r>
              <w:rPr>
                <w:color w:val="000000"/>
                <w:kern w:val="0"/>
                <w:sz w:val="24"/>
                <w:szCs w:val="24"/>
              </w:rPr>
              <w:t>4.50</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300014</w:t>
            </w:r>
          </w:p>
        </w:tc>
        <w:tc>
          <w:tcPr>
            <w:vAlign w:val="center"/>
          </w:tcPr>
          <w:p>
            <w:pPr>
              <w:jc w:val="center"/>
            </w:pPr>
            <w:r>
              <w:rPr>
                <w:color w:val="000000"/>
                <w:kern w:val="0"/>
                <w:sz w:val="24"/>
                <w:szCs w:val="24"/>
              </w:rPr>
              <w:t>亿纬锂能</w:t>
            </w:r>
          </w:p>
        </w:tc>
        <w:tc>
          <w:tcPr>
            <w:vAlign w:val="center"/>
          </w:tcPr>
          <w:p>
            <w:pPr>
              <w:jc w:val="right"/>
            </w:pPr>
            <w:r>
              <w:rPr>
                <w:color w:val="000000"/>
                <w:kern w:val="0"/>
                <w:sz w:val="24"/>
                <w:szCs w:val="24"/>
              </w:rPr>
              <w:t>4,554,008</w:t>
            </w:r>
          </w:p>
        </w:tc>
        <w:tc>
          <w:tcPr>
            <w:vAlign w:val="center"/>
          </w:tcPr>
          <w:p>
            <w:pPr>
              <w:jc w:val="right"/>
            </w:pPr>
            <w:r>
              <w:rPr>
                <w:color w:val="000000"/>
                <w:kern w:val="0"/>
                <w:sz w:val="24"/>
                <w:szCs w:val="24"/>
              </w:rPr>
              <w:t>212,674,273.05</w:t>
            </w:r>
          </w:p>
        </w:tc>
        <w:tc>
          <w:tcPr>
            <w:vAlign w:val="center"/>
          </w:tcPr>
          <w:p>
            <w:pPr>
              <w:jc w:val="right"/>
            </w:pPr>
            <w:r>
              <w:rPr>
                <w:color w:val="000000"/>
                <w:kern w:val="0"/>
                <w:sz w:val="24"/>
                <w:szCs w:val="24"/>
              </w:rPr>
              <w:t>4.20</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1,113,700</w:t>
            </w:r>
          </w:p>
        </w:tc>
        <w:tc>
          <w:tcPr>
            <w:vAlign w:val="center"/>
          </w:tcPr>
          <w:p>
            <w:pPr>
              <w:jc w:val="right"/>
            </w:pPr>
            <w:r>
              <w:rPr>
                <w:color w:val="000000"/>
                <w:kern w:val="0"/>
                <w:sz w:val="24"/>
                <w:szCs w:val="24"/>
              </w:rPr>
              <w:t>190,576,344.00</w:t>
            </w:r>
          </w:p>
        </w:tc>
        <w:tc>
          <w:tcPr>
            <w:vAlign w:val="center"/>
          </w:tcPr>
          <w:p>
            <w:pPr>
              <w:jc w:val="right"/>
            </w:pPr>
            <w:r>
              <w:rPr>
                <w:color w:val="000000"/>
                <w:kern w:val="0"/>
                <w:sz w:val="24"/>
                <w:szCs w:val="24"/>
              </w:rPr>
              <w:t>3.77</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603520</w:t>
            </w:r>
          </w:p>
        </w:tc>
        <w:tc>
          <w:tcPr>
            <w:vAlign w:val="center"/>
          </w:tcPr>
          <w:p>
            <w:pPr>
              <w:jc w:val="center"/>
            </w:pPr>
            <w:r>
              <w:rPr>
                <w:color w:val="000000"/>
                <w:kern w:val="0"/>
                <w:sz w:val="24"/>
                <w:szCs w:val="24"/>
              </w:rPr>
              <w:t>司太立</w:t>
            </w:r>
          </w:p>
        </w:tc>
        <w:tc>
          <w:tcPr>
            <w:vAlign w:val="center"/>
          </w:tcPr>
          <w:p>
            <w:pPr>
              <w:jc w:val="right"/>
            </w:pPr>
            <w:r>
              <w:rPr>
                <w:color w:val="000000"/>
                <w:kern w:val="0"/>
                <w:sz w:val="24"/>
                <w:szCs w:val="24"/>
              </w:rPr>
              <w:t>2,170,000</w:t>
            </w:r>
          </w:p>
        </w:tc>
        <w:tc>
          <w:tcPr>
            <w:vAlign w:val="center"/>
          </w:tcPr>
          <w:p>
            <w:pPr>
              <w:jc w:val="right"/>
            </w:pPr>
            <w:r>
              <w:rPr>
                <w:color w:val="000000"/>
                <w:kern w:val="0"/>
                <w:sz w:val="24"/>
                <w:szCs w:val="24"/>
              </w:rPr>
              <w:t>182,410,200.00</w:t>
            </w:r>
          </w:p>
        </w:tc>
        <w:tc>
          <w:tcPr>
            <w:vAlign w:val="center"/>
          </w:tcPr>
          <w:p>
            <w:pPr>
              <w:jc w:val="right"/>
            </w:pPr>
            <w:r>
              <w:rPr>
                <w:color w:val="000000"/>
                <w:kern w:val="0"/>
                <w:sz w:val="24"/>
                <w:szCs w:val="24"/>
              </w:rPr>
              <w:t>3.60</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000403</w:t>
            </w:r>
          </w:p>
        </w:tc>
        <w:tc>
          <w:tcPr>
            <w:vAlign w:val="center"/>
          </w:tcPr>
          <w:p>
            <w:pPr>
              <w:jc w:val="center"/>
            </w:pPr>
            <w:r>
              <w:rPr>
                <w:color w:val="000000"/>
                <w:kern w:val="0"/>
                <w:sz w:val="24"/>
                <w:szCs w:val="24"/>
              </w:rPr>
              <w:t>双林生物</w:t>
            </w:r>
          </w:p>
        </w:tc>
        <w:tc>
          <w:tcPr>
            <w:vAlign w:val="center"/>
          </w:tcPr>
          <w:p>
            <w:pPr>
              <w:jc w:val="right"/>
            </w:pPr>
            <w:r>
              <w:rPr>
                <w:color w:val="000000"/>
                <w:kern w:val="0"/>
                <w:sz w:val="24"/>
                <w:szCs w:val="24"/>
              </w:rPr>
              <w:t>2,370,188</w:t>
            </w:r>
          </w:p>
        </w:tc>
        <w:tc>
          <w:tcPr>
            <w:vAlign w:val="center"/>
          </w:tcPr>
          <w:p>
            <w:pPr>
              <w:jc w:val="right"/>
            </w:pPr>
            <w:r>
              <w:rPr>
                <w:color w:val="000000"/>
                <w:kern w:val="0"/>
                <w:sz w:val="24"/>
                <w:szCs w:val="24"/>
              </w:rPr>
              <w:t>175,702,036.44</w:t>
            </w:r>
          </w:p>
        </w:tc>
        <w:tc>
          <w:tcPr>
            <w:vAlign w:val="center"/>
          </w:tcPr>
          <w:p>
            <w:pPr>
              <w:jc w:val="right"/>
            </w:pPr>
            <w:r>
              <w:rPr>
                <w:color w:val="000000"/>
                <w:kern w:val="0"/>
                <w:sz w:val="24"/>
                <w:szCs w:val="24"/>
              </w:rPr>
              <w:t>3.47</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603259</w:t>
            </w:r>
          </w:p>
        </w:tc>
        <w:tc>
          <w:tcPr>
            <w:vAlign w:val="center"/>
          </w:tcPr>
          <w:p>
            <w:pPr>
              <w:jc w:val="center"/>
            </w:pPr>
            <w:r>
              <w:rPr>
                <w:color w:val="000000"/>
                <w:kern w:val="0"/>
                <w:sz w:val="24"/>
                <w:szCs w:val="24"/>
              </w:rPr>
              <w:t>药明康德</w:t>
            </w:r>
          </w:p>
        </w:tc>
        <w:tc>
          <w:tcPr>
            <w:vAlign w:val="center"/>
          </w:tcPr>
          <w:p>
            <w:pPr>
              <w:jc w:val="right"/>
            </w:pPr>
            <w:r>
              <w:rPr>
                <w:color w:val="000000"/>
                <w:kern w:val="0"/>
                <w:sz w:val="24"/>
                <w:szCs w:val="24"/>
              </w:rPr>
              <w:t>1,702,499</w:t>
            </w:r>
          </w:p>
        </w:tc>
        <w:tc>
          <w:tcPr>
            <w:vAlign w:val="center"/>
          </w:tcPr>
          <w:p>
            <w:pPr>
              <w:jc w:val="right"/>
            </w:pPr>
            <w:r>
              <w:rPr>
                <w:color w:val="000000"/>
                <w:kern w:val="0"/>
                <w:sz w:val="24"/>
                <w:szCs w:val="24"/>
              </w:rPr>
              <w:t>164,461,403.40</w:t>
            </w:r>
          </w:p>
        </w:tc>
        <w:tc>
          <w:tcPr>
            <w:vAlign w:val="center"/>
          </w:tcPr>
          <w:p>
            <w:pPr>
              <w:jc w:val="right"/>
            </w:pPr>
            <w:r>
              <w:rPr>
                <w:color w:val="000000"/>
                <w:kern w:val="0"/>
                <w:sz w:val="24"/>
                <w:szCs w:val="24"/>
              </w:rPr>
              <w:t>3.25</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300628</w:t>
            </w:r>
          </w:p>
        </w:tc>
        <w:tc>
          <w:tcPr>
            <w:vAlign w:val="center"/>
          </w:tcPr>
          <w:p>
            <w:pPr>
              <w:jc w:val="center"/>
            </w:pPr>
            <w:r>
              <w:rPr>
                <w:color w:val="000000"/>
                <w:kern w:val="0"/>
                <w:sz w:val="24"/>
                <w:szCs w:val="24"/>
              </w:rPr>
              <w:t>亿联网络</w:t>
            </w:r>
          </w:p>
        </w:tc>
        <w:tc>
          <w:tcPr>
            <w:vAlign w:val="center"/>
          </w:tcPr>
          <w:p>
            <w:pPr>
              <w:jc w:val="right"/>
            </w:pPr>
            <w:r>
              <w:rPr>
                <w:color w:val="000000"/>
                <w:kern w:val="0"/>
                <w:sz w:val="24"/>
                <w:szCs w:val="24"/>
              </w:rPr>
              <w:t>1,821,278</w:t>
            </w:r>
          </w:p>
        </w:tc>
        <w:tc>
          <w:tcPr>
            <w:vAlign w:val="center"/>
          </w:tcPr>
          <w:p>
            <w:pPr>
              <w:jc w:val="right"/>
            </w:pPr>
            <w:r>
              <w:rPr>
                <w:color w:val="000000"/>
                <w:kern w:val="0"/>
                <w:sz w:val="24"/>
                <w:szCs w:val="24"/>
              </w:rPr>
              <w:t>124,320,436.28</w:t>
            </w:r>
          </w:p>
        </w:tc>
        <w:tc>
          <w:tcPr>
            <w:vAlign w:val="center"/>
          </w:tcPr>
          <w:p>
            <w:pPr>
              <w:jc w:val="right"/>
            </w:pPr>
            <w:r>
              <w:rPr>
                <w:color w:val="000000"/>
                <w:kern w:val="0"/>
                <w:sz w:val="24"/>
                <w:szCs w:val="24"/>
              </w:rPr>
              <w:t>2.46</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603890</w:t>
            </w:r>
          </w:p>
        </w:tc>
        <w:tc>
          <w:tcPr>
            <w:vAlign w:val="center"/>
          </w:tcPr>
          <w:p>
            <w:pPr>
              <w:jc w:val="center"/>
            </w:pPr>
            <w:r>
              <w:rPr>
                <w:color w:val="000000"/>
                <w:kern w:val="0"/>
                <w:sz w:val="24"/>
                <w:szCs w:val="24"/>
              </w:rPr>
              <w:t>春秋电子</w:t>
            </w:r>
          </w:p>
        </w:tc>
        <w:tc>
          <w:tcPr>
            <w:vAlign w:val="center"/>
          </w:tcPr>
          <w:p>
            <w:pPr>
              <w:jc w:val="right"/>
            </w:pPr>
            <w:r>
              <w:rPr>
                <w:color w:val="000000"/>
                <w:kern w:val="0"/>
                <w:sz w:val="24"/>
                <w:szCs w:val="24"/>
              </w:rPr>
              <w:t>6,712,321</w:t>
            </w:r>
          </w:p>
        </w:tc>
        <w:tc>
          <w:tcPr>
            <w:vAlign w:val="center"/>
          </w:tcPr>
          <w:p>
            <w:pPr>
              <w:jc w:val="right"/>
            </w:pPr>
            <w:r>
              <w:rPr>
                <w:color w:val="000000"/>
                <w:kern w:val="0"/>
                <w:sz w:val="24"/>
                <w:szCs w:val="24"/>
              </w:rPr>
              <w:t>120,620,408.37</w:t>
            </w:r>
          </w:p>
        </w:tc>
        <w:tc>
          <w:tcPr>
            <w:vAlign w:val="center"/>
          </w:tcPr>
          <w:p>
            <w:pPr>
              <w:jc w:val="right"/>
            </w:pPr>
            <w:r>
              <w:rPr>
                <w:color w:val="000000"/>
                <w:kern w:val="0"/>
                <w:sz w:val="24"/>
                <w:szCs w:val="24"/>
              </w:rPr>
              <w:t>2.38</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300078</w:t>
            </w:r>
          </w:p>
        </w:tc>
        <w:tc>
          <w:tcPr>
            <w:vAlign w:val="center"/>
          </w:tcPr>
          <w:p>
            <w:pPr>
              <w:jc w:val="center"/>
            </w:pPr>
            <w:r>
              <w:rPr>
                <w:color w:val="000000"/>
                <w:kern w:val="0"/>
                <w:sz w:val="24"/>
                <w:szCs w:val="24"/>
              </w:rPr>
              <w:t>思创医惠</w:t>
            </w:r>
          </w:p>
        </w:tc>
        <w:tc>
          <w:tcPr>
            <w:vAlign w:val="center"/>
          </w:tcPr>
          <w:p>
            <w:pPr>
              <w:jc w:val="right"/>
            </w:pPr>
            <w:r>
              <w:rPr>
                <w:color w:val="000000"/>
                <w:kern w:val="0"/>
                <w:sz w:val="24"/>
                <w:szCs w:val="24"/>
              </w:rPr>
              <w:t>8,900,000</w:t>
            </w:r>
          </w:p>
        </w:tc>
        <w:tc>
          <w:tcPr>
            <w:vAlign w:val="center"/>
          </w:tcPr>
          <w:p>
            <w:pPr>
              <w:jc w:val="right"/>
            </w:pPr>
            <w:r>
              <w:rPr>
                <w:color w:val="000000"/>
                <w:kern w:val="0"/>
                <w:sz w:val="24"/>
                <w:szCs w:val="24"/>
              </w:rPr>
              <w:t>120,417,000.00</w:t>
            </w:r>
          </w:p>
        </w:tc>
        <w:tc>
          <w:tcPr>
            <w:vAlign w:val="center"/>
          </w:tcPr>
          <w:p>
            <w:pPr>
              <w:jc w:val="right"/>
            </w:pPr>
            <w:r>
              <w:rPr>
                <w:color w:val="000000"/>
                <w:kern w:val="0"/>
                <w:sz w:val="24"/>
                <w:szCs w:val="24"/>
              </w:rPr>
              <w:t>2.38</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6,483,288.00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0.13</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6,483,288.00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0.13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113577</w:t>
            </w:r>
          </w:p>
        </w:tc>
        <w:tc>
          <w:tcPr>
            <w:vAlign w:val="center"/>
          </w:tcPr>
          <w:p>
            <w:pPr>
              <w:jc w:val="center"/>
            </w:pPr>
            <w:r>
              <w:rPr>
                <w:color w:val="000000"/>
                <w:kern w:val="0"/>
                <w:sz w:val="24"/>
                <w:szCs w:val="24"/>
              </w:rPr>
              <w:t>春秋转债</w:t>
            </w:r>
          </w:p>
        </w:tc>
        <w:tc>
          <w:tcPr>
            <w:vAlign w:val="center"/>
          </w:tcPr>
          <w:p>
            <w:pPr>
              <w:jc w:val="right"/>
            </w:pPr>
            <w:r>
              <w:rPr>
                <w:color w:val="000000"/>
                <w:kern w:val="0"/>
                <w:sz w:val="24"/>
                <w:szCs w:val="24"/>
              </w:rPr>
              <w:t>41,720</w:t>
            </w:r>
          </w:p>
        </w:tc>
        <w:tc>
          <w:tcPr>
            <w:vAlign w:val="center"/>
          </w:tcPr>
          <w:p>
            <w:pPr>
              <w:jc w:val="right"/>
            </w:pPr>
            <w:r>
              <w:rPr>
                <w:color w:val="000000"/>
                <w:kern w:val="0"/>
                <w:sz w:val="24"/>
                <w:szCs w:val="24"/>
              </w:rPr>
              <w:t>6,483,288.00</w:t>
            </w:r>
          </w:p>
        </w:tc>
        <w:tc>
          <w:tcPr>
            <w:vAlign w:val="center"/>
          </w:tcPr>
          <w:p>
            <w:pPr>
              <w:jc w:val="right"/>
            </w:pPr>
            <w:r>
              <w:rPr>
                <w:color w:val="000000"/>
                <w:kern w:val="0"/>
                <w:sz w:val="24"/>
                <w:szCs w:val="24"/>
              </w:rPr>
              <w:t>0.13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1,098,162.92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34,546.05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71,394,979.92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72,527,688.89</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750D48" w:rsidRPr="00264E55" w:rsidTr="00B05049">
        <w:tc>
          <w:tcPr>
            <w:tcW w:type="dxa" w:w="1083"/>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302"/>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股票代码</w:t>
            </w:r>
          </w:p>
        </w:tc>
        <w:tc>
          <w:tcPr>
            <w:tcW w:type="dxa" w:w="1301"/>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股票名称</w:t>
            </w:r>
          </w:p>
        </w:tc>
        <w:tc>
          <w:tcPr>
            <w:tcW w:type="dxa" w:w="180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流通受限部分的公允价值</w:t>
            </w:r>
            <w:r w:rsidR="005F7917" w:rsidRPr="00B227EA">
              <w:rPr>
                <w:color w:val="000000"/>
                <w:kern w:val="0"/>
                <w:sz w:val="24"/>
                <w:szCs w:val="24"/>
              </w:rPr>
              <w:t>（元）</w:t>
            </w:r>
          </w:p>
        </w:tc>
        <w:tc>
          <w:tcPr>
            <w:tcW w:type="dxa" w:w="165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c>
          <w:tcPr>
            <w:tcW w:type="dxa" w:w="1367"/>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流通受限情况说明</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300014</w:t>
            </w:r>
          </w:p>
        </w:tc>
        <w:tc>
          <w:tcPr>
            <w:vAlign w:val="center"/>
          </w:tcPr>
          <w:p>
            <w:pPr>
              <w:jc w:val="center"/>
            </w:pPr>
            <w:r>
              <w:rPr>
                <w:color w:val="000000"/>
                <w:kern w:val="0"/>
                <w:sz w:val="24"/>
                <w:szCs w:val="24"/>
              </w:rPr>
              <w:t>亿纬锂能</w:t>
            </w:r>
          </w:p>
        </w:tc>
        <w:tc>
          <w:tcPr>
            <w:vAlign w:val="center"/>
          </w:tcPr>
          <w:p>
            <w:pPr>
              <w:jc w:val="right"/>
            </w:pPr>
            <w:r>
              <w:rPr>
                <w:color w:val="000000"/>
                <w:kern w:val="0"/>
                <w:sz w:val="24"/>
                <w:szCs w:val="24"/>
              </w:rPr>
              <w:t>49,339,111.50</w:t>
            </w:r>
          </w:p>
        </w:tc>
        <w:tc>
          <w:tcPr>
            <w:vAlign w:val="center"/>
          </w:tcPr>
          <w:p>
            <w:pPr>
              <w:jc w:val="right"/>
            </w:pPr>
            <w:r>
              <w:rPr>
                <w:color w:val="000000"/>
                <w:kern w:val="0"/>
                <w:sz w:val="24"/>
                <w:szCs w:val="24"/>
              </w:rPr>
              <w:t>0.98</w:t>
            </w:r>
          </w:p>
        </w:tc>
        <w:tc>
          <w:tcPr>
            <w:vAlign w:val="center"/>
          </w:tcPr>
          <w:p>
            <w:pPr>
              <w:jc w:val="right"/>
            </w:pPr>
            <w:r>
              <w:rPr>
                <w:color w:val="000000"/>
                <w:kern w:val="0"/>
                <w:sz w:val="24"/>
                <w:szCs w:val="24"/>
              </w:rPr>
              <w:t>大宗交易流通受限</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300476</w:t>
            </w:r>
          </w:p>
        </w:tc>
        <w:tc>
          <w:tcPr>
            <w:vAlign w:val="center"/>
          </w:tcPr>
          <w:p>
            <w:pPr>
              <w:jc w:val="center"/>
            </w:pPr>
            <w:r>
              <w:rPr>
                <w:color w:val="000000"/>
                <w:kern w:val="0"/>
                <w:sz w:val="24"/>
                <w:szCs w:val="24"/>
              </w:rPr>
              <w:t>胜宏科技</w:t>
            </w:r>
          </w:p>
        </w:tc>
        <w:tc>
          <w:tcPr>
            <w:vAlign w:val="center"/>
          </w:tcPr>
          <w:p>
            <w:pPr>
              <w:jc w:val="right"/>
            </w:pPr>
            <w:r>
              <w:rPr>
                <w:color w:val="000000"/>
                <w:kern w:val="0"/>
                <w:sz w:val="24"/>
                <w:szCs w:val="24"/>
              </w:rPr>
              <w:t>26,772,766.37</w:t>
            </w:r>
          </w:p>
        </w:tc>
        <w:tc>
          <w:tcPr>
            <w:vAlign w:val="center"/>
          </w:tcPr>
          <w:p>
            <w:pPr>
              <w:jc w:val="right"/>
            </w:pPr>
            <w:r>
              <w:rPr>
                <w:color w:val="000000"/>
                <w:kern w:val="0"/>
                <w:sz w:val="24"/>
                <w:szCs w:val="24"/>
              </w:rPr>
              <w:t>0.53</w:t>
            </w:r>
          </w:p>
        </w:tc>
        <w:tc>
          <w:tcPr>
            <w:vAlign w:val="center"/>
          </w:tcPr>
          <w:p>
            <w:pPr>
              <w:jc w:val="right"/>
            </w:pPr>
            <w:r>
              <w:rPr>
                <w:color w:val="000000"/>
                <w:kern w:val="0"/>
                <w:sz w:val="24"/>
                <w:szCs w:val="24"/>
              </w:rPr>
              <w:t>大宗交易流通受限</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注：根据《深圳/上海证券交易所上市公司股东及董事、监事、高级管理人员减持股份实施细则》，大股东减持或者特定股东减持，采取大宗交易方式的，在任意连续90日内，减持股份的总数不得超过公司股份总数的2%；前款交易的受让方在受让后6个月内，不得转让所受让的股份。</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1,079,842,271.28</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254,202,096.03</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169,515,134.84</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1,164,529,232.47</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xml:space="preserve">本报告期内基金管理人未持有本基金份额。 </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本报告期内基金管理人未运用固有资金申购、赎回、买卖本基金份额。 </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1.科翔证券投资基金基金份额持有人大会决议生效公告；</w:t>
      </w:r>
    </w:p>
    <w:p>
      <w:pPr>
        <w:spacing w:line="360" w:lineRule="auto"/>
        <w:ind w:firstLine="480" w:firstLineChars="200"/>
        <w:rPr>
          <w:color w:val="000000"/>
          <w:sz w:val="24"/>
          <w:szCs w:val="24"/>
        </w:rPr>
      </w:pPr>
      <w:r>
        <w:rPr>
          <w:color w:val="000000"/>
          <w:sz w:val="24"/>
          <w:szCs w:val="24"/>
        </w:rPr>
        <w:t>2.中国证监会《关于核准科翔证券投资基金基金份额持有人大会有关转换基金运作方式决议的批复》（证监许可[2008]1221号）；</w:t>
      </w:r>
    </w:p>
    <w:p>
      <w:pPr>
        <w:spacing w:line="360" w:lineRule="auto"/>
        <w:ind w:firstLine="480" w:firstLineChars="200"/>
        <w:rPr>
          <w:color w:val="000000"/>
          <w:sz w:val="24"/>
          <w:szCs w:val="24"/>
        </w:rPr>
      </w:pPr>
      <w:r>
        <w:rPr>
          <w:color w:val="000000"/>
          <w:sz w:val="24"/>
          <w:szCs w:val="24"/>
        </w:rPr>
        <w:t>3.《易方达科翔混合型证券投资基金基金合同》；</w:t>
      </w:r>
    </w:p>
    <w:p>
      <w:pPr>
        <w:spacing w:line="360" w:lineRule="auto"/>
        <w:ind w:firstLine="480" w:firstLineChars="200"/>
        <w:rPr>
          <w:color w:val="000000"/>
          <w:sz w:val="24"/>
          <w:szCs w:val="24"/>
        </w:rPr>
      </w:pPr>
      <w:r>
        <w:rPr>
          <w:color w:val="000000"/>
          <w:sz w:val="24"/>
          <w:szCs w:val="24"/>
        </w:rPr>
        <w:t>4.《易方达科翔混合型证券投资基金托管协议》；</w:t>
      </w:r>
    </w:p>
    <w:p>
      <w:pPr>
        <w:spacing w:line="360" w:lineRule="auto"/>
        <w:ind w:firstLine="480" w:firstLineChars="200"/>
        <w:rPr>
          <w:color w:val="000000"/>
          <w:sz w:val="24"/>
          <w:szCs w:val="24"/>
        </w:rPr>
      </w:pPr>
      <w:r>
        <w:rPr>
          <w:color w:val="000000"/>
          <w:sz w:val="24"/>
          <w:szCs w:val="24"/>
        </w:rPr>
        <w:t>5.《易方达基金管理有限公司开放式基金业务规则》；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6.基金管理人业务资格批件和营业执照。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易方达科翔混合型证券投资基金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