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易方达科汇灵活配置混合型证券投资基金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交通银行股份有限公司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易方达科汇灵活配置混合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110012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110012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2008年10月9日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191,977,703.21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本基金通过投资于价值型股票和固定收益品种，追求基金资产的持续稳健增值。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本基金基于定量与定性相结合的宏观及市场分析，进行战术性资产配置，确定组合中股票、债券、货币市场工具及其他金融工具的比例，追求更高收益，回避市场风险。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沪深300价值指数收益率X60%+中债总指数收益率X40%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本基金是混合型基金，理论上其风险收益水平低于股票型基金，高于债券型基金和货币市场基金。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31,341,966.13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72,234,333.49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0.3678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379,194,868.57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1.975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3.本基金已于2008年11月7日对原基金科汇退市时的基金份额进行了拆分，基金拆分比例为1：1.032996474。</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22.82%</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0.35%</w:t>
            </w:r>
          </w:p>
        </w:tc>
        <w:tc>
          <w:tcPr>
            <w:vAlign w:val="center"/>
          </w:tcPr>
          <w:p>
            <w:pPr>
              <w:jc w:val="center"/>
            </w:pPr>
            <w:r>
              <w:rPr>
                <w:color w:val="000000"/>
                <w:kern w:val="0"/>
                <w:sz w:val="24"/>
                <w:szCs w:val="24"/>
              </w:rPr>
              <w:t>0.48%</w:t>
            </w:r>
          </w:p>
        </w:tc>
        <w:tc>
          <w:tcPr>
            <w:vAlign w:val="center"/>
          </w:tcPr>
          <w:p>
            <w:pPr>
              <w:jc w:val="center"/>
            </w:pPr>
            <w:r>
              <w:rPr>
                <w:color w:val="000000"/>
                <w:kern w:val="0"/>
                <w:sz w:val="24"/>
                <w:szCs w:val="24"/>
              </w:rPr>
              <w:t>22.47%</w:t>
            </w:r>
          </w:p>
        </w:tc>
        <w:tc>
          <w:tcPr>
            <w:vAlign w:val="center"/>
          </w:tcPr>
          <w:p>
            <w:pPr>
              <w:jc w:val="center"/>
            </w:pPr>
            <w:r>
              <w:rPr>
                <w:color w:val="000000"/>
                <w:kern w:val="0"/>
                <w:sz w:val="24"/>
                <w:szCs w:val="24"/>
              </w:rPr>
              <w:t>0.37%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23.10%</w:t>
            </w:r>
          </w:p>
        </w:tc>
        <w:tc>
          <w:tcPr>
            <w:vAlign w:val="center"/>
          </w:tcPr>
          <w:p>
            <w:pPr>
              <w:jc w:val="center"/>
            </w:pPr>
            <w:r>
              <w:rPr>
                <w:color w:val="000000"/>
                <w:kern w:val="0"/>
                <w:sz w:val="24"/>
                <w:szCs w:val="24"/>
              </w:rPr>
              <w:t>1.34%</w:t>
            </w:r>
          </w:p>
        </w:tc>
        <w:tc>
          <w:tcPr>
            <w:vAlign w:val="center"/>
          </w:tcPr>
          <w:p>
            <w:pPr>
              <w:jc w:val="center"/>
            </w:pPr>
            <w:r>
              <w:rPr>
                <w:color w:val="000000"/>
                <w:kern w:val="0"/>
                <w:sz w:val="24"/>
                <w:szCs w:val="24"/>
              </w:rPr>
              <w:t>-7.57%</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30.67%</w:t>
            </w:r>
          </w:p>
        </w:tc>
        <w:tc>
          <w:tcPr>
            <w:vAlign w:val="center"/>
          </w:tcPr>
          <w:p>
            <w:pPr>
              <w:jc w:val="center"/>
            </w:pPr>
            <w:r>
              <w:rPr>
                <w:color w:val="000000"/>
                <w:kern w:val="0"/>
                <w:sz w:val="24"/>
                <w:szCs w:val="24"/>
              </w:rPr>
              <w:t>0.53%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41.16%</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-5.74%</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46.90%</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46.17%</w:t>
            </w:r>
          </w:p>
        </w:tc>
        <w:tc>
          <w:tcPr>
            <w:vAlign w:val="center"/>
          </w:tcPr>
          <w:p>
            <w:pPr>
              <w:jc w:val="center"/>
            </w:pPr>
            <w:r>
              <w:rPr>
                <w:color w:val="000000"/>
                <w:kern w:val="0"/>
                <w:sz w:val="24"/>
                <w:szCs w:val="24"/>
              </w:rPr>
              <w:t>0.98%</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0.71%</w:t>
            </w:r>
          </w:p>
        </w:tc>
        <w:tc>
          <w:tcPr>
            <w:vAlign w:val="center"/>
          </w:tcPr>
          <w:p>
            <w:pPr>
              <w:jc w:val="center"/>
            </w:pPr>
            <w:r>
              <w:rPr>
                <w:color w:val="000000"/>
                <w:kern w:val="0"/>
                <w:sz w:val="24"/>
                <w:szCs w:val="24"/>
              </w:rPr>
              <w:t>45.00%</w:t>
            </w:r>
          </w:p>
        </w:tc>
        <w:tc>
          <w:tcPr>
            <w:vAlign w:val="center"/>
          </w:tcPr>
          <w:p>
            <w:pPr>
              <w:jc w:val="center"/>
            </w:pPr>
            <w:r>
              <w:rPr>
                <w:color w:val="000000"/>
                <w:kern w:val="0"/>
                <w:sz w:val="24"/>
                <w:szCs w:val="24"/>
              </w:rPr>
              <w:t>0.27%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10.21%</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-1.96%</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12.17%</w:t>
            </w:r>
          </w:p>
        </w:tc>
        <w:tc>
          <w:tcPr>
            <w:vAlign w:val="center"/>
          </w:tcPr>
          <w:p>
            <w:pPr>
              <w:jc w:val="center"/>
            </w:pPr>
            <w:r>
              <w:rPr>
                <w:color w:val="000000"/>
                <w:kern w:val="0"/>
                <w:sz w:val="24"/>
                <w:szCs w:val="24"/>
              </w:rPr>
              <w:t>0.58%</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263.16%</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65.39%</w:t>
            </w:r>
          </w:p>
        </w:tc>
        <w:tc>
          <w:tcPr>
            <w:vAlign w:val="center"/>
          </w:tcPr>
          <w:p>
            <w:pPr>
              <w:jc w:val="center"/>
            </w:pPr>
            <w:r>
              <w:rPr>
                <w:color w:val="000000"/>
                <w:kern w:val="0"/>
                <w:sz w:val="24"/>
                <w:szCs w:val="24"/>
              </w:rPr>
              <w:t>0.93%</w:t>
            </w:r>
          </w:p>
        </w:tc>
        <w:tc>
          <w:tcPr>
            <w:vAlign w:val="center"/>
          </w:tcPr>
          <w:p>
            <w:pPr>
              <w:jc w:val="center"/>
            </w:pPr>
            <w:r>
              <w:rPr>
                <w:color w:val="000000"/>
                <w:kern w:val="0"/>
                <w:sz w:val="24"/>
                <w:szCs w:val="24"/>
              </w:rPr>
              <w:t>197.77%</w:t>
            </w:r>
          </w:p>
        </w:tc>
        <w:tc>
          <w:tcPr>
            <w:vAlign w:val="center"/>
          </w:tcPr>
          <w:p>
            <w:pPr>
              <w:jc w:val="center"/>
            </w:pPr>
            <w:r>
              <w:rPr>
                <w:color w:val="000000"/>
                <w:kern w:val="0"/>
                <w:sz w:val="24"/>
                <w:szCs w:val="24"/>
              </w:rPr>
              <w:t>0.39%</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自基金转型以来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易方达科汇灵活配置混合型证券投资基金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2008年10月9日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注：1.本基金由原基金科汇于2008年10月9日转型而来。</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2.自基金转型至报告期末，基金份额净值增长率为263.16%，同期业绩比较基准收益率为65.39%。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杨嘉文</w:t>
            </w:r>
          </w:p>
        </w:tc>
        <w:tc>
          <w:tcPr>
            <w:vAlign w:val="center"/>
          </w:tcPr>
          <w:p>
            <w:pPr>
              <w:jc w:val="left"/>
            </w:pPr>
            <w:r>
              <w:rPr>
                <w:color w:val="000000"/>
                <w:sz w:val="24"/>
              </w:rPr>
              <w:t>本基金的基金经理、易方达科瑞灵活配置混合型证券投资基金的基金经理</w:t>
            </w:r>
          </w:p>
        </w:tc>
        <w:tc>
          <w:tcPr>
            <w:vAlign w:val="center"/>
          </w:tcPr>
          <w:p>
            <w:pPr>
              <w:jc w:val="center"/>
            </w:pPr>
            <w:r>
              <w:rPr>
                <w:color w:val="000000"/>
                <w:sz w:val="24"/>
              </w:rPr>
              <w:t>2019-11-28</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硕士研究生，具有基金从业资格。曾任大成基金管理有限公司研究部研究员，易方达基金管理有限公司行业研究员、易方达科瑞灵活配置混合型证券投资基金基金经理助理。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2020年第二季度A股主流的市场指数以上涨为主，其中沪深300指数上涨12.96%，上证50指数上涨9.40%，上证指数上涨8.52%，中证500上涨16.32%，而创业板指数涨幅最大，上涨了30.25%。</w:t>
      </w:r>
    </w:p>
    <w:p>
      <w:pPr>
        <w:spacing w:line="360" w:lineRule="auto"/>
        <w:ind w:firstLine="480" w:firstLineChars="200"/>
        <w:rPr>
          <w:color w:val="000000"/>
          <w:sz w:val="24"/>
          <w:szCs w:val="24"/>
        </w:rPr>
      </w:pPr>
      <w:r>
        <w:rPr>
          <w:color w:val="000000"/>
          <w:sz w:val="24"/>
          <w:szCs w:val="24"/>
        </w:rPr>
        <w:t>二季度全球疫情对经济增长的压制依然存在，海外各国经济增速出现断崖式下跌，大多创下2009年来新低水平；IMF下调全球经济增长预期，特别是发达国家经济增速下调幅度较大。海外货币宽松格局依然持续，新兴市场多国央行持续降息，美国联邦基金期货定价一度出现负利率预期，美联储开始购买公司债，近期放松沃尔克规则，允许银行资金进入市场等，包括欧央行也推出新的欧元体系回购工具，充裕的流动性为资本价格和实体经济稳定提供保障。同期，国内经济增速环比改善，主因基建和房地产投资支撑，而制造业投资、社零和出口增长依然承压，复工复产有序推进。粤港澳和海南等区域发展政策出台，专项债加速发行对基建投资构成支撑；房地产政策继续“因城施策”，地产投资维持韧性；地摊经济政策推出着力保证收入和就业。金融数据显著超预期，新增社融和新增贷款数据亮眼，宽货币和宽信用环境保证资本市场和实体经济融资的稳定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在2020年第二季度股票仓位稳定在70%以上。而根据对上述的宏观经济判断，在行业和个股上作出了一些调整。随着经济的复苏和流动性持续宽松，市场出现了结构性的机会，本基金从估值性价比角度筛选中长期有一定竞争力的标的进行增持，主要有食品饮料、计算机和电子等行业，同时减持银行、电气设备和商业贸易等行业。</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截至报告期末，本基金份额净值为1.975元，本报告期份额净值增长率为22.82%，同期业绩比较基准收益率为0.35%。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273,419,704.00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71.10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273,419,704.00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71.10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413,364.00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413,364.00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109,865,044.22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28.57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880,410.67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0.23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384,578,522.89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4,114,144.00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189,259,525.92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16,829,466.95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4.44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13,514,645.04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3.56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25,739,825.01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6.79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7,571,664.00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7,851,063.86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3,702,888.90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3,910,120.00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913,594.00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273,419,704.00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72.11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199,600</w:t>
            </w:r>
          </w:p>
        </w:tc>
        <w:tc>
          <w:tcPr>
            <w:vAlign w:val="center"/>
          </w:tcPr>
          <w:p>
            <w:pPr>
              <w:jc w:val="right"/>
            </w:pPr>
            <w:r>
              <w:rPr>
                <w:color w:val="000000"/>
                <w:kern w:val="0"/>
                <w:sz w:val="24"/>
                <w:szCs w:val="24"/>
              </w:rPr>
              <w:t>34,155,552.00</w:t>
            </w:r>
          </w:p>
        </w:tc>
        <w:tc>
          <w:tcPr>
            <w:vAlign w:val="center"/>
          </w:tcPr>
          <w:p>
            <w:pPr>
              <w:jc w:val="right"/>
            </w:pPr>
            <w:r>
              <w:rPr>
                <w:color w:val="000000"/>
                <w:kern w:val="0"/>
                <w:sz w:val="24"/>
                <w:szCs w:val="24"/>
              </w:rPr>
              <w:t>9.01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231,005</w:t>
            </w:r>
          </w:p>
        </w:tc>
        <w:tc>
          <w:tcPr>
            <w:vAlign w:val="center"/>
          </w:tcPr>
          <w:p>
            <w:pPr>
              <w:jc w:val="right"/>
            </w:pPr>
            <w:r>
              <w:rPr>
                <w:color w:val="000000"/>
                <w:kern w:val="0"/>
                <w:sz w:val="24"/>
                <w:szCs w:val="24"/>
              </w:rPr>
              <w:t>16,493,757.00</w:t>
            </w:r>
          </w:p>
        </w:tc>
        <w:tc>
          <w:tcPr>
            <w:vAlign w:val="center"/>
          </w:tcPr>
          <w:p>
            <w:pPr>
              <w:jc w:val="right"/>
            </w:pPr>
            <w:r>
              <w:rPr>
                <w:color w:val="000000"/>
                <w:kern w:val="0"/>
                <w:sz w:val="24"/>
                <w:szCs w:val="24"/>
              </w:rPr>
              <w:t>4.35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300119</w:t>
            </w:r>
          </w:p>
        </w:tc>
        <w:tc>
          <w:tcPr>
            <w:vAlign w:val="center"/>
          </w:tcPr>
          <w:p>
            <w:pPr>
              <w:jc w:val="center"/>
            </w:pPr>
            <w:r>
              <w:rPr>
                <w:color w:val="000000"/>
                <w:kern w:val="0"/>
                <w:sz w:val="24"/>
                <w:szCs w:val="24"/>
              </w:rPr>
              <w:t>瑞普生物</w:t>
            </w:r>
          </w:p>
        </w:tc>
        <w:tc>
          <w:tcPr>
            <w:vAlign w:val="center"/>
          </w:tcPr>
          <w:p>
            <w:pPr>
              <w:jc w:val="right"/>
            </w:pPr>
            <w:r>
              <w:rPr>
                <w:color w:val="000000"/>
                <w:kern w:val="0"/>
                <w:sz w:val="24"/>
                <w:szCs w:val="24"/>
              </w:rPr>
              <w:t>671,800</w:t>
            </w:r>
          </w:p>
        </w:tc>
        <w:tc>
          <w:tcPr>
            <w:vAlign w:val="center"/>
          </w:tcPr>
          <w:p>
            <w:pPr>
              <w:jc w:val="right"/>
            </w:pPr>
            <w:r>
              <w:rPr>
                <w:color w:val="000000"/>
                <w:kern w:val="0"/>
                <w:sz w:val="24"/>
                <w:szCs w:val="24"/>
              </w:rPr>
              <w:t>15,014,730.00</w:t>
            </w:r>
          </w:p>
        </w:tc>
        <w:tc>
          <w:tcPr>
            <w:vAlign w:val="center"/>
          </w:tcPr>
          <w:p>
            <w:pPr>
              <w:jc w:val="right"/>
            </w:pPr>
            <w:r>
              <w:rPr>
                <w:color w:val="000000"/>
                <w:kern w:val="0"/>
                <w:sz w:val="24"/>
                <w:szCs w:val="24"/>
              </w:rPr>
              <w:t>3.96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131,156</w:t>
            </w:r>
          </w:p>
        </w:tc>
        <w:tc>
          <w:tcPr>
            <w:vAlign w:val="center"/>
          </w:tcPr>
          <w:p>
            <w:pPr>
              <w:jc w:val="right"/>
            </w:pPr>
            <w:r>
              <w:rPr>
                <w:color w:val="000000"/>
                <w:kern w:val="0"/>
                <w:sz w:val="24"/>
                <w:szCs w:val="24"/>
              </w:rPr>
              <w:t>12,105,698.80</w:t>
            </w:r>
          </w:p>
        </w:tc>
        <w:tc>
          <w:tcPr>
            <w:vAlign w:val="center"/>
          </w:tcPr>
          <w:p>
            <w:pPr>
              <w:jc w:val="right"/>
            </w:pPr>
            <w:r>
              <w:rPr>
                <w:color w:val="000000"/>
                <w:kern w:val="0"/>
                <w:sz w:val="24"/>
                <w:szCs w:val="24"/>
              </w:rPr>
              <w:t>3.19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002419</w:t>
            </w:r>
          </w:p>
        </w:tc>
        <w:tc>
          <w:tcPr>
            <w:vAlign w:val="center"/>
          </w:tcPr>
          <w:p>
            <w:pPr>
              <w:jc w:val="center"/>
            </w:pPr>
            <w:r>
              <w:rPr>
                <w:color w:val="000000"/>
                <w:kern w:val="0"/>
                <w:sz w:val="24"/>
                <w:szCs w:val="24"/>
              </w:rPr>
              <w:t>天虹股份</w:t>
            </w:r>
          </w:p>
        </w:tc>
        <w:tc>
          <w:tcPr>
            <w:vAlign w:val="center"/>
          </w:tcPr>
          <w:p>
            <w:pPr>
              <w:jc w:val="right"/>
            </w:pPr>
            <w:r>
              <w:rPr>
                <w:color w:val="000000"/>
                <w:kern w:val="0"/>
                <w:sz w:val="24"/>
                <w:szCs w:val="24"/>
              </w:rPr>
              <w:t>1,094,549</w:t>
            </w:r>
          </w:p>
        </w:tc>
        <w:tc>
          <w:tcPr>
            <w:vAlign w:val="center"/>
          </w:tcPr>
          <w:p>
            <w:pPr>
              <w:jc w:val="right"/>
            </w:pPr>
            <w:r>
              <w:rPr>
                <w:color w:val="000000"/>
                <w:kern w:val="0"/>
                <w:sz w:val="24"/>
                <w:szCs w:val="24"/>
              </w:rPr>
              <w:t>10,452,942.95</w:t>
            </w:r>
          </w:p>
        </w:tc>
        <w:tc>
          <w:tcPr>
            <w:vAlign w:val="center"/>
          </w:tcPr>
          <w:p>
            <w:pPr>
              <w:jc w:val="right"/>
            </w:pPr>
            <w:r>
              <w:rPr>
                <w:color w:val="000000"/>
                <w:kern w:val="0"/>
                <w:sz w:val="24"/>
                <w:szCs w:val="24"/>
              </w:rPr>
              <w:t>2.76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176,940</w:t>
            </w:r>
          </w:p>
        </w:tc>
        <w:tc>
          <w:tcPr>
            <w:vAlign w:val="center"/>
          </w:tcPr>
          <w:p>
            <w:pPr>
              <w:jc w:val="right"/>
            </w:pPr>
            <w:r>
              <w:rPr>
                <w:color w:val="000000"/>
                <w:kern w:val="0"/>
                <w:sz w:val="24"/>
                <w:szCs w:val="24"/>
              </w:rPr>
              <w:t>10,009,495.80</w:t>
            </w:r>
          </w:p>
        </w:tc>
        <w:tc>
          <w:tcPr>
            <w:vAlign w:val="center"/>
          </w:tcPr>
          <w:p>
            <w:pPr>
              <w:jc w:val="right"/>
            </w:pPr>
            <w:r>
              <w:rPr>
                <w:color w:val="000000"/>
                <w:kern w:val="0"/>
                <w:sz w:val="24"/>
                <w:szCs w:val="24"/>
              </w:rPr>
              <w:t>2.64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603378</w:t>
            </w:r>
          </w:p>
        </w:tc>
        <w:tc>
          <w:tcPr>
            <w:vAlign w:val="center"/>
          </w:tcPr>
          <w:p>
            <w:pPr>
              <w:jc w:val="center"/>
            </w:pPr>
            <w:r>
              <w:rPr>
                <w:color w:val="000000"/>
                <w:kern w:val="0"/>
                <w:sz w:val="24"/>
                <w:szCs w:val="24"/>
              </w:rPr>
              <w:t>亚士创能</w:t>
            </w:r>
          </w:p>
        </w:tc>
        <w:tc>
          <w:tcPr>
            <w:vAlign w:val="center"/>
          </w:tcPr>
          <w:p>
            <w:pPr>
              <w:jc w:val="right"/>
            </w:pPr>
            <w:r>
              <w:rPr>
                <w:color w:val="000000"/>
                <w:kern w:val="0"/>
                <w:sz w:val="24"/>
                <w:szCs w:val="24"/>
              </w:rPr>
              <w:t>221,000</w:t>
            </w:r>
          </w:p>
        </w:tc>
        <w:tc>
          <w:tcPr>
            <w:vAlign w:val="center"/>
          </w:tcPr>
          <w:p>
            <w:pPr>
              <w:jc w:val="right"/>
            </w:pPr>
            <w:r>
              <w:rPr>
                <w:color w:val="000000"/>
                <w:kern w:val="0"/>
                <w:sz w:val="24"/>
                <w:szCs w:val="24"/>
              </w:rPr>
              <w:t>9,668,750.00</w:t>
            </w:r>
          </w:p>
        </w:tc>
        <w:tc>
          <w:tcPr>
            <w:vAlign w:val="center"/>
          </w:tcPr>
          <w:p>
            <w:pPr>
              <w:jc w:val="right"/>
            </w:pPr>
            <w:r>
              <w:rPr>
                <w:color w:val="000000"/>
                <w:kern w:val="0"/>
                <w:sz w:val="24"/>
                <w:szCs w:val="24"/>
              </w:rPr>
              <w:t>2.55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002142</w:t>
            </w:r>
          </w:p>
        </w:tc>
        <w:tc>
          <w:tcPr>
            <w:vAlign w:val="center"/>
          </w:tcPr>
          <w:p>
            <w:pPr>
              <w:jc w:val="center"/>
            </w:pPr>
            <w:r>
              <w:rPr>
                <w:color w:val="000000"/>
                <w:kern w:val="0"/>
                <w:sz w:val="24"/>
                <w:szCs w:val="24"/>
              </w:rPr>
              <w:t>宁波银行</w:t>
            </w:r>
          </w:p>
        </w:tc>
        <w:tc>
          <w:tcPr>
            <w:vAlign w:val="center"/>
          </w:tcPr>
          <w:p>
            <w:pPr>
              <w:jc w:val="right"/>
            </w:pPr>
            <w:r>
              <w:rPr>
                <w:color w:val="000000"/>
                <w:kern w:val="0"/>
                <w:sz w:val="24"/>
                <w:szCs w:val="24"/>
              </w:rPr>
              <w:t>351,963</w:t>
            </w:r>
          </w:p>
        </w:tc>
        <w:tc>
          <w:tcPr>
            <w:vAlign w:val="center"/>
          </w:tcPr>
          <w:p>
            <w:pPr>
              <w:jc w:val="right"/>
            </w:pPr>
            <w:r>
              <w:rPr>
                <w:color w:val="000000"/>
                <w:kern w:val="0"/>
                <w:sz w:val="24"/>
                <w:szCs w:val="24"/>
              </w:rPr>
              <w:t>9,246,068.01</w:t>
            </w:r>
          </w:p>
        </w:tc>
        <w:tc>
          <w:tcPr>
            <w:vAlign w:val="center"/>
          </w:tcPr>
          <w:p>
            <w:pPr>
              <w:jc w:val="right"/>
            </w:pPr>
            <w:r>
              <w:rPr>
                <w:color w:val="000000"/>
                <w:kern w:val="0"/>
                <w:sz w:val="24"/>
                <w:szCs w:val="24"/>
              </w:rPr>
              <w:t>2.44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002106</w:t>
            </w:r>
          </w:p>
        </w:tc>
        <w:tc>
          <w:tcPr>
            <w:vAlign w:val="center"/>
          </w:tcPr>
          <w:p>
            <w:pPr>
              <w:jc w:val="center"/>
            </w:pPr>
            <w:r>
              <w:rPr>
                <w:color w:val="000000"/>
                <w:kern w:val="0"/>
                <w:sz w:val="24"/>
                <w:szCs w:val="24"/>
              </w:rPr>
              <w:t>莱宝高科</w:t>
            </w:r>
          </w:p>
        </w:tc>
        <w:tc>
          <w:tcPr>
            <w:vAlign w:val="center"/>
          </w:tcPr>
          <w:p>
            <w:pPr>
              <w:jc w:val="right"/>
            </w:pPr>
            <w:r>
              <w:rPr>
                <w:color w:val="000000"/>
                <w:kern w:val="0"/>
                <w:sz w:val="24"/>
                <w:szCs w:val="24"/>
              </w:rPr>
              <w:t>690,100</w:t>
            </w:r>
          </w:p>
        </w:tc>
        <w:tc>
          <w:tcPr>
            <w:vAlign w:val="center"/>
          </w:tcPr>
          <w:p>
            <w:pPr>
              <w:jc w:val="right"/>
            </w:pPr>
            <w:r>
              <w:rPr>
                <w:color w:val="000000"/>
                <w:kern w:val="0"/>
                <w:sz w:val="24"/>
                <w:szCs w:val="24"/>
              </w:rPr>
              <w:t>9,067,914.00</w:t>
            </w:r>
          </w:p>
        </w:tc>
        <w:tc>
          <w:tcPr>
            <w:vAlign w:val="center"/>
          </w:tcPr>
          <w:p>
            <w:pPr>
              <w:jc w:val="right"/>
            </w:pPr>
            <w:r>
              <w:rPr>
                <w:color w:val="000000"/>
                <w:kern w:val="0"/>
                <w:sz w:val="24"/>
                <w:szCs w:val="24"/>
              </w:rPr>
              <w:t>2.39</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000902</w:t>
            </w:r>
          </w:p>
        </w:tc>
        <w:tc>
          <w:tcPr>
            <w:vAlign w:val="center"/>
          </w:tcPr>
          <w:p>
            <w:pPr>
              <w:jc w:val="center"/>
            </w:pPr>
            <w:r>
              <w:rPr>
                <w:color w:val="000000"/>
                <w:kern w:val="0"/>
                <w:sz w:val="24"/>
                <w:szCs w:val="24"/>
              </w:rPr>
              <w:t>新洋丰</w:t>
            </w:r>
          </w:p>
        </w:tc>
        <w:tc>
          <w:tcPr>
            <w:vAlign w:val="center"/>
          </w:tcPr>
          <w:p>
            <w:pPr>
              <w:jc w:val="right"/>
            </w:pPr>
            <w:r>
              <w:rPr>
                <w:color w:val="000000"/>
                <w:kern w:val="0"/>
                <w:sz w:val="24"/>
                <w:szCs w:val="24"/>
              </w:rPr>
              <w:t>921,700</w:t>
            </w:r>
          </w:p>
        </w:tc>
        <w:tc>
          <w:tcPr>
            <w:vAlign w:val="center"/>
          </w:tcPr>
          <w:p>
            <w:pPr>
              <w:jc w:val="right"/>
            </w:pPr>
            <w:r>
              <w:rPr>
                <w:color w:val="000000"/>
                <w:kern w:val="0"/>
                <w:sz w:val="24"/>
                <w:szCs w:val="24"/>
              </w:rPr>
              <w:t>8,147,828.00</w:t>
            </w:r>
          </w:p>
        </w:tc>
        <w:tc>
          <w:tcPr>
            <w:vAlign w:val="center"/>
          </w:tcPr>
          <w:p>
            <w:pPr>
              <w:jc w:val="right"/>
            </w:pPr>
            <w:r>
              <w:rPr>
                <w:color w:val="000000"/>
                <w:kern w:val="0"/>
                <w:sz w:val="24"/>
                <w:szCs w:val="24"/>
              </w:rPr>
              <w:t>2.15</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413,364.00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413,364.00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113577</w:t>
            </w:r>
          </w:p>
        </w:tc>
        <w:tc>
          <w:tcPr>
            <w:vAlign w:val="center"/>
          </w:tcPr>
          <w:p>
            <w:pPr>
              <w:jc w:val="center"/>
            </w:pPr>
            <w:r>
              <w:rPr>
                <w:color w:val="000000"/>
                <w:kern w:val="0"/>
                <w:sz w:val="24"/>
                <w:szCs w:val="24"/>
              </w:rPr>
              <w:t>春秋转债</w:t>
            </w:r>
          </w:p>
        </w:tc>
        <w:tc>
          <w:tcPr>
            <w:vAlign w:val="center"/>
          </w:tcPr>
          <w:p>
            <w:pPr>
              <w:jc w:val="right"/>
            </w:pPr>
            <w:r>
              <w:rPr>
                <w:color w:val="000000"/>
                <w:kern w:val="0"/>
                <w:sz w:val="24"/>
                <w:szCs w:val="24"/>
              </w:rPr>
              <w:t>2,660</w:t>
            </w:r>
          </w:p>
        </w:tc>
        <w:tc>
          <w:tcPr>
            <w:vAlign w:val="center"/>
          </w:tcPr>
          <w:p>
            <w:pPr>
              <w:jc w:val="right"/>
            </w:pPr>
            <w:r>
              <w:rPr>
                <w:color w:val="000000"/>
                <w:kern w:val="0"/>
                <w:sz w:val="24"/>
                <w:szCs w:val="24"/>
              </w:rPr>
              <w:t>413,364.00</w:t>
            </w:r>
          </w:p>
        </w:tc>
        <w:tc>
          <w:tcPr>
            <w:vAlign w:val="center"/>
          </w:tcPr>
          <w:p>
            <w:pPr>
              <w:jc w:val="right"/>
            </w:pPr>
            <w:r>
              <w:rPr>
                <w:color w:val="000000"/>
                <w:kern w:val="0"/>
                <w:sz w:val="24"/>
                <w:szCs w:val="24"/>
              </w:rPr>
              <w:t>0.11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2019年12月5日，宁波银保监局对宁波银行作出“罚款人民币40万元，并责令该行对相关直接责任人给予纪律处分”的行政处罚。违法违规事由：设立时点性规模考核指标，股权质押管理不合规。</w:t>
      </w:r>
    </w:p>
    <w:p>
      <w:pPr>
        <w:spacing w:line="360" w:lineRule="auto"/>
        <w:rPr>
          <w:rFonts w:ascii="宋体" w:hAnsi="宋体"/>
          <w:color w:val="000000"/>
          <w:sz w:val="24"/>
          <w:szCs w:val="24"/>
        </w:rPr>
      </w:pPr>
      <w:r>
        <w:rPr>
          <w:rFonts w:ascii="宋体" w:hAnsi="宋体"/>
          <w:color w:val="000000"/>
          <w:sz w:val="24"/>
          <w:szCs w:val="24"/>
        </w:rPr>
        <w:t>本基金投资格力电器、宁波银行的投资决策程序符合公司投资制度的规定。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除格力电器、宁波银行外，本基金投资的前十名证券的发行主体本期没有出现被监管部门立案调查，或在报告编制日前一年内受到公开谴责、处罚的情形。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150,412.19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34,604.17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20,462.56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674,931.75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880,410.67</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199,342,833.29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11,725,486.67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19,090,616.75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191,977,703.21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1.科汇证券投资基金基金份额持有人大会决议生效公告；</w:t>
      </w:r>
    </w:p>
    <w:p>
      <w:pPr>
        <w:spacing w:line="360" w:lineRule="auto"/>
        <w:ind w:firstLine="480" w:firstLineChars="200"/>
        <w:rPr>
          <w:color w:val="000000"/>
          <w:sz w:val="24"/>
          <w:szCs w:val="24"/>
        </w:rPr>
      </w:pPr>
      <w:r>
        <w:rPr>
          <w:color w:val="000000"/>
          <w:sz w:val="24"/>
          <w:szCs w:val="24"/>
        </w:rPr>
        <w:t>2.中国证监会《关于核准科汇证券投资基金基金份额持有人大会有关转换基金运作方式决议的批复》（证监许可[2008]1140号）；</w:t>
      </w:r>
    </w:p>
    <w:p>
      <w:pPr>
        <w:spacing w:line="360" w:lineRule="auto"/>
        <w:ind w:firstLine="480" w:firstLineChars="200"/>
        <w:rPr>
          <w:color w:val="000000"/>
          <w:sz w:val="24"/>
          <w:szCs w:val="24"/>
        </w:rPr>
      </w:pPr>
      <w:r>
        <w:rPr>
          <w:color w:val="000000"/>
          <w:sz w:val="24"/>
          <w:szCs w:val="24"/>
        </w:rPr>
        <w:t>3.《易方达科汇灵活配置混合型证券投资基金基金合同》；</w:t>
      </w:r>
    </w:p>
    <w:p>
      <w:pPr>
        <w:spacing w:line="360" w:lineRule="auto"/>
        <w:ind w:firstLine="480" w:firstLineChars="200"/>
        <w:rPr>
          <w:color w:val="000000"/>
          <w:sz w:val="24"/>
          <w:szCs w:val="24"/>
        </w:rPr>
      </w:pPr>
      <w:r>
        <w:rPr>
          <w:color w:val="000000"/>
          <w:sz w:val="24"/>
          <w:szCs w:val="24"/>
        </w:rPr>
        <w:t>4.《易方达科汇灵活配置混合型证券投资基金托管协议》；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易方达科汇灵活配置混合型证券投资基金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