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易方达中小盘混合型证券投资基金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易方达中小盘混合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110011</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110011</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2008年6月19日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3,160,109,122.14</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通过投资具有竞争优势和较高成长性的中小盘股票，力求在有效控制风险的前提下，谋求基金资产的长期增值。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进行战术性资产配置，确定组合中股票、债券、货币市场工具及其他金融工具的比例，追求更高收益，回避市场风险。在股票资产方面，本基金采取“自下而上”的策略，投资具有良好治理结构、在细分行业具有竞争优势以及有较高成长性的中小盘股票。</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45%×天相中盘指数收益率+35%×天相小盘指数收益率+20%×中债总指数收益率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本基金是混合基金，理论上其风险收益水平高于债券基金和货币市场基金，低于股票基金。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1,069,482,699.82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4,133,082,643.38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1.3385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19,151,517,482.95</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6.0604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28.19%</w:t>
            </w:r>
          </w:p>
        </w:tc>
        <w:tc>
          <w:tcPr>
            <w:vAlign w:val="center"/>
          </w:tcPr>
          <w:p>
            <w:pPr>
              <w:jc w:val="center"/>
            </w:pPr>
            <w:r>
              <w:rPr>
                <w:color w:val="000000"/>
                <w:kern w:val="0"/>
                <w:sz w:val="24"/>
                <w:szCs w:val="24"/>
              </w:rPr>
              <w:t>1.21%</w:t>
            </w:r>
          </w:p>
        </w:tc>
        <w:tc>
          <w:tcPr>
            <w:vAlign w:val="center"/>
          </w:tcPr>
          <w:p>
            <w:pPr>
              <w:jc w:val="center"/>
            </w:pPr>
            <w:r>
              <w:rPr>
                <w:color w:val="000000"/>
                <w:kern w:val="0"/>
                <w:sz w:val="24"/>
                <w:szCs w:val="24"/>
              </w:rPr>
              <w:t>11.55%</w:t>
            </w:r>
          </w:p>
        </w:tc>
        <w:tc>
          <w:tcPr>
            <w:vAlign w:val="center"/>
          </w:tcPr>
          <w:p>
            <w:pPr>
              <w:jc w:val="center"/>
            </w:pPr>
            <w:r>
              <w:rPr>
                <w:color w:val="000000"/>
                <w:kern w:val="0"/>
                <w:sz w:val="24"/>
                <w:szCs w:val="24"/>
              </w:rPr>
              <w:t>0.82%</w:t>
            </w:r>
          </w:p>
        </w:tc>
        <w:tc>
          <w:tcPr>
            <w:vAlign w:val="center"/>
          </w:tcPr>
          <w:p>
            <w:pPr>
              <w:jc w:val="center"/>
            </w:pPr>
            <w:r>
              <w:rPr>
                <w:color w:val="000000"/>
                <w:kern w:val="0"/>
                <w:sz w:val="24"/>
                <w:szCs w:val="24"/>
              </w:rPr>
              <w:t>16.64%</w:t>
            </w:r>
          </w:p>
        </w:tc>
        <w:tc>
          <w:tcPr>
            <w:vAlign w:val="center"/>
          </w:tcPr>
          <w:p>
            <w:pPr>
              <w:jc w:val="center"/>
            </w:pPr>
            <w:r>
              <w:rPr>
                <w:color w:val="000000"/>
                <w:kern w:val="0"/>
                <w:sz w:val="24"/>
                <w:szCs w:val="24"/>
              </w:rPr>
              <w:t>0.39%</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22.17%</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7.15%</w:t>
            </w:r>
          </w:p>
        </w:tc>
        <w:tc>
          <w:tcPr>
            <w:vAlign w:val="center"/>
          </w:tcPr>
          <w:p>
            <w:pPr>
              <w:jc w:val="center"/>
            </w:pPr>
            <w:r>
              <w:rPr>
                <w:color w:val="000000"/>
                <w:kern w:val="0"/>
                <w:sz w:val="24"/>
                <w:szCs w:val="24"/>
              </w:rPr>
              <w:t>1.33%</w:t>
            </w:r>
          </w:p>
        </w:tc>
        <w:tc>
          <w:tcPr>
            <w:vAlign w:val="center"/>
          </w:tcPr>
          <w:p>
            <w:pPr>
              <w:jc w:val="center"/>
            </w:pPr>
            <w:r>
              <w:rPr>
                <w:color w:val="000000"/>
                <w:kern w:val="0"/>
                <w:sz w:val="24"/>
                <w:szCs w:val="24"/>
              </w:rPr>
              <w:t>15.02%</w:t>
            </w:r>
          </w:p>
        </w:tc>
        <w:tc>
          <w:tcPr>
            <w:vAlign w:val="center"/>
          </w:tcPr>
          <w:p>
            <w:pPr>
              <w:jc w:val="center"/>
            </w:pPr>
            <w:r>
              <w:rPr>
                <w:color w:val="000000"/>
                <w:kern w:val="0"/>
                <w:sz w:val="24"/>
                <w:szCs w:val="24"/>
              </w:rPr>
              <w:t>0.34%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34.15%</w:t>
            </w:r>
          </w:p>
        </w:tc>
        <w:tc>
          <w:tcPr>
            <w:vAlign w:val="center"/>
          </w:tcPr>
          <w:p>
            <w:pPr>
              <w:jc w:val="center"/>
            </w:pPr>
            <w:r>
              <w:rPr>
                <w:color w:val="000000"/>
                <w:kern w:val="0"/>
                <w:sz w:val="24"/>
                <w:szCs w:val="24"/>
              </w:rPr>
              <w:t>1.40%</w:t>
            </w:r>
          </w:p>
        </w:tc>
        <w:tc>
          <w:tcPr>
            <w:vAlign w:val="center"/>
          </w:tcPr>
          <w:p>
            <w:pPr>
              <w:jc w:val="center"/>
            </w:pPr>
            <w:r>
              <w:rPr>
                <w:color w:val="000000"/>
                <w:kern w:val="0"/>
                <w:sz w:val="24"/>
                <w:szCs w:val="24"/>
              </w:rPr>
              <w:t>13.29%</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20.86%</w:t>
            </w:r>
          </w:p>
        </w:tc>
        <w:tc>
          <w:tcPr>
            <w:vAlign w:val="center"/>
          </w:tcPr>
          <w:p>
            <w:pPr>
              <w:jc w:val="center"/>
            </w:pPr>
            <w:r>
              <w:rPr>
                <w:color w:val="000000"/>
                <w:kern w:val="0"/>
                <w:sz w:val="24"/>
                <w:szCs w:val="24"/>
              </w:rPr>
              <w:t>0.32%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99.78%</w:t>
            </w:r>
          </w:p>
        </w:tc>
        <w:tc>
          <w:tcPr>
            <w:vAlign w:val="center"/>
          </w:tcPr>
          <w:p>
            <w:pPr>
              <w:jc w:val="center"/>
            </w:pPr>
            <w:r>
              <w:rPr>
                <w:color w:val="000000"/>
                <w:kern w:val="0"/>
                <w:sz w:val="24"/>
                <w:szCs w:val="24"/>
              </w:rPr>
              <w:t>1.50%</w:t>
            </w:r>
          </w:p>
        </w:tc>
        <w:tc>
          <w:tcPr>
            <w:vAlign w:val="center"/>
          </w:tcPr>
          <w:p>
            <w:pPr>
              <w:jc w:val="center"/>
            </w:pPr>
            <w:r>
              <w:rPr>
                <w:color w:val="000000"/>
                <w:kern w:val="0"/>
                <w:sz w:val="24"/>
                <w:szCs w:val="24"/>
              </w:rPr>
              <w:t>-0.02%</w:t>
            </w:r>
          </w:p>
        </w:tc>
        <w:tc>
          <w:tcPr>
            <w:vAlign w:val="center"/>
          </w:tcPr>
          <w:p>
            <w:pPr>
              <w:jc w:val="center"/>
            </w:pPr>
            <w:r>
              <w:rPr>
                <w:color w:val="000000"/>
                <w:kern w:val="0"/>
                <w:sz w:val="24"/>
                <w:szCs w:val="24"/>
              </w:rPr>
              <w:t>1.08%</w:t>
            </w:r>
          </w:p>
        </w:tc>
        <w:tc>
          <w:tcPr>
            <w:vAlign w:val="center"/>
          </w:tcPr>
          <w:p>
            <w:pPr>
              <w:jc w:val="center"/>
            </w:pPr>
            <w:r>
              <w:rPr>
                <w:color w:val="000000"/>
                <w:kern w:val="0"/>
                <w:sz w:val="24"/>
                <w:szCs w:val="24"/>
              </w:rPr>
              <w:t>99.80%</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151.35%</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-21.72%</w:t>
            </w:r>
          </w:p>
        </w:tc>
        <w:tc>
          <w:tcPr>
            <w:vAlign w:val="center"/>
          </w:tcPr>
          <w:p>
            <w:pPr>
              <w:jc w:val="center"/>
            </w:pPr>
            <w:r>
              <w:rPr>
                <w:color w:val="000000"/>
                <w:kern w:val="0"/>
                <w:sz w:val="24"/>
                <w:szCs w:val="24"/>
              </w:rPr>
              <w:t>1.31%</w:t>
            </w:r>
          </w:p>
        </w:tc>
        <w:tc>
          <w:tcPr>
            <w:vAlign w:val="center"/>
          </w:tcPr>
          <w:p>
            <w:pPr>
              <w:jc w:val="center"/>
            </w:pPr>
            <w:r>
              <w:rPr>
                <w:color w:val="000000"/>
                <w:kern w:val="0"/>
                <w:sz w:val="24"/>
                <w:szCs w:val="24"/>
              </w:rPr>
              <w:t>173.07%</w:t>
            </w:r>
          </w:p>
        </w:tc>
        <w:tc>
          <w:tcPr>
            <w:vAlign w:val="center"/>
          </w:tcPr>
          <w:p>
            <w:pPr>
              <w:jc w:val="center"/>
            </w:pPr>
            <w:r>
              <w:rPr>
                <w:color w:val="000000"/>
                <w:kern w:val="0"/>
                <w:sz w:val="24"/>
                <w:szCs w:val="24"/>
              </w:rPr>
              <w:t>0.21%</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661.08%</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57.23%</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603.85%</w:t>
            </w:r>
          </w:p>
        </w:tc>
        <w:tc>
          <w:tcPr>
            <w:vAlign w:val="center"/>
          </w:tcPr>
          <w:p>
            <w:pPr>
              <w:jc w:val="center"/>
            </w:pPr>
            <w:r>
              <w:rPr>
                <w:color w:val="000000"/>
                <w:kern w:val="0"/>
                <w:sz w:val="24"/>
                <w:szCs w:val="24"/>
              </w:rPr>
              <w:t>0.07%</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易方达中小盘混合型证券投资基金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2008年6月19日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注：自基金合同生效至报告期末，基金份额净值增长率为661.08%，同期业绩比较基准收益率为57.23%。</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张坤</w:t>
            </w:r>
          </w:p>
        </w:tc>
        <w:tc>
          <w:tcPr>
            <w:vAlign w:val="center"/>
          </w:tcPr>
          <w:p>
            <w:pPr>
              <w:jc w:val="left"/>
            </w:pPr>
            <w:r>
              <w:rPr>
                <w:color w:val="000000"/>
                <w:sz w:val="24"/>
              </w:rPr>
              <w:t>本基金的基金经理、易方达亚洲精选股票型证券投资基金的基金经理、易方达新丝路灵活配置混合型证券投资基金的基金经理、易方达蓝筹精选混合型证券投资基金的基金经理、易方达优质企业三年持有期混合型证券投资基金的基金经理、副总经理级高级管理人员</w:t>
            </w:r>
          </w:p>
        </w:tc>
        <w:tc>
          <w:tcPr>
            <w:vAlign w:val="center"/>
          </w:tcPr>
          <w:p>
            <w:pPr>
              <w:jc w:val="center"/>
            </w:pPr>
            <w:r>
              <w:rPr>
                <w:color w:val="000000"/>
                <w:sz w:val="24"/>
              </w:rPr>
              <w:t>2012-09-28</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硕士研究生，具有基金从业资格。曾任易方达基金管理有限公司行业研究员、基金经理助理、研究部总经理助理。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2020年二季度，A股市场普遍上涨，沪深300指数上涨12.96%，上证指数上涨8.52%，创业板指数上涨30.25%。</w:t>
      </w:r>
    </w:p>
    <w:p>
      <w:pPr>
        <w:spacing w:line="360" w:lineRule="auto"/>
        <w:ind w:firstLine="480" w:firstLineChars="200"/>
        <w:rPr>
          <w:color w:val="000000"/>
          <w:sz w:val="24"/>
          <w:szCs w:val="24"/>
        </w:rPr>
      </w:pPr>
      <w:r>
        <w:rPr>
          <w:color w:val="000000"/>
          <w:sz w:val="24"/>
          <w:szCs w:val="24"/>
        </w:rPr>
        <w:t>二季度，新型冠状病毒肺炎疫情在国内基本被控制住，生产和生活逐步恢复，但疫情在不少其他国家的流行加剧，对全球经济造成了冲击，也对企业的经营造成了负面影响。各国政府积极应对，中国政府采取了宽松的货币政策和积极的财政政策。股票市场方面，市场在二季度分化较为明显，医药、食品饮料、电子等行业表现较好，而石油石化、建筑、纺织服装等行业表现相对落后。</w:t>
      </w:r>
    </w:p>
    <w:p>
      <w:pPr>
        <w:spacing w:line="360" w:lineRule="auto"/>
        <w:ind w:firstLine="480" w:firstLineChars="200"/>
        <w:rPr>
          <w:color w:val="000000"/>
          <w:sz w:val="24"/>
          <w:szCs w:val="24"/>
        </w:rPr>
      </w:pPr>
      <w:r>
        <w:rPr>
          <w:color w:val="000000"/>
          <w:sz w:val="24"/>
          <w:szCs w:val="24"/>
        </w:rPr>
        <w:t>操作方面，本基金在二季度股票仓位基本保持稳定，并对结构进行了调整。降低了家电等行业的配置，增加了食品饮料等行业的配置。个股方面，我们依然长期持有商业模式出色、行业格局清晰，竞争力强的优质公司。</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中国经济正在面临转型,从欧美的经验来看,当经济增速变慢时,行业的竞争格局通常是改善的,资本开支会更加谨慎,企业的资产周转率和资本回报率通常也会上升,企业家的预期通常也会更加理性,优秀企业通常会获得更大的竞争优势。特别是处在移动互联网的时代，信息的传递速度越来越快，头部企业相比于过往获得竞争优势的时间、速度和强度是更强的。在这个时代，我们有望见证一批各行业的优秀企业持续的成长。我们希望能够选出其中的一些，陪伴并分享这些优秀公司的经营成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截至报告期末，本基金份额净值为6.0604元，本报告期份额净值增长率为28.19%，同期业绩比较基准收益率为11.55%。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17,841,164,479.30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91.70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17,841,164,479.30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91.70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148,620,000.00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148,620,000.00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1,184,871,919.64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282,023,671.30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19,456,680,070.24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13,898,967,400.52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72.57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1,138,709,603.50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5.95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1,650,327.47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228,600.00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2,801,595,781.49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14.63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17,841,164,479.30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93.16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19,989,538</w:t>
            </w:r>
          </w:p>
        </w:tc>
        <w:tc>
          <w:tcPr>
            <w:vAlign w:val="center"/>
          </w:tcPr>
          <w:p>
            <w:pPr>
              <w:jc w:val="right"/>
            </w:pPr>
            <w:r>
              <w:rPr>
                <w:color w:val="000000"/>
                <w:kern w:val="0"/>
                <w:sz w:val="24"/>
                <w:szCs w:val="24"/>
              </w:rPr>
              <w:t>1,821,446,702.56</w:t>
            </w:r>
          </w:p>
        </w:tc>
        <w:tc>
          <w:tcPr>
            <w:vAlign w:val="center"/>
          </w:tcPr>
          <w:p>
            <w:pPr>
              <w:jc w:val="right"/>
            </w:pPr>
            <w:r>
              <w:rPr>
                <w:color w:val="000000"/>
                <w:kern w:val="0"/>
                <w:sz w:val="24"/>
                <w:szCs w:val="24"/>
              </w:rPr>
              <w:t>9.51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1,210,000</w:t>
            </w:r>
          </w:p>
        </w:tc>
        <w:tc>
          <w:tcPr>
            <w:vAlign w:val="center"/>
          </w:tcPr>
          <w:p>
            <w:pPr>
              <w:jc w:val="right"/>
            </w:pPr>
            <w:r>
              <w:rPr>
                <w:color w:val="000000"/>
                <w:kern w:val="0"/>
                <w:sz w:val="24"/>
                <w:szCs w:val="24"/>
              </w:rPr>
              <w:t>1,770,084,800.00</w:t>
            </w:r>
          </w:p>
        </w:tc>
        <w:tc>
          <w:tcPr>
            <w:vAlign w:val="center"/>
          </w:tcPr>
          <w:p>
            <w:pPr>
              <w:jc w:val="right"/>
            </w:pPr>
            <w:r>
              <w:rPr>
                <w:color w:val="000000"/>
                <w:kern w:val="0"/>
                <w:sz w:val="24"/>
                <w:szCs w:val="24"/>
              </w:rPr>
              <w:t>9.24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10,300,000</w:t>
            </w:r>
          </w:p>
        </w:tc>
        <w:tc>
          <w:tcPr>
            <w:vAlign w:val="center"/>
          </w:tcPr>
          <w:p>
            <w:pPr>
              <w:jc w:val="right"/>
            </w:pPr>
            <w:r>
              <w:rPr>
                <w:color w:val="000000"/>
                <w:kern w:val="0"/>
                <w:sz w:val="24"/>
                <w:szCs w:val="24"/>
              </w:rPr>
              <w:t>1,762,536,000.00</w:t>
            </w:r>
          </w:p>
        </w:tc>
        <w:tc>
          <w:tcPr>
            <w:vAlign w:val="center"/>
          </w:tcPr>
          <w:p>
            <w:pPr>
              <w:jc w:val="right"/>
            </w:pPr>
            <w:r>
              <w:rPr>
                <w:color w:val="000000"/>
                <w:kern w:val="0"/>
                <w:sz w:val="24"/>
                <w:szCs w:val="24"/>
              </w:rPr>
              <w:t>9.20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37,000,000</w:t>
            </w:r>
          </w:p>
        </w:tc>
        <w:tc>
          <w:tcPr>
            <w:vAlign w:val="center"/>
          </w:tcPr>
          <w:p>
            <w:pPr>
              <w:jc w:val="right"/>
            </w:pPr>
            <w:r>
              <w:rPr>
                <w:color w:val="000000"/>
                <w:kern w:val="0"/>
                <w:sz w:val="24"/>
                <w:szCs w:val="24"/>
              </w:rPr>
              <w:t>1,607,650,000.00</w:t>
            </w:r>
          </w:p>
        </w:tc>
        <w:tc>
          <w:tcPr>
            <w:vAlign w:val="center"/>
          </w:tcPr>
          <w:p>
            <w:pPr>
              <w:jc w:val="right"/>
            </w:pPr>
            <w:r>
              <w:rPr>
                <w:color w:val="000000"/>
                <w:kern w:val="0"/>
                <w:sz w:val="24"/>
                <w:szCs w:val="24"/>
              </w:rPr>
              <w:t>8.39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29,000,000</w:t>
            </w:r>
          </w:p>
        </w:tc>
        <w:tc>
          <w:tcPr>
            <w:vAlign w:val="center"/>
          </w:tcPr>
          <w:p>
            <w:pPr>
              <w:jc w:val="right"/>
            </w:pPr>
            <w:r>
              <w:rPr>
                <w:color w:val="000000"/>
                <w:kern w:val="0"/>
                <w:sz w:val="24"/>
                <w:szCs w:val="24"/>
              </w:rPr>
              <w:t>1,314,570,000.00</w:t>
            </w:r>
          </w:p>
        </w:tc>
        <w:tc>
          <w:tcPr>
            <w:vAlign w:val="center"/>
          </w:tcPr>
          <w:p>
            <w:pPr>
              <w:jc w:val="right"/>
            </w:pPr>
            <w:r>
              <w:rPr>
                <w:color w:val="000000"/>
                <w:kern w:val="0"/>
                <w:sz w:val="24"/>
                <w:szCs w:val="24"/>
              </w:rPr>
              <w:t>6.86</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24,000,000</w:t>
            </w:r>
          </w:p>
        </w:tc>
        <w:tc>
          <w:tcPr>
            <w:vAlign w:val="center"/>
          </w:tcPr>
          <w:p>
            <w:pPr>
              <w:jc w:val="right"/>
            </w:pPr>
            <w:r>
              <w:rPr>
                <w:color w:val="000000"/>
                <w:kern w:val="0"/>
                <w:sz w:val="24"/>
                <w:szCs w:val="24"/>
              </w:rPr>
              <w:t>1,181,500,000.00</w:t>
            </w:r>
          </w:p>
        </w:tc>
        <w:tc>
          <w:tcPr>
            <w:vAlign w:val="center"/>
          </w:tcPr>
          <w:p>
            <w:pPr>
              <w:jc w:val="right"/>
            </w:pPr>
            <w:r>
              <w:rPr>
                <w:color w:val="000000"/>
                <w:kern w:val="0"/>
                <w:sz w:val="24"/>
                <w:szCs w:val="24"/>
              </w:rPr>
              <w:t>6.17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600763</w:t>
            </w:r>
          </w:p>
        </w:tc>
        <w:tc>
          <w:tcPr>
            <w:vAlign w:val="center"/>
          </w:tcPr>
          <w:p>
            <w:pPr>
              <w:jc w:val="center"/>
            </w:pPr>
            <w:r>
              <w:rPr>
                <w:color w:val="000000"/>
                <w:kern w:val="0"/>
                <w:sz w:val="24"/>
                <w:szCs w:val="24"/>
              </w:rPr>
              <w:t>通策医疗</w:t>
            </w:r>
          </w:p>
        </w:tc>
        <w:tc>
          <w:tcPr>
            <w:vAlign w:val="center"/>
          </w:tcPr>
          <w:p>
            <w:pPr>
              <w:jc w:val="right"/>
            </w:pPr>
            <w:r>
              <w:rPr>
                <w:color w:val="000000"/>
                <w:kern w:val="0"/>
                <w:sz w:val="24"/>
                <w:szCs w:val="24"/>
              </w:rPr>
              <w:t>6,900,014</w:t>
            </w:r>
          </w:p>
        </w:tc>
        <w:tc>
          <w:tcPr>
            <w:vAlign w:val="center"/>
          </w:tcPr>
          <w:p>
            <w:pPr>
              <w:jc w:val="right"/>
            </w:pPr>
            <w:r>
              <w:rPr>
                <w:color w:val="000000"/>
                <w:kern w:val="0"/>
                <w:sz w:val="24"/>
                <w:szCs w:val="24"/>
              </w:rPr>
              <w:t>1,150,715,334.78</w:t>
            </w:r>
          </w:p>
        </w:tc>
        <w:tc>
          <w:tcPr>
            <w:vAlign w:val="center"/>
          </w:tcPr>
          <w:p>
            <w:pPr>
              <w:jc w:val="right"/>
            </w:pPr>
            <w:r>
              <w:rPr>
                <w:color w:val="000000"/>
                <w:kern w:val="0"/>
                <w:sz w:val="24"/>
                <w:szCs w:val="24"/>
              </w:rPr>
              <w:t>6.01</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600009</w:t>
            </w:r>
          </w:p>
        </w:tc>
        <w:tc>
          <w:tcPr>
            <w:vAlign w:val="center"/>
          </w:tcPr>
          <w:p>
            <w:pPr>
              <w:jc w:val="center"/>
            </w:pPr>
            <w:r>
              <w:rPr>
                <w:color w:val="000000"/>
                <w:kern w:val="0"/>
                <w:sz w:val="24"/>
                <w:szCs w:val="24"/>
              </w:rPr>
              <w:t>上海机场</w:t>
            </w:r>
          </w:p>
        </w:tc>
        <w:tc>
          <w:tcPr>
            <w:vAlign w:val="center"/>
          </w:tcPr>
          <w:p>
            <w:pPr>
              <w:jc w:val="right"/>
            </w:pPr>
            <w:r>
              <w:rPr>
                <w:color w:val="000000"/>
                <w:kern w:val="0"/>
                <w:sz w:val="24"/>
                <w:szCs w:val="24"/>
              </w:rPr>
              <w:t>15,800,050</w:t>
            </w:r>
          </w:p>
        </w:tc>
        <w:tc>
          <w:tcPr>
            <w:vAlign w:val="center"/>
          </w:tcPr>
          <w:p>
            <w:pPr>
              <w:jc w:val="right"/>
            </w:pPr>
            <w:r>
              <w:rPr>
                <w:color w:val="000000"/>
                <w:kern w:val="0"/>
                <w:sz w:val="24"/>
                <w:szCs w:val="24"/>
              </w:rPr>
              <w:t>1,138,709,603.50</w:t>
            </w:r>
          </w:p>
        </w:tc>
        <w:tc>
          <w:tcPr>
            <w:vAlign w:val="center"/>
          </w:tcPr>
          <w:p>
            <w:pPr>
              <w:jc w:val="right"/>
            </w:pPr>
            <w:r>
              <w:rPr>
                <w:color w:val="000000"/>
                <w:kern w:val="0"/>
                <w:sz w:val="24"/>
                <w:szCs w:val="24"/>
              </w:rPr>
              <w:t>5.95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002032</w:t>
            </w:r>
          </w:p>
        </w:tc>
        <w:tc>
          <w:tcPr>
            <w:vAlign w:val="center"/>
          </w:tcPr>
          <w:p>
            <w:pPr>
              <w:jc w:val="center"/>
            </w:pPr>
            <w:r>
              <w:rPr>
                <w:color w:val="000000"/>
                <w:kern w:val="0"/>
                <w:sz w:val="24"/>
                <w:szCs w:val="24"/>
              </w:rPr>
              <w:t>苏泊尔</w:t>
            </w:r>
          </w:p>
        </w:tc>
        <w:tc>
          <w:tcPr>
            <w:vAlign w:val="center"/>
          </w:tcPr>
          <w:p>
            <w:pPr>
              <w:jc w:val="right"/>
            </w:pPr>
            <w:r>
              <w:rPr>
                <w:color w:val="000000"/>
                <w:kern w:val="0"/>
                <w:sz w:val="24"/>
                <w:szCs w:val="24"/>
              </w:rPr>
              <w:t>15,788,888</w:t>
            </w:r>
          </w:p>
        </w:tc>
        <w:tc>
          <w:tcPr>
            <w:vAlign w:val="center"/>
          </w:tcPr>
          <w:p>
            <w:pPr>
              <w:jc w:val="right"/>
            </w:pPr>
            <w:r>
              <w:rPr>
                <w:color w:val="000000"/>
                <w:kern w:val="0"/>
                <w:sz w:val="24"/>
                <w:szCs w:val="24"/>
              </w:rPr>
              <w:t>1,121,011,048.00</w:t>
            </w:r>
          </w:p>
        </w:tc>
        <w:tc>
          <w:tcPr>
            <w:vAlign w:val="center"/>
          </w:tcPr>
          <w:p>
            <w:pPr>
              <w:jc w:val="right"/>
            </w:pPr>
            <w:r>
              <w:rPr>
                <w:color w:val="000000"/>
                <w:kern w:val="0"/>
                <w:sz w:val="24"/>
                <w:szCs w:val="24"/>
              </w:rPr>
              <w:t>5.85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600066</w:t>
            </w:r>
          </w:p>
        </w:tc>
        <w:tc>
          <w:tcPr>
            <w:vAlign w:val="center"/>
          </w:tcPr>
          <w:p>
            <w:pPr>
              <w:jc w:val="center"/>
            </w:pPr>
            <w:r>
              <w:rPr>
                <w:color w:val="000000"/>
                <w:kern w:val="0"/>
                <w:sz w:val="24"/>
                <w:szCs w:val="24"/>
              </w:rPr>
              <w:t>宇通客车</w:t>
            </w:r>
          </w:p>
        </w:tc>
        <w:tc>
          <w:tcPr>
            <w:vAlign w:val="center"/>
          </w:tcPr>
          <w:p>
            <w:pPr>
              <w:jc w:val="right"/>
            </w:pPr>
            <w:r>
              <w:rPr>
                <w:color w:val="000000"/>
                <w:kern w:val="0"/>
                <w:sz w:val="24"/>
                <w:szCs w:val="24"/>
              </w:rPr>
              <w:t>91,000,001</w:t>
            </w:r>
          </w:p>
        </w:tc>
        <w:tc>
          <w:tcPr>
            <w:vAlign w:val="center"/>
          </w:tcPr>
          <w:p>
            <w:pPr>
              <w:jc w:val="right"/>
            </w:pPr>
            <w:r>
              <w:rPr>
                <w:color w:val="000000"/>
                <w:kern w:val="0"/>
                <w:sz w:val="24"/>
                <w:szCs w:val="24"/>
              </w:rPr>
              <w:t>1,110,200,012.20</w:t>
            </w:r>
          </w:p>
        </w:tc>
        <w:tc>
          <w:tcPr>
            <w:vAlign w:val="center"/>
          </w:tcPr>
          <w:p>
            <w:pPr>
              <w:jc w:val="right"/>
            </w:pPr>
            <w:r>
              <w:rPr>
                <w:color w:val="000000"/>
                <w:kern w:val="0"/>
                <w:sz w:val="24"/>
                <w:szCs w:val="24"/>
              </w:rPr>
              <w:t>5.80</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148,620,000.00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0.78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148,620,000.00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0.78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148,620,000.00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0.78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200403</w:t>
            </w:r>
          </w:p>
        </w:tc>
        <w:tc>
          <w:tcPr>
            <w:vAlign w:val="center"/>
          </w:tcPr>
          <w:p>
            <w:pPr>
              <w:jc w:val="center"/>
            </w:pPr>
            <w:r>
              <w:rPr>
                <w:color w:val="000000"/>
                <w:kern w:val="0"/>
                <w:sz w:val="24"/>
                <w:szCs w:val="24"/>
              </w:rPr>
              <w:t>20农发03</w:t>
            </w:r>
          </w:p>
        </w:tc>
        <w:tc>
          <w:tcPr>
            <w:vAlign w:val="center"/>
          </w:tcPr>
          <w:p>
            <w:pPr>
              <w:jc w:val="right"/>
            </w:pPr>
            <w:r>
              <w:rPr>
                <w:color w:val="000000"/>
                <w:kern w:val="0"/>
                <w:sz w:val="24"/>
                <w:szCs w:val="24"/>
              </w:rPr>
              <w:t>1,500,000</w:t>
            </w:r>
          </w:p>
        </w:tc>
        <w:tc>
          <w:tcPr>
            <w:vAlign w:val="center"/>
          </w:tcPr>
          <w:p>
            <w:pPr>
              <w:jc w:val="right"/>
            </w:pPr>
            <w:r>
              <w:rPr>
                <w:color w:val="000000"/>
                <w:kern w:val="0"/>
                <w:sz w:val="24"/>
                <w:szCs w:val="24"/>
              </w:rPr>
              <w:t>148,620,000.00</w:t>
            </w:r>
          </w:p>
        </w:tc>
        <w:tc>
          <w:tcPr>
            <w:vAlign w:val="center"/>
          </w:tcPr>
          <w:p>
            <w:pPr>
              <w:jc w:val="right"/>
            </w:pPr>
            <w:r>
              <w:rPr>
                <w:color w:val="000000"/>
                <w:kern w:val="0"/>
                <w:sz w:val="24"/>
                <w:szCs w:val="24"/>
              </w:rPr>
              <w:t>0.78</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2,290,960.19</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435,906.31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279,296,804.80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282,023,671.30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002007</w:t>
            </w:r>
          </w:p>
        </w:tc>
        <w:tc>
          <w:tcPr>
            <w:vAlign w:val="center"/>
          </w:tcPr>
          <w:p>
            <w:pPr>
              <w:jc w:val="center"/>
            </w:pPr>
            <w:r>
              <w:rPr>
                <w:color w:val="000000"/>
                <w:kern w:val="0"/>
                <w:sz w:val="24"/>
                <w:szCs w:val="24"/>
              </w:rPr>
              <w:t>华兰生物</w:t>
            </w:r>
          </w:p>
        </w:tc>
        <w:tc>
          <w:tcPr>
            <w:vAlign w:val="center"/>
          </w:tcPr>
          <w:p>
            <w:pPr>
              <w:jc w:val="right"/>
            </w:pPr>
            <w:r>
              <w:rPr>
                <w:color w:val="000000"/>
                <w:kern w:val="0"/>
                <w:sz w:val="24"/>
                <w:szCs w:val="24"/>
              </w:rPr>
              <w:t>329,630,000.00</w:t>
            </w:r>
          </w:p>
        </w:tc>
        <w:tc>
          <w:tcPr>
            <w:vAlign w:val="center"/>
          </w:tcPr>
          <w:p>
            <w:pPr>
              <w:jc w:val="right"/>
            </w:pPr>
            <w:r>
              <w:rPr>
                <w:color w:val="000000"/>
                <w:kern w:val="0"/>
                <w:sz w:val="24"/>
                <w:szCs w:val="24"/>
              </w:rPr>
              <w:t>1.72</w:t>
            </w:r>
          </w:p>
        </w:tc>
        <w:tc>
          <w:tcPr>
            <w:vAlign w:val="center"/>
          </w:tcPr>
          <w:p>
            <w:pPr>
              <w:jc w:val="right"/>
            </w:pPr>
            <w:r>
              <w:rPr>
                <w:color w:val="000000"/>
                <w:kern w:val="0"/>
                <w:sz w:val="24"/>
                <w:szCs w:val="24"/>
              </w:rPr>
              <w:t>大宗交易流通受限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减持或者特定股东减持，采取大宗交易方式的，在任意连续90日内，减持股份的总数不得超过公司股份总数的2%；前款交易的受让方在受让后6个月内，不得转让所受让的股份。</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3,112,360,133.31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1,057,716,072.34</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1,009,967,083.51</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3,160,109,122.14</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1.中国证监会核准易方达中小盘股票型证券投资基金募集的文件；</w:t>
      </w:r>
    </w:p>
    <w:p>
      <w:pPr>
        <w:spacing w:line="360" w:lineRule="auto"/>
        <w:ind w:firstLine="480" w:firstLineChars="200"/>
        <w:rPr>
          <w:color w:val="000000"/>
          <w:sz w:val="24"/>
          <w:szCs w:val="24"/>
        </w:rPr>
      </w:pPr>
      <w:r>
        <w:rPr>
          <w:color w:val="000000"/>
          <w:sz w:val="24"/>
          <w:szCs w:val="24"/>
        </w:rPr>
        <w:t>2.易方达基金管理有限公司关于旗下部分开放式基金更名及修改基金合同、托管协议的公告</w:t>
      </w:r>
    </w:p>
    <w:p>
      <w:pPr>
        <w:spacing w:line="360" w:lineRule="auto"/>
        <w:ind w:firstLine="480" w:firstLineChars="200"/>
        <w:rPr>
          <w:color w:val="000000"/>
          <w:sz w:val="24"/>
          <w:szCs w:val="24"/>
        </w:rPr>
      </w:pPr>
      <w:r>
        <w:rPr>
          <w:color w:val="000000"/>
          <w:sz w:val="24"/>
          <w:szCs w:val="24"/>
        </w:rPr>
        <w:t>3.《易方达中小盘混合型证券投资基金基金合同》；</w:t>
      </w:r>
    </w:p>
    <w:p>
      <w:pPr>
        <w:spacing w:line="360" w:lineRule="auto"/>
        <w:ind w:firstLine="480" w:firstLineChars="200"/>
        <w:rPr>
          <w:color w:val="000000"/>
          <w:sz w:val="24"/>
          <w:szCs w:val="24"/>
        </w:rPr>
      </w:pPr>
      <w:r>
        <w:rPr>
          <w:color w:val="000000"/>
          <w:sz w:val="24"/>
          <w:szCs w:val="24"/>
        </w:rPr>
        <w:t>4.《易方达中小盘混合型证券投资基金托管协议》；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易方达中小盘混合型证券投资基金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