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易方达价值成长混合型证券投资基金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易方达价值成长混合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110010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110010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2007年4月2日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2,670,704,514.98</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通过主动的资产配置以及对成长价值风格突出的股票进行投资，追求基金资产的长期稳健增值。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根据宏观及微观经济因素、市场因素和政策因素，进行大类资产的战略性配置。在股票投资方面，本基金遵循三个投资步骤。一是进行股票的风格特征的数量化评估，应用“易方达成长与价值股评价模型”，使用历史与预测的数据，从公司的备选库股票中选择成长与价值特性突出的股票。二是进行股票素质的基本面筛选，使用优质成长股与优质价值股的评价标准，在前面用数量化方法选出的风格鲜明的股票中，应用基本面分析方法，选出基本面较好的股票。三是进行成长与价值的风格配置，根据对市场的判断，动态地调整成长股与价值股的投资比重，追求在可控风险前提下的稳健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沪深300指数收益率×70%+上证国债指数收益率×30%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本基金为混合型基金，理论上其风险收益水平低于股票型基金，高于债券型基金及货币市场基金。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228,396,556.66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1,399,027,054.20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0.5063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5,965,579,942.74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2.2337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29.54%</w:t>
            </w:r>
          </w:p>
        </w:tc>
        <w:tc>
          <w:tcPr>
            <w:vAlign w:val="center"/>
          </w:tcPr>
          <w:p>
            <w:pPr>
              <w:jc w:val="center"/>
            </w:pPr>
            <w:r>
              <w:rPr>
                <w:color w:val="000000"/>
                <w:kern w:val="0"/>
                <w:sz w:val="24"/>
                <w:szCs w:val="24"/>
              </w:rPr>
              <w:t>1.33%</w:t>
            </w:r>
          </w:p>
        </w:tc>
        <w:tc>
          <w:tcPr>
            <w:vAlign w:val="center"/>
          </w:tcPr>
          <w:p>
            <w:pPr>
              <w:jc w:val="center"/>
            </w:pPr>
            <w:r>
              <w:rPr>
                <w:color w:val="000000"/>
                <w:kern w:val="0"/>
                <w:sz w:val="24"/>
                <w:szCs w:val="24"/>
              </w:rPr>
              <w:t>9.25%</w:t>
            </w:r>
          </w:p>
        </w:tc>
        <w:tc>
          <w:tcPr>
            <w:vAlign w:val="center"/>
          </w:tcPr>
          <w:p>
            <w:pPr>
              <w:jc w:val="center"/>
            </w:pPr>
            <w:r>
              <w:rPr>
                <w:color w:val="000000"/>
                <w:kern w:val="0"/>
                <w:sz w:val="24"/>
                <w:szCs w:val="24"/>
              </w:rPr>
              <w:t>0.63%</w:t>
            </w:r>
          </w:p>
        </w:tc>
        <w:tc>
          <w:tcPr>
            <w:vAlign w:val="center"/>
          </w:tcPr>
          <w:p>
            <w:pPr>
              <w:jc w:val="center"/>
            </w:pPr>
            <w:r>
              <w:rPr>
                <w:color w:val="000000"/>
                <w:kern w:val="0"/>
                <w:sz w:val="24"/>
                <w:szCs w:val="24"/>
              </w:rPr>
              <w:t>20.29%</w:t>
            </w:r>
          </w:p>
        </w:tc>
        <w:tc>
          <w:tcPr>
            <w:vAlign w:val="center"/>
          </w:tcPr>
          <w:p>
            <w:pPr>
              <w:jc w:val="center"/>
            </w:pPr>
            <w:r>
              <w:rPr>
                <w:color w:val="000000"/>
                <w:kern w:val="0"/>
                <w:sz w:val="24"/>
                <w:szCs w:val="24"/>
              </w:rPr>
              <w:t>0.70%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22.42%</w:t>
            </w:r>
          </w:p>
        </w:tc>
        <w:tc>
          <w:tcPr>
            <w:vAlign w:val="center"/>
          </w:tcPr>
          <w:p>
            <w:pPr>
              <w:jc w:val="center"/>
            </w:pPr>
            <w:r>
              <w:rPr>
                <w:color w:val="000000"/>
                <w:kern w:val="0"/>
                <w:sz w:val="24"/>
                <w:szCs w:val="24"/>
              </w:rPr>
              <w:t>1.99%</w:t>
            </w:r>
          </w:p>
        </w:tc>
        <w:tc>
          <w:tcPr>
            <w:vAlign w:val="center"/>
          </w:tcPr>
          <w:p>
            <w:pPr>
              <w:jc w:val="center"/>
            </w:pPr>
            <w:r>
              <w:rPr>
                <w:color w:val="000000"/>
                <w:kern w:val="0"/>
                <w:sz w:val="24"/>
                <w:szCs w:val="24"/>
              </w:rPr>
              <w:t>2.02%</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20.40%</w:t>
            </w:r>
          </w:p>
        </w:tc>
        <w:tc>
          <w:tcPr>
            <w:vAlign w:val="center"/>
          </w:tcPr>
          <w:p>
            <w:pPr>
              <w:jc w:val="center"/>
            </w:pPr>
            <w:r>
              <w:rPr>
                <w:color w:val="000000"/>
                <w:kern w:val="0"/>
                <w:sz w:val="24"/>
                <w:szCs w:val="24"/>
              </w:rPr>
              <w:t>0.93%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43.21%</w:t>
            </w:r>
          </w:p>
        </w:tc>
        <w:tc>
          <w:tcPr>
            <w:vAlign w:val="center"/>
          </w:tcPr>
          <w:p>
            <w:pPr>
              <w:jc w:val="center"/>
            </w:pPr>
            <w:r>
              <w:rPr>
                <w:color w:val="000000"/>
                <w:kern w:val="0"/>
                <w:sz w:val="24"/>
                <w:szCs w:val="24"/>
              </w:rPr>
              <w:t>1.57%</w:t>
            </w:r>
          </w:p>
        </w:tc>
        <w:tc>
          <w:tcPr>
            <w:vAlign w:val="center"/>
          </w:tcPr>
          <w:p>
            <w:pPr>
              <w:jc w:val="center"/>
            </w:pPr>
            <w:r>
              <w:rPr>
                <w:color w:val="000000"/>
                <w:kern w:val="0"/>
                <w:sz w:val="24"/>
                <w:szCs w:val="24"/>
              </w:rPr>
              <w:t>7.77%</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35.44%</w:t>
            </w:r>
          </w:p>
        </w:tc>
        <w:tc>
          <w:tcPr>
            <w:vAlign w:val="center"/>
          </w:tcPr>
          <w:p>
            <w:pPr>
              <w:jc w:val="center"/>
            </w:pPr>
            <w:r>
              <w:rPr>
                <w:color w:val="000000"/>
                <w:kern w:val="0"/>
                <w:sz w:val="24"/>
                <w:szCs w:val="24"/>
              </w:rPr>
              <w:t>0.72%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43.19%</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13.61%</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29.58%</w:t>
            </w:r>
          </w:p>
        </w:tc>
        <w:tc>
          <w:tcPr>
            <w:vAlign w:val="center"/>
          </w:tcPr>
          <w:p>
            <w:pPr>
              <w:jc w:val="center"/>
            </w:pPr>
            <w:r>
              <w:rPr>
                <w:color w:val="000000"/>
                <w:kern w:val="0"/>
                <w:sz w:val="24"/>
                <w:szCs w:val="24"/>
              </w:rPr>
              <w:t>0.58%</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16.14%</w:t>
            </w:r>
          </w:p>
        </w:tc>
        <w:tc>
          <w:tcPr>
            <w:vAlign w:val="center"/>
          </w:tcPr>
          <w:p>
            <w:pPr>
              <w:jc w:val="center"/>
            </w:pPr>
            <w:r>
              <w:rPr>
                <w:color w:val="000000"/>
                <w:kern w:val="0"/>
                <w:sz w:val="24"/>
                <w:szCs w:val="24"/>
              </w:rPr>
              <w:t>1.70%</w:t>
            </w:r>
          </w:p>
        </w:tc>
        <w:tc>
          <w:tcPr>
            <w:vAlign w:val="center"/>
          </w:tcPr>
          <w:p>
            <w:pPr>
              <w:jc w:val="center"/>
            </w:pPr>
            <w:r>
              <w:rPr>
                <w:color w:val="000000"/>
                <w:kern w:val="0"/>
                <w:sz w:val="24"/>
                <w:szCs w:val="24"/>
              </w:rPr>
              <w:t>1.74%</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14.40%</w:t>
            </w:r>
          </w:p>
        </w:tc>
        <w:tc>
          <w:tcPr>
            <w:vAlign w:val="center"/>
          </w:tcPr>
          <w:p>
            <w:pPr>
              <w:jc w:val="center"/>
            </w:pPr>
            <w:r>
              <w:rPr>
                <w:color w:val="000000"/>
                <w:kern w:val="0"/>
                <w:sz w:val="24"/>
                <w:szCs w:val="24"/>
              </w:rPr>
              <w:t>0.69%</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180.74%</w:t>
            </w:r>
          </w:p>
        </w:tc>
        <w:tc>
          <w:tcPr>
            <w:vAlign w:val="center"/>
          </w:tcPr>
          <w:p>
            <w:pPr>
              <w:jc w:val="center"/>
            </w:pPr>
            <w:r>
              <w:rPr>
                <w:color w:val="000000"/>
                <w:kern w:val="0"/>
                <w:sz w:val="24"/>
                <w:szCs w:val="24"/>
              </w:rPr>
              <w:t>1.69%</w:t>
            </w:r>
          </w:p>
        </w:tc>
        <w:tc>
          <w:tcPr>
            <w:vAlign w:val="center"/>
          </w:tcPr>
          <w:p>
            <w:pPr>
              <w:jc w:val="center"/>
            </w:pPr>
            <w:r>
              <w:rPr>
                <w:color w:val="000000"/>
                <w:kern w:val="0"/>
                <w:sz w:val="24"/>
                <w:szCs w:val="24"/>
              </w:rPr>
              <w:t>53.77%</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126.97%</w:t>
            </w:r>
          </w:p>
        </w:tc>
        <w:tc>
          <w:tcPr>
            <w:vAlign w:val="center"/>
          </w:tcPr>
          <w:p>
            <w:pPr>
              <w:jc w:val="center"/>
            </w:pPr>
            <w:r>
              <w:rPr>
                <w:color w:val="000000"/>
                <w:kern w:val="0"/>
                <w:sz w:val="24"/>
                <w:szCs w:val="24"/>
              </w:rPr>
              <w:t>0.48%</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易方达价值成长混合型证券投资基金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2007年4月2日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注：自基金合同生效至报告期末，基金份额净值增长率为180.74%，同期业绩比较基准收益率为53.77%。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林高榜</w:t>
            </w:r>
          </w:p>
        </w:tc>
        <w:tc>
          <w:tcPr>
            <w:vAlign w:val="center"/>
          </w:tcPr>
          <w:p>
            <w:pPr>
              <w:jc w:val="left"/>
            </w:pPr>
            <w:r>
              <w:rPr>
                <w:color w:val="000000"/>
                <w:sz w:val="24"/>
              </w:rPr>
              <w:t>本基金的基金经理、易方达金融行业股票型发起式证券投资基金的基金经理</w:t>
            </w:r>
          </w:p>
        </w:tc>
        <w:tc>
          <w:tcPr>
            <w:vAlign w:val="center"/>
          </w:tcPr>
          <w:p>
            <w:pPr>
              <w:jc w:val="center"/>
            </w:pPr>
            <w:r>
              <w:rPr>
                <w:color w:val="000000"/>
                <w:sz w:val="24"/>
              </w:rPr>
              <w:t>2018-03-23</w:t>
            </w:r>
          </w:p>
        </w:tc>
        <w:tc>
          <w:tcPr>
            <w:vAlign w:val="center"/>
          </w:tcPr>
          <w:p>
            <w:pPr>
              <w:jc w:val="center"/>
            </w:pPr>
            <w:r>
              <w:rPr>
                <w:color w:val="000000"/>
                <w:sz w:val="24"/>
              </w:rPr>
              <w:t>-</w:t>
            </w:r>
          </w:p>
        </w:tc>
        <w:tc>
          <w:tcPr>
            <w:vAlign w:val="center"/>
          </w:tcPr>
          <w:p>
            <w:pPr>
              <w:jc w:val="center"/>
            </w:pPr>
            <w:r>
              <w:rPr>
                <w:color w:val="000000"/>
                <w:sz w:val="24"/>
              </w:rPr>
              <w:t>8年</w:t>
            </w:r>
          </w:p>
        </w:tc>
        <w:tc>
          <w:tcPr>
            <w:vAlign w:val="center"/>
          </w:tcPr>
          <w:p>
            <w:pPr>
              <w:jc w:val="both"/>
            </w:pPr>
            <w:r>
              <w:rPr>
                <w:color w:val="000000"/>
                <w:sz w:val="24"/>
              </w:rPr>
              <w:t>博士研究生，具有基金从业资格。曾任易方达基金管理有限公司行业研究员、投资经理、易方达科汇灵活配置混合型证券投资基金基金经理、易方达科汇灵活配置混合型证券投资基金基金经理助理。</w:t>
            </w:r>
          </w:p>
        </w:tc>
      </w:tr>
      <w:tr>
        <w:tc>
          <w:tcPr>
            <w:vAlign w:val="center"/>
          </w:tcPr>
          <w:p>
            <w:pPr>
              <w:jc w:val="center"/>
            </w:pPr>
            <w:r>
              <w:rPr>
                <w:color w:val="000000"/>
                <w:sz w:val="24"/>
              </w:rPr>
              <w:t>武阳</w:t>
            </w:r>
          </w:p>
        </w:tc>
        <w:tc>
          <w:tcPr>
            <w:vAlign w:val="center"/>
          </w:tcPr>
          <w:p>
            <w:pPr>
              <w:jc w:val="left"/>
            </w:pPr>
            <w:r>
              <w:rPr>
                <w:color w:val="000000"/>
                <w:sz w:val="24"/>
              </w:rPr>
              <w:t>本基金的基金经理、易方达瑞享灵活配置混合型证券投资基金的基金经理</w:t>
            </w:r>
          </w:p>
        </w:tc>
        <w:tc>
          <w:tcPr>
            <w:vAlign w:val="center"/>
          </w:tcPr>
          <w:p>
            <w:pPr>
              <w:jc w:val="center"/>
            </w:pPr>
            <w:r>
              <w:rPr>
                <w:color w:val="000000"/>
                <w:sz w:val="24"/>
              </w:rPr>
              <w:t>2018-03-23</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硕士研究生，具有基金从业资格。曾任易方达基金管理有限公司行业研究员、易方达策略成长二号混合型证券投资基金基金经理助理、易方达策略成长证券投资基金基金经理。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新冠肺炎疫情对国内和国外宏观经济都带来了较大冲击，2020年二季度中国宏观经济呈现底部企稳且逐步回升的态势。总量经济政策仍然保持相对宽松，工业生产、投资等经济活动均有所恢复，但是整体需求仍然偏弱。与此同时，海外疫情形势仍然严峻，经济恢复仍然有较大不确定性。随着国内经济逐步企稳，流动性环境相对宽松，A股整体表现较好。就具体指数而言，二季度上证综指上涨8.52%，沪深300指数上涨12.96%，创业板指数上涨30.25%。从行业结构来看，休闲服务、电子、生物医药、食品饮料等板块涨幅较大，建筑装饰、纺织服装、采掘等板块则有所下跌。</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报告期内，本基金保持了之前的股票仓位。行业板块方面，维持一季度以来对计算机、机械等基础仓位的配置，并基于自上而下的视角增配了行业景气度改善的大金融、电子等板块。</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截至报告期末，本基金份额净值为2.2337元，本报告期份额净值增长率为29.54%，同期业绩比较基准收益率为9.25%。</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5,609,437,688.13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93.11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5,609,437,688.13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93.11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21,830,569.11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0.36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21,830,569.11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0.36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365,039,518.17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28,145,541.45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6,024,453,316.86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2,966,527,748.29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49.73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75,330,149.67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45,216,260.32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0.76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1,828,690,183.11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30.65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531,367,620.11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8.91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22,528,113.23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57,183,458.40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82,594,155.00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5,609,437,688.13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94.03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002153</w:t>
            </w:r>
          </w:p>
        </w:tc>
        <w:tc>
          <w:tcPr>
            <w:vAlign w:val="center"/>
          </w:tcPr>
          <w:p>
            <w:pPr>
              <w:jc w:val="center"/>
            </w:pPr>
            <w:r>
              <w:rPr>
                <w:color w:val="000000"/>
                <w:kern w:val="0"/>
                <w:sz w:val="24"/>
                <w:szCs w:val="24"/>
              </w:rPr>
              <w:t>石基信息</w:t>
            </w:r>
          </w:p>
        </w:tc>
        <w:tc>
          <w:tcPr>
            <w:vAlign w:val="center"/>
          </w:tcPr>
          <w:p>
            <w:pPr>
              <w:jc w:val="right"/>
            </w:pPr>
            <w:r>
              <w:rPr>
                <w:color w:val="000000"/>
                <w:kern w:val="0"/>
                <w:sz w:val="24"/>
                <w:szCs w:val="24"/>
              </w:rPr>
              <w:t>8,334,698</w:t>
            </w:r>
          </w:p>
        </w:tc>
        <w:tc>
          <w:tcPr>
            <w:vAlign w:val="center"/>
          </w:tcPr>
          <w:p>
            <w:pPr>
              <w:jc w:val="right"/>
            </w:pPr>
            <w:r>
              <w:rPr>
                <w:color w:val="000000"/>
                <w:kern w:val="0"/>
                <w:sz w:val="24"/>
                <w:szCs w:val="24"/>
              </w:rPr>
              <w:t>325,303,262.94</w:t>
            </w:r>
          </w:p>
        </w:tc>
        <w:tc>
          <w:tcPr>
            <w:vAlign w:val="center"/>
          </w:tcPr>
          <w:p>
            <w:pPr>
              <w:jc w:val="right"/>
            </w:pPr>
            <w:r>
              <w:rPr>
                <w:color w:val="000000"/>
                <w:kern w:val="0"/>
                <w:sz w:val="24"/>
                <w:szCs w:val="24"/>
              </w:rPr>
              <w:t>5.45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002410</w:t>
            </w:r>
          </w:p>
        </w:tc>
        <w:tc>
          <w:tcPr>
            <w:vAlign w:val="center"/>
          </w:tcPr>
          <w:p>
            <w:pPr>
              <w:jc w:val="center"/>
            </w:pPr>
            <w:r>
              <w:rPr>
                <w:color w:val="000000"/>
                <w:kern w:val="0"/>
                <w:sz w:val="24"/>
                <w:szCs w:val="24"/>
              </w:rPr>
              <w:t>广联达</w:t>
            </w:r>
          </w:p>
        </w:tc>
        <w:tc>
          <w:tcPr>
            <w:vAlign w:val="center"/>
          </w:tcPr>
          <w:p>
            <w:pPr>
              <w:jc w:val="right"/>
            </w:pPr>
            <w:r>
              <w:rPr>
                <w:color w:val="000000"/>
                <w:kern w:val="0"/>
                <w:sz w:val="24"/>
                <w:szCs w:val="24"/>
              </w:rPr>
              <w:t>4,399,381</w:t>
            </w:r>
          </w:p>
        </w:tc>
        <w:tc>
          <w:tcPr>
            <w:vAlign w:val="center"/>
          </w:tcPr>
          <w:p>
            <w:pPr>
              <w:jc w:val="right"/>
            </w:pPr>
            <w:r>
              <w:rPr>
                <w:color w:val="000000"/>
                <w:kern w:val="0"/>
                <w:sz w:val="24"/>
                <w:szCs w:val="24"/>
              </w:rPr>
              <w:t>306,636,855.70</w:t>
            </w:r>
          </w:p>
        </w:tc>
        <w:tc>
          <w:tcPr>
            <w:vAlign w:val="center"/>
          </w:tcPr>
          <w:p>
            <w:pPr>
              <w:jc w:val="right"/>
            </w:pPr>
            <w:r>
              <w:rPr>
                <w:color w:val="000000"/>
                <w:kern w:val="0"/>
                <w:sz w:val="24"/>
                <w:szCs w:val="24"/>
              </w:rPr>
              <w:t>5.14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2,699,051</w:t>
            </w:r>
          </w:p>
        </w:tc>
        <w:tc>
          <w:tcPr>
            <w:vAlign w:val="center"/>
          </w:tcPr>
          <w:p>
            <w:pPr>
              <w:jc w:val="right"/>
            </w:pPr>
            <w:r>
              <w:rPr>
                <w:color w:val="000000"/>
                <w:kern w:val="0"/>
                <w:sz w:val="24"/>
                <w:szCs w:val="24"/>
              </w:rPr>
              <w:t>290,687,792.70</w:t>
            </w:r>
          </w:p>
        </w:tc>
        <w:tc>
          <w:tcPr>
            <w:vAlign w:val="center"/>
          </w:tcPr>
          <w:p>
            <w:pPr>
              <w:jc w:val="right"/>
            </w:pPr>
            <w:r>
              <w:rPr>
                <w:color w:val="000000"/>
                <w:kern w:val="0"/>
                <w:sz w:val="24"/>
                <w:szCs w:val="24"/>
              </w:rPr>
              <w:t>4.87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603338</w:t>
            </w:r>
          </w:p>
        </w:tc>
        <w:tc>
          <w:tcPr>
            <w:vAlign w:val="center"/>
          </w:tcPr>
          <w:p>
            <w:pPr>
              <w:jc w:val="center"/>
            </w:pPr>
            <w:r>
              <w:rPr>
                <w:color w:val="000000"/>
                <w:kern w:val="0"/>
                <w:sz w:val="24"/>
                <w:szCs w:val="24"/>
              </w:rPr>
              <w:t>浙江鼎力</w:t>
            </w:r>
          </w:p>
        </w:tc>
        <w:tc>
          <w:tcPr>
            <w:vAlign w:val="center"/>
          </w:tcPr>
          <w:p>
            <w:pPr>
              <w:jc w:val="right"/>
            </w:pPr>
            <w:r>
              <w:rPr>
                <w:color w:val="000000"/>
                <w:kern w:val="0"/>
                <w:sz w:val="24"/>
                <w:szCs w:val="24"/>
              </w:rPr>
              <w:t>3,394,809</w:t>
            </w:r>
          </w:p>
        </w:tc>
        <w:tc>
          <w:tcPr>
            <w:vAlign w:val="center"/>
          </w:tcPr>
          <w:p>
            <w:pPr>
              <w:jc w:val="right"/>
            </w:pPr>
            <w:r>
              <w:rPr>
                <w:color w:val="000000"/>
                <w:kern w:val="0"/>
                <w:sz w:val="24"/>
                <w:szCs w:val="24"/>
              </w:rPr>
              <w:t>257,224,677.93</w:t>
            </w:r>
          </w:p>
        </w:tc>
        <w:tc>
          <w:tcPr>
            <w:vAlign w:val="center"/>
          </w:tcPr>
          <w:p>
            <w:pPr>
              <w:jc w:val="right"/>
            </w:pPr>
            <w:r>
              <w:rPr>
                <w:color w:val="000000"/>
                <w:kern w:val="0"/>
                <w:sz w:val="24"/>
                <w:szCs w:val="24"/>
              </w:rPr>
              <w:t>4.31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600588</w:t>
            </w:r>
          </w:p>
        </w:tc>
        <w:tc>
          <w:tcPr>
            <w:vAlign w:val="center"/>
          </w:tcPr>
          <w:p>
            <w:pPr>
              <w:jc w:val="center"/>
            </w:pPr>
            <w:r>
              <w:rPr>
                <w:color w:val="000000"/>
                <w:kern w:val="0"/>
                <w:sz w:val="24"/>
                <w:szCs w:val="24"/>
              </w:rPr>
              <w:t>用友网络</w:t>
            </w:r>
          </w:p>
        </w:tc>
        <w:tc>
          <w:tcPr>
            <w:vAlign w:val="center"/>
          </w:tcPr>
          <w:p>
            <w:pPr>
              <w:jc w:val="right"/>
            </w:pPr>
            <w:r>
              <w:rPr>
                <w:color w:val="000000"/>
                <w:kern w:val="0"/>
                <w:sz w:val="24"/>
                <w:szCs w:val="24"/>
              </w:rPr>
              <w:t>5,618,301</w:t>
            </w:r>
          </w:p>
        </w:tc>
        <w:tc>
          <w:tcPr>
            <w:vAlign w:val="center"/>
          </w:tcPr>
          <w:p>
            <w:pPr>
              <w:jc w:val="right"/>
            </w:pPr>
            <w:r>
              <w:rPr>
                <w:color w:val="000000"/>
                <w:kern w:val="0"/>
                <w:sz w:val="24"/>
                <w:szCs w:val="24"/>
              </w:rPr>
              <w:t>247,767,074.10</w:t>
            </w:r>
          </w:p>
        </w:tc>
        <w:tc>
          <w:tcPr>
            <w:vAlign w:val="center"/>
          </w:tcPr>
          <w:p>
            <w:pPr>
              <w:jc w:val="right"/>
            </w:pPr>
            <w:r>
              <w:rPr>
                <w:color w:val="000000"/>
                <w:kern w:val="0"/>
                <w:sz w:val="24"/>
                <w:szCs w:val="24"/>
              </w:rPr>
              <w:t>4.15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600845</w:t>
            </w:r>
          </w:p>
        </w:tc>
        <w:tc>
          <w:tcPr>
            <w:vAlign w:val="center"/>
          </w:tcPr>
          <w:p>
            <w:pPr>
              <w:jc w:val="center"/>
            </w:pPr>
            <w:r>
              <w:rPr>
                <w:color w:val="000000"/>
                <w:kern w:val="0"/>
                <w:sz w:val="24"/>
                <w:szCs w:val="24"/>
              </w:rPr>
              <w:t>宝信软件</w:t>
            </w:r>
          </w:p>
        </w:tc>
        <w:tc>
          <w:tcPr>
            <w:vAlign w:val="center"/>
          </w:tcPr>
          <w:p>
            <w:pPr>
              <w:jc w:val="right"/>
            </w:pPr>
            <w:r>
              <w:rPr>
                <w:color w:val="000000"/>
                <w:kern w:val="0"/>
                <w:sz w:val="24"/>
                <w:szCs w:val="24"/>
              </w:rPr>
              <w:t>3,914,630</w:t>
            </w:r>
          </w:p>
        </w:tc>
        <w:tc>
          <w:tcPr>
            <w:vAlign w:val="center"/>
          </w:tcPr>
          <w:p>
            <w:pPr>
              <w:jc w:val="right"/>
            </w:pPr>
            <w:r>
              <w:rPr>
                <w:color w:val="000000"/>
                <w:kern w:val="0"/>
                <w:sz w:val="24"/>
                <w:szCs w:val="24"/>
              </w:rPr>
              <w:t>231,276,340.40</w:t>
            </w:r>
          </w:p>
        </w:tc>
        <w:tc>
          <w:tcPr>
            <w:vAlign w:val="center"/>
          </w:tcPr>
          <w:p>
            <w:pPr>
              <w:jc w:val="right"/>
            </w:pPr>
            <w:r>
              <w:rPr>
                <w:color w:val="000000"/>
                <w:kern w:val="0"/>
                <w:sz w:val="24"/>
                <w:szCs w:val="24"/>
              </w:rPr>
              <w:t>3.88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4,234,387</w:t>
            </w:r>
          </w:p>
        </w:tc>
        <w:tc>
          <w:tcPr>
            <w:vAlign w:val="center"/>
          </w:tcPr>
          <w:p>
            <w:pPr>
              <w:jc w:val="right"/>
            </w:pPr>
            <w:r>
              <w:rPr>
                <w:color w:val="000000"/>
                <w:kern w:val="0"/>
                <w:sz w:val="24"/>
                <w:szCs w:val="24"/>
              </w:rPr>
              <w:t>202,615,417.95</w:t>
            </w:r>
          </w:p>
        </w:tc>
        <w:tc>
          <w:tcPr>
            <w:vAlign w:val="center"/>
          </w:tcPr>
          <w:p>
            <w:pPr>
              <w:jc w:val="right"/>
            </w:pPr>
            <w:r>
              <w:rPr>
                <w:color w:val="000000"/>
                <w:kern w:val="0"/>
                <w:sz w:val="24"/>
                <w:szCs w:val="24"/>
              </w:rPr>
              <w:t>3.40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600967</w:t>
            </w:r>
          </w:p>
        </w:tc>
        <w:tc>
          <w:tcPr>
            <w:vAlign w:val="center"/>
          </w:tcPr>
          <w:p>
            <w:pPr>
              <w:jc w:val="center"/>
            </w:pPr>
            <w:r>
              <w:rPr>
                <w:color w:val="000000"/>
                <w:kern w:val="0"/>
                <w:sz w:val="24"/>
                <w:szCs w:val="24"/>
              </w:rPr>
              <w:t>内蒙一机</w:t>
            </w:r>
          </w:p>
        </w:tc>
        <w:tc>
          <w:tcPr>
            <w:vAlign w:val="center"/>
          </w:tcPr>
          <w:p>
            <w:pPr>
              <w:jc w:val="right"/>
            </w:pPr>
            <w:r>
              <w:rPr>
                <w:color w:val="000000"/>
                <w:kern w:val="0"/>
                <w:sz w:val="24"/>
                <w:szCs w:val="24"/>
              </w:rPr>
              <w:t>19,462,369</w:t>
            </w:r>
          </w:p>
        </w:tc>
        <w:tc>
          <w:tcPr>
            <w:vAlign w:val="center"/>
          </w:tcPr>
          <w:p>
            <w:pPr>
              <w:jc w:val="right"/>
            </w:pPr>
            <w:r>
              <w:rPr>
                <w:color w:val="000000"/>
                <w:kern w:val="0"/>
                <w:sz w:val="24"/>
                <w:szCs w:val="24"/>
              </w:rPr>
              <w:t>202,214,013.91</w:t>
            </w:r>
          </w:p>
        </w:tc>
        <w:tc>
          <w:tcPr>
            <w:vAlign w:val="center"/>
          </w:tcPr>
          <w:p>
            <w:pPr>
              <w:jc w:val="right"/>
            </w:pPr>
            <w:r>
              <w:rPr>
                <w:color w:val="000000"/>
                <w:kern w:val="0"/>
                <w:sz w:val="24"/>
                <w:szCs w:val="24"/>
              </w:rPr>
              <w:t>3.39</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300113</w:t>
            </w:r>
          </w:p>
        </w:tc>
        <w:tc>
          <w:tcPr>
            <w:vAlign w:val="center"/>
          </w:tcPr>
          <w:p>
            <w:pPr>
              <w:jc w:val="center"/>
            </w:pPr>
            <w:r>
              <w:rPr>
                <w:color w:val="000000"/>
                <w:kern w:val="0"/>
                <w:sz w:val="24"/>
                <w:szCs w:val="24"/>
              </w:rPr>
              <w:t>顺网科技</w:t>
            </w:r>
          </w:p>
        </w:tc>
        <w:tc>
          <w:tcPr>
            <w:vAlign w:val="center"/>
          </w:tcPr>
          <w:p>
            <w:pPr>
              <w:jc w:val="right"/>
            </w:pPr>
            <w:r>
              <w:rPr>
                <w:color w:val="000000"/>
                <w:kern w:val="0"/>
                <w:sz w:val="24"/>
                <w:szCs w:val="24"/>
              </w:rPr>
              <w:t>6,950,844</w:t>
            </w:r>
          </w:p>
        </w:tc>
        <w:tc>
          <w:tcPr>
            <w:vAlign w:val="center"/>
          </w:tcPr>
          <w:p>
            <w:pPr>
              <w:jc w:val="right"/>
            </w:pPr>
            <w:r>
              <w:rPr>
                <w:color w:val="000000"/>
                <w:kern w:val="0"/>
                <w:sz w:val="24"/>
                <w:szCs w:val="24"/>
              </w:rPr>
              <w:t>176,551,437.60</w:t>
            </w:r>
          </w:p>
        </w:tc>
        <w:tc>
          <w:tcPr>
            <w:vAlign w:val="center"/>
          </w:tcPr>
          <w:p>
            <w:pPr>
              <w:jc w:val="right"/>
            </w:pPr>
            <w:r>
              <w:rPr>
                <w:color w:val="000000"/>
                <w:kern w:val="0"/>
                <w:sz w:val="24"/>
                <w:szCs w:val="24"/>
              </w:rPr>
              <w:t>2.96</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300699</w:t>
            </w:r>
          </w:p>
        </w:tc>
        <w:tc>
          <w:tcPr>
            <w:vAlign w:val="center"/>
          </w:tcPr>
          <w:p>
            <w:pPr>
              <w:jc w:val="center"/>
            </w:pPr>
            <w:r>
              <w:rPr>
                <w:color w:val="000000"/>
                <w:kern w:val="0"/>
                <w:sz w:val="24"/>
                <w:szCs w:val="24"/>
              </w:rPr>
              <w:t>光威复材</w:t>
            </w:r>
          </w:p>
        </w:tc>
        <w:tc>
          <w:tcPr>
            <w:vAlign w:val="center"/>
          </w:tcPr>
          <w:p>
            <w:pPr>
              <w:jc w:val="right"/>
            </w:pPr>
            <w:r>
              <w:rPr>
                <w:color w:val="000000"/>
                <w:kern w:val="0"/>
                <w:sz w:val="24"/>
                <w:szCs w:val="24"/>
              </w:rPr>
              <w:t>2,641,122</w:t>
            </w:r>
          </w:p>
        </w:tc>
        <w:tc>
          <w:tcPr>
            <w:vAlign w:val="center"/>
          </w:tcPr>
          <w:p>
            <w:pPr>
              <w:jc w:val="right"/>
            </w:pPr>
            <w:r>
              <w:rPr>
                <w:color w:val="000000"/>
                <w:kern w:val="0"/>
                <w:sz w:val="24"/>
                <w:szCs w:val="24"/>
              </w:rPr>
              <w:t>165,677,583.06</w:t>
            </w:r>
          </w:p>
        </w:tc>
        <w:tc>
          <w:tcPr>
            <w:vAlign w:val="center"/>
          </w:tcPr>
          <w:p>
            <w:pPr>
              <w:jc w:val="right"/>
            </w:pPr>
            <w:r>
              <w:rPr>
                <w:color w:val="000000"/>
                <w:kern w:val="0"/>
                <w:sz w:val="24"/>
                <w:szCs w:val="24"/>
              </w:rPr>
              <w:t>2.78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21,830,569.11</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0.37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21,830,569.11</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0.37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123036</w:t>
            </w:r>
          </w:p>
        </w:tc>
        <w:tc>
          <w:tcPr>
            <w:vAlign w:val="center"/>
          </w:tcPr>
          <w:p>
            <w:pPr>
              <w:jc w:val="center"/>
            </w:pPr>
            <w:r>
              <w:rPr>
                <w:color w:val="000000"/>
                <w:kern w:val="0"/>
                <w:sz w:val="24"/>
                <w:szCs w:val="24"/>
              </w:rPr>
              <w:t>先导转债</w:t>
            </w:r>
          </w:p>
        </w:tc>
        <w:tc>
          <w:tcPr>
            <w:vAlign w:val="center"/>
          </w:tcPr>
          <w:p>
            <w:pPr>
              <w:jc w:val="right"/>
            </w:pPr>
            <w:r>
              <w:rPr>
                <w:color w:val="000000"/>
                <w:kern w:val="0"/>
                <w:sz w:val="24"/>
                <w:szCs w:val="24"/>
              </w:rPr>
              <w:t>64,271</w:t>
            </w:r>
          </w:p>
        </w:tc>
        <w:tc>
          <w:tcPr>
            <w:vAlign w:val="center"/>
          </w:tcPr>
          <w:p>
            <w:pPr>
              <w:jc w:val="right"/>
            </w:pPr>
            <w:r>
              <w:rPr>
                <w:color w:val="000000"/>
                <w:kern w:val="0"/>
                <w:sz w:val="24"/>
                <w:szCs w:val="24"/>
              </w:rPr>
              <w:t>8,584,677.47</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50,464</w:t>
            </w:r>
          </w:p>
        </w:tc>
        <w:tc>
          <w:tcPr>
            <w:vAlign w:val="center"/>
          </w:tcPr>
          <w:p>
            <w:pPr>
              <w:jc w:val="right"/>
            </w:pPr>
            <w:r>
              <w:rPr>
                <w:color w:val="000000"/>
                <w:kern w:val="0"/>
                <w:sz w:val="24"/>
                <w:szCs w:val="24"/>
              </w:rPr>
              <w:t>5,046,400.00</w:t>
            </w:r>
          </w:p>
        </w:tc>
        <w:tc>
          <w:tcPr>
            <w:vAlign w:val="center"/>
          </w:tcPr>
          <w:p>
            <w:pPr>
              <w:jc w:val="right"/>
            </w:pPr>
            <w:r>
              <w:rPr>
                <w:color w:val="000000"/>
                <w:kern w:val="0"/>
                <w:sz w:val="24"/>
                <w:szCs w:val="24"/>
              </w:rPr>
              <w:t>0.08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120003</w:t>
            </w:r>
          </w:p>
        </w:tc>
        <w:tc>
          <w:tcPr>
            <w:vAlign w:val="center"/>
          </w:tcPr>
          <w:p>
            <w:pPr>
              <w:jc w:val="center"/>
            </w:pPr>
            <w:r>
              <w:rPr>
                <w:color w:val="000000"/>
                <w:kern w:val="0"/>
                <w:sz w:val="24"/>
                <w:szCs w:val="24"/>
              </w:rPr>
              <w:t>19华菱EB</w:t>
            </w:r>
          </w:p>
        </w:tc>
        <w:tc>
          <w:tcPr>
            <w:vAlign w:val="center"/>
          </w:tcPr>
          <w:p>
            <w:pPr>
              <w:jc w:val="right"/>
            </w:pPr>
            <w:r>
              <w:rPr>
                <w:color w:val="000000"/>
                <w:kern w:val="0"/>
                <w:sz w:val="24"/>
                <w:szCs w:val="24"/>
              </w:rPr>
              <w:t>42,276</w:t>
            </w:r>
          </w:p>
        </w:tc>
        <w:tc>
          <w:tcPr>
            <w:vAlign w:val="center"/>
          </w:tcPr>
          <w:p>
            <w:pPr>
              <w:jc w:val="right"/>
            </w:pPr>
            <w:r>
              <w:rPr>
                <w:color w:val="000000"/>
                <w:kern w:val="0"/>
                <w:sz w:val="24"/>
                <w:szCs w:val="24"/>
              </w:rPr>
              <w:t>4,460,963.52</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132014</w:t>
            </w:r>
          </w:p>
        </w:tc>
        <w:tc>
          <w:tcPr>
            <w:vAlign w:val="center"/>
          </w:tcPr>
          <w:p>
            <w:pPr>
              <w:jc w:val="center"/>
            </w:pPr>
            <w:r>
              <w:rPr>
                <w:color w:val="000000"/>
                <w:kern w:val="0"/>
                <w:sz w:val="24"/>
                <w:szCs w:val="24"/>
              </w:rPr>
              <w:t>18中化EB</w:t>
            </w:r>
          </w:p>
        </w:tc>
        <w:tc>
          <w:tcPr>
            <w:vAlign w:val="center"/>
          </w:tcPr>
          <w:p>
            <w:pPr>
              <w:jc w:val="right"/>
            </w:pPr>
            <w:r>
              <w:rPr>
                <w:color w:val="000000"/>
                <w:kern w:val="0"/>
                <w:sz w:val="24"/>
                <w:szCs w:val="24"/>
              </w:rPr>
              <w:t>15,310</w:t>
            </w:r>
          </w:p>
        </w:tc>
        <w:tc>
          <w:tcPr>
            <w:vAlign w:val="center"/>
          </w:tcPr>
          <w:p>
            <w:pPr>
              <w:jc w:val="right"/>
            </w:pPr>
            <w:r>
              <w:rPr>
                <w:color w:val="000000"/>
                <w:kern w:val="0"/>
                <w:sz w:val="24"/>
                <w:szCs w:val="24"/>
              </w:rPr>
              <w:t>1,558,558.00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132021</w:t>
            </w:r>
          </w:p>
        </w:tc>
        <w:tc>
          <w:tcPr>
            <w:vAlign w:val="center"/>
          </w:tcPr>
          <w:p>
            <w:pPr>
              <w:jc w:val="center"/>
            </w:pPr>
            <w:r>
              <w:rPr>
                <w:color w:val="000000"/>
                <w:kern w:val="0"/>
                <w:sz w:val="24"/>
                <w:szCs w:val="24"/>
              </w:rPr>
              <w:t>19中电EB</w:t>
            </w:r>
          </w:p>
        </w:tc>
        <w:tc>
          <w:tcPr>
            <w:vAlign w:val="center"/>
          </w:tcPr>
          <w:p>
            <w:pPr>
              <w:jc w:val="right"/>
            </w:pPr>
            <w:r>
              <w:rPr>
                <w:color w:val="000000"/>
                <w:kern w:val="0"/>
                <w:sz w:val="24"/>
                <w:szCs w:val="24"/>
              </w:rPr>
              <w:t>11,490</w:t>
            </w:r>
          </w:p>
        </w:tc>
        <w:tc>
          <w:tcPr>
            <w:vAlign w:val="center"/>
          </w:tcPr>
          <w:p>
            <w:pPr>
              <w:jc w:val="right"/>
            </w:pPr>
            <w:r>
              <w:rPr>
                <w:color w:val="000000"/>
                <w:kern w:val="0"/>
                <w:sz w:val="24"/>
                <w:szCs w:val="24"/>
              </w:rPr>
              <w:t>1,405,571.70</w:t>
            </w:r>
          </w:p>
        </w:tc>
        <w:tc>
          <w:tcPr>
            <w:vAlign w:val="center"/>
          </w:tcPr>
          <w:p>
            <w:pPr>
              <w:jc w:val="right"/>
            </w:pPr>
            <w:r>
              <w:rPr>
                <w:color w:val="000000"/>
                <w:kern w:val="0"/>
                <w:sz w:val="24"/>
                <w:szCs w:val="24"/>
              </w:rPr>
              <w:t>0.02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1,115,798.79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22,712,958.53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75,916.94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4,240,867.19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28,145,541.45</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123036</w:t>
            </w:r>
          </w:p>
        </w:tc>
        <w:tc>
          <w:tcPr>
            <w:vAlign w:val="center"/>
          </w:tcPr>
          <w:p>
            <w:pPr>
              <w:jc w:val="center"/>
            </w:pPr>
            <w:r>
              <w:rPr>
                <w:color w:val="000000"/>
                <w:kern w:val="0"/>
                <w:sz w:val="24"/>
                <w:szCs w:val="24"/>
              </w:rPr>
              <w:t>先导转债</w:t>
            </w:r>
          </w:p>
        </w:tc>
        <w:tc>
          <w:tcPr>
            <w:vAlign w:val="center"/>
          </w:tcPr>
          <w:p>
            <w:pPr>
              <w:jc w:val="right"/>
            </w:pPr>
            <w:r>
              <w:rPr>
                <w:color w:val="000000"/>
                <w:kern w:val="0"/>
                <w:sz w:val="24"/>
                <w:szCs w:val="24"/>
              </w:rPr>
              <w:t>8,584,677.47</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132014</w:t>
            </w:r>
          </w:p>
        </w:tc>
        <w:tc>
          <w:tcPr>
            <w:vAlign w:val="center"/>
          </w:tcPr>
          <w:p>
            <w:pPr>
              <w:jc w:val="center"/>
            </w:pPr>
            <w:r>
              <w:rPr>
                <w:color w:val="000000"/>
                <w:kern w:val="0"/>
                <w:sz w:val="24"/>
                <w:szCs w:val="24"/>
              </w:rPr>
              <w:t>18中化EB</w:t>
            </w:r>
          </w:p>
        </w:tc>
        <w:tc>
          <w:tcPr>
            <w:vAlign w:val="center"/>
          </w:tcPr>
          <w:p>
            <w:pPr>
              <w:jc w:val="right"/>
            </w:pPr>
            <w:r>
              <w:rPr>
                <w:color w:val="000000"/>
                <w:kern w:val="0"/>
                <w:sz w:val="24"/>
                <w:szCs w:val="24"/>
              </w:rPr>
              <w:t>1,558,558.00</w:t>
            </w:r>
          </w:p>
        </w:tc>
        <w:tc>
          <w:tcPr>
            <w:vAlign w:val="center"/>
          </w:tcPr>
          <w:p>
            <w:pPr>
              <w:jc w:val="right"/>
            </w:pPr>
            <w:r>
              <w:rPr>
                <w:color w:val="000000"/>
                <w:kern w:val="0"/>
                <w:sz w:val="24"/>
                <w:szCs w:val="24"/>
              </w:rPr>
              <w:t>0.03</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2,808,198,891.91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54,944,659.99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192,439,036.92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2,670,704,514.98</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1.中国证监会核准易方达价值成长混合型证券投资基金募集的文件；</w:t>
      </w:r>
    </w:p>
    <w:p>
      <w:pPr>
        <w:spacing w:line="360" w:lineRule="auto"/>
        <w:ind w:firstLine="480" w:firstLineChars="200"/>
        <w:rPr>
          <w:color w:val="000000"/>
          <w:sz w:val="24"/>
          <w:szCs w:val="24"/>
        </w:rPr>
      </w:pPr>
      <w:r>
        <w:rPr>
          <w:color w:val="000000"/>
          <w:sz w:val="24"/>
          <w:szCs w:val="24"/>
        </w:rPr>
        <w:t>2.《易方达价值成长混合型证券投资基金基金合同》；</w:t>
      </w:r>
    </w:p>
    <w:p>
      <w:pPr>
        <w:spacing w:line="360" w:lineRule="auto"/>
        <w:ind w:firstLine="480" w:firstLineChars="200"/>
        <w:rPr>
          <w:color w:val="000000"/>
          <w:sz w:val="24"/>
          <w:szCs w:val="24"/>
        </w:rPr>
      </w:pPr>
      <w:r>
        <w:rPr>
          <w:color w:val="000000"/>
          <w:sz w:val="24"/>
          <w:szCs w:val="24"/>
        </w:rPr>
        <w:t>3.《易方达价值成长混合型证券投资基金托管协议》；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易方达价值成长混合型证券投资基金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