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易方达价值精选混合型证券投资基金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中国工商银行股份有限公司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易方达价值精选混合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110009</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110009</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2006年6月13日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2,202,882,143.12</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追求超过基准的投资回报及长期稳健的资产增值。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以深入基本面研究为主导进行投资，以“自下而上”精选价值被低估、具备持续增长能力的优势企业为主，结合“自上而下”精选最优行业，动态寻找优势企业与景气行业的最佳结合，构建投资组合。通过调整行业配置偏离度与个股的深入研究来控制风险，寻求超越基准的回报及长期可持续的资产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80%×沪深300指数+20%×上证国债指数</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本基金为混合基金，其预期风险收益水平高于债券基金和货币市场基金，低于股票基金。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中国工商银行股份有限公司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195,442,280.78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590,436,729.07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0.2622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2,874,103,097.61</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1.3047</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25.14%</w:t>
            </w:r>
          </w:p>
        </w:tc>
        <w:tc>
          <w:tcPr>
            <w:vAlign w:val="center"/>
          </w:tcPr>
          <w:p>
            <w:pPr>
              <w:jc w:val="center"/>
            </w:pPr>
            <w:r>
              <w:rPr>
                <w:color w:val="000000"/>
                <w:kern w:val="0"/>
                <w:sz w:val="24"/>
                <w:szCs w:val="24"/>
              </w:rPr>
              <w:t>1.07%</w:t>
            </w:r>
          </w:p>
        </w:tc>
        <w:tc>
          <w:tcPr>
            <w:vAlign w:val="center"/>
          </w:tcPr>
          <w:p>
            <w:pPr>
              <w:jc w:val="center"/>
            </w:pPr>
            <w:r>
              <w:rPr>
                <w:color w:val="000000"/>
                <w:kern w:val="0"/>
                <w:sz w:val="24"/>
                <w:szCs w:val="24"/>
              </w:rPr>
              <w:t>10.49%</w:t>
            </w:r>
          </w:p>
        </w:tc>
        <w:tc>
          <w:tcPr>
            <w:vAlign w:val="center"/>
          </w:tcPr>
          <w:p>
            <w:pPr>
              <w:jc w:val="center"/>
            </w:pPr>
            <w:r>
              <w:rPr>
                <w:color w:val="000000"/>
                <w:kern w:val="0"/>
                <w:sz w:val="24"/>
                <w:szCs w:val="24"/>
              </w:rPr>
              <w:t>0.72%</w:t>
            </w:r>
          </w:p>
        </w:tc>
        <w:tc>
          <w:tcPr>
            <w:vAlign w:val="center"/>
          </w:tcPr>
          <w:p>
            <w:pPr>
              <w:jc w:val="center"/>
            </w:pPr>
            <w:r>
              <w:rPr>
                <w:color w:val="000000"/>
                <w:kern w:val="0"/>
                <w:sz w:val="24"/>
                <w:szCs w:val="24"/>
              </w:rPr>
              <w:t>14.65%</w:t>
            </w:r>
          </w:p>
        </w:tc>
        <w:tc>
          <w:tcPr>
            <w:vAlign w:val="center"/>
          </w:tcPr>
          <w:p>
            <w:pPr>
              <w:jc w:val="center"/>
            </w:pPr>
            <w:r>
              <w:rPr>
                <w:color w:val="000000"/>
                <w:kern w:val="0"/>
                <w:sz w:val="24"/>
                <w:szCs w:val="24"/>
              </w:rPr>
              <w:t>0.35%</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17.97%</w:t>
            </w:r>
          </w:p>
        </w:tc>
        <w:tc>
          <w:tcPr>
            <w:vAlign w:val="center"/>
          </w:tcPr>
          <w:p>
            <w:pPr>
              <w:jc w:val="center"/>
            </w:pPr>
            <w:r>
              <w:rPr>
                <w:color w:val="000000"/>
                <w:kern w:val="0"/>
                <w:sz w:val="24"/>
                <w:szCs w:val="24"/>
              </w:rPr>
              <w:t>1.56%</w:t>
            </w:r>
          </w:p>
        </w:tc>
        <w:tc>
          <w:tcPr>
            <w:vAlign w:val="center"/>
          </w:tcPr>
          <w:p>
            <w:pPr>
              <w:jc w:val="center"/>
            </w:pPr>
            <w:r>
              <w:rPr>
                <w:color w:val="000000"/>
                <w:kern w:val="0"/>
                <w:sz w:val="24"/>
                <w:szCs w:val="24"/>
              </w:rPr>
              <w:t>1.90%</w:t>
            </w:r>
          </w:p>
        </w:tc>
        <w:tc>
          <w:tcPr>
            <w:vAlign w:val="center"/>
          </w:tcPr>
          <w:p>
            <w:pPr>
              <w:jc w:val="center"/>
            </w:pPr>
            <w:r>
              <w:rPr>
                <w:color w:val="000000"/>
                <w:kern w:val="0"/>
                <w:sz w:val="24"/>
                <w:szCs w:val="24"/>
              </w:rPr>
              <w:t>1.21%</w:t>
            </w:r>
          </w:p>
        </w:tc>
        <w:tc>
          <w:tcPr>
            <w:vAlign w:val="center"/>
          </w:tcPr>
          <w:p>
            <w:pPr>
              <w:jc w:val="center"/>
            </w:pPr>
            <w:r>
              <w:rPr>
                <w:color w:val="000000"/>
                <w:kern w:val="0"/>
                <w:sz w:val="24"/>
                <w:szCs w:val="24"/>
              </w:rPr>
              <w:t>16.07%</w:t>
            </w:r>
          </w:p>
        </w:tc>
        <w:tc>
          <w:tcPr>
            <w:vAlign w:val="center"/>
          </w:tcPr>
          <w:p>
            <w:pPr>
              <w:jc w:val="center"/>
            </w:pPr>
            <w:r>
              <w:rPr>
                <w:color w:val="000000"/>
                <w:kern w:val="0"/>
                <w:sz w:val="24"/>
                <w:szCs w:val="24"/>
              </w:rPr>
              <w:t>0.35%</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29.74%</w:t>
            </w:r>
          </w:p>
        </w:tc>
        <w:tc>
          <w:tcPr>
            <w:vAlign w:val="center"/>
          </w:tcPr>
          <w:p>
            <w:pPr>
              <w:jc w:val="center"/>
            </w:pPr>
            <w:r>
              <w:rPr>
                <w:color w:val="000000"/>
                <w:kern w:val="0"/>
                <w:sz w:val="24"/>
                <w:szCs w:val="24"/>
              </w:rPr>
              <w:t>1.25%</w:t>
            </w:r>
          </w:p>
        </w:tc>
        <w:tc>
          <w:tcPr>
            <w:vAlign w:val="center"/>
          </w:tcPr>
          <w:p>
            <w:pPr>
              <w:jc w:val="center"/>
            </w:pPr>
            <w:r>
              <w:rPr>
                <w:color w:val="000000"/>
                <w:kern w:val="0"/>
                <w:sz w:val="24"/>
                <w:szCs w:val="24"/>
              </w:rPr>
              <w:t>8.13%</w:t>
            </w:r>
          </w:p>
        </w:tc>
        <w:tc>
          <w:tcPr>
            <w:vAlign w:val="center"/>
          </w:tcPr>
          <w:p>
            <w:pPr>
              <w:jc w:val="center"/>
            </w:pPr>
            <w:r>
              <w:rPr>
                <w:color w:val="000000"/>
                <w:kern w:val="0"/>
                <w:sz w:val="24"/>
                <w:szCs w:val="24"/>
              </w:rPr>
              <w:t>0.97%</w:t>
            </w:r>
          </w:p>
        </w:tc>
        <w:tc>
          <w:tcPr>
            <w:vAlign w:val="center"/>
          </w:tcPr>
          <w:p>
            <w:pPr>
              <w:jc w:val="center"/>
            </w:pPr>
            <w:r>
              <w:rPr>
                <w:color w:val="000000"/>
                <w:kern w:val="0"/>
                <w:sz w:val="24"/>
                <w:szCs w:val="24"/>
              </w:rPr>
              <w:t>21.61%</w:t>
            </w:r>
          </w:p>
        </w:tc>
        <w:tc>
          <w:tcPr>
            <w:vAlign w:val="center"/>
          </w:tcPr>
          <w:p>
            <w:pPr>
              <w:jc w:val="center"/>
            </w:pPr>
            <w:r>
              <w:rPr>
                <w:color w:val="000000"/>
                <w:kern w:val="0"/>
                <w:sz w:val="24"/>
                <w:szCs w:val="24"/>
              </w:rPr>
              <w:t>0.28%</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43.69%</w:t>
            </w:r>
          </w:p>
        </w:tc>
        <w:tc>
          <w:tcPr>
            <w:vAlign w:val="center"/>
          </w:tcPr>
          <w:p>
            <w:pPr>
              <w:jc w:val="center"/>
            </w:pPr>
            <w:r>
              <w:rPr>
                <w:color w:val="000000"/>
                <w:kern w:val="0"/>
                <w:sz w:val="24"/>
                <w:szCs w:val="24"/>
              </w:rPr>
              <w:t>1.34%</w:t>
            </w:r>
          </w:p>
        </w:tc>
        <w:tc>
          <w:tcPr>
            <w:vAlign w:val="center"/>
          </w:tcPr>
          <w:p>
            <w:pPr>
              <w:jc w:val="center"/>
            </w:pPr>
            <w:r>
              <w:rPr>
                <w:color w:val="000000"/>
                <w:kern w:val="0"/>
                <w:sz w:val="24"/>
                <w:szCs w:val="24"/>
              </w:rPr>
              <w:t>13.59%</w:t>
            </w:r>
          </w:p>
        </w:tc>
        <w:tc>
          <w:tcPr>
            <w:vAlign w:val="center"/>
          </w:tcPr>
          <w:p>
            <w:pPr>
              <w:jc w:val="center"/>
            </w:pPr>
            <w:r>
              <w:rPr>
                <w:color w:val="000000"/>
                <w:kern w:val="0"/>
                <w:sz w:val="24"/>
                <w:szCs w:val="24"/>
              </w:rPr>
              <w:t>1.00%</w:t>
            </w:r>
          </w:p>
        </w:tc>
        <w:tc>
          <w:tcPr>
            <w:vAlign w:val="center"/>
          </w:tcPr>
          <w:p>
            <w:pPr>
              <w:jc w:val="center"/>
            </w:pPr>
            <w:r>
              <w:rPr>
                <w:color w:val="000000"/>
                <w:kern w:val="0"/>
                <w:sz w:val="24"/>
                <w:szCs w:val="24"/>
              </w:rPr>
              <w:t>30.10%</w:t>
            </w:r>
          </w:p>
        </w:tc>
        <w:tc>
          <w:tcPr>
            <w:vAlign w:val="center"/>
          </w:tcPr>
          <w:p>
            <w:pPr>
              <w:jc w:val="center"/>
            </w:pPr>
            <w:r>
              <w:rPr>
                <w:color w:val="000000"/>
                <w:kern w:val="0"/>
                <w:sz w:val="24"/>
                <w:szCs w:val="24"/>
              </w:rPr>
              <w:t>0.34%</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18.06%</w:t>
            </w:r>
          </w:p>
        </w:tc>
        <w:tc>
          <w:tcPr>
            <w:vAlign w:val="center"/>
          </w:tcPr>
          <w:p>
            <w:pPr>
              <w:jc w:val="center"/>
            </w:pPr>
            <w:r>
              <w:rPr>
                <w:color w:val="000000"/>
                <w:kern w:val="0"/>
                <w:sz w:val="24"/>
                <w:szCs w:val="24"/>
              </w:rPr>
              <w:t>1.67%</w:t>
            </w:r>
          </w:p>
        </w:tc>
        <w:tc>
          <w:tcPr>
            <w:vAlign w:val="center"/>
          </w:tcPr>
          <w:p>
            <w:pPr>
              <w:jc w:val="center"/>
            </w:pPr>
            <w:r>
              <w:rPr>
                <w:color w:val="000000"/>
                <w:kern w:val="0"/>
                <w:sz w:val="24"/>
                <w:szCs w:val="24"/>
              </w:rPr>
              <w:t>-1.14%</w:t>
            </w:r>
          </w:p>
        </w:tc>
        <w:tc>
          <w:tcPr>
            <w:vAlign w:val="center"/>
          </w:tcPr>
          <w:p>
            <w:pPr>
              <w:jc w:val="center"/>
            </w:pPr>
            <w:r>
              <w:rPr>
                <w:color w:val="000000"/>
                <w:kern w:val="0"/>
                <w:sz w:val="24"/>
                <w:szCs w:val="24"/>
              </w:rPr>
              <w:t>1.16%</w:t>
            </w:r>
          </w:p>
        </w:tc>
        <w:tc>
          <w:tcPr>
            <w:vAlign w:val="center"/>
          </w:tcPr>
          <w:p>
            <w:pPr>
              <w:jc w:val="center"/>
            </w:pPr>
            <w:r>
              <w:rPr>
                <w:color w:val="000000"/>
                <w:kern w:val="0"/>
                <w:sz w:val="24"/>
                <w:szCs w:val="24"/>
              </w:rPr>
              <w:t>19.20%</w:t>
            </w:r>
          </w:p>
        </w:tc>
        <w:tc>
          <w:tcPr>
            <w:vAlign w:val="center"/>
          </w:tcPr>
          <w:p>
            <w:pPr>
              <w:jc w:val="center"/>
            </w:pPr>
            <w:r>
              <w:rPr>
                <w:color w:val="000000"/>
                <w:kern w:val="0"/>
                <w:sz w:val="24"/>
                <w:szCs w:val="24"/>
              </w:rPr>
              <w:t>0.51%</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461.40%</w:t>
            </w:r>
          </w:p>
        </w:tc>
        <w:tc>
          <w:tcPr>
            <w:vAlign w:val="center"/>
          </w:tcPr>
          <w:p>
            <w:pPr>
              <w:jc w:val="center"/>
            </w:pPr>
            <w:r>
              <w:rPr>
                <w:color w:val="000000"/>
                <w:kern w:val="0"/>
                <w:sz w:val="24"/>
                <w:szCs w:val="24"/>
              </w:rPr>
              <w:t>1.61%</w:t>
            </w:r>
          </w:p>
        </w:tc>
        <w:tc>
          <w:tcPr>
            <w:vAlign w:val="center"/>
          </w:tcPr>
          <w:p>
            <w:pPr>
              <w:jc w:val="center"/>
            </w:pPr>
            <w:r>
              <w:rPr>
                <w:color w:val="000000"/>
                <w:kern w:val="0"/>
                <w:sz w:val="24"/>
                <w:szCs w:val="24"/>
              </w:rPr>
              <w:t>189.99%</w:t>
            </w:r>
          </w:p>
        </w:tc>
        <w:tc>
          <w:tcPr>
            <w:vAlign w:val="center"/>
          </w:tcPr>
          <w:p>
            <w:pPr>
              <w:jc w:val="center"/>
            </w:pPr>
            <w:r>
              <w:rPr>
                <w:color w:val="000000"/>
                <w:kern w:val="0"/>
                <w:sz w:val="24"/>
                <w:szCs w:val="24"/>
              </w:rPr>
              <w:t>1.39%</w:t>
            </w:r>
          </w:p>
        </w:tc>
        <w:tc>
          <w:tcPr>
            <w:vAlign w:val="center"/>
          </w:tcPr>
          <w:p>
            <w:pPr>
              <w:jc w:val="center"/>
            </w:pPr>
            <w:r>
              <w:rPr>
                <w:color w:val="000000"/>
                <w:kern w:val="0"/>
                <w:sz w:val="24"/>
                <w:szCs w:val="24"/>
              </w:rPr>
              <w:t>271.41%</w:t>
            </w:r>
          </w:p>
        </w:tc>
        <w:tc>
          <w:tcPr>
            <w:vAlign w:val="center"/>
          </w:tcPr>
          <w:p>
            <w:pPr>
              <w:jc w:val="center"/>
            </w:pPr>
            <w:r>
              <w:rPr>
                <w:color w:val="000000"/>
                <w:kern w:val="0"/>
                <w:sz w:val="24"/>
                <w:szCs w:val="24"/>
              </w:rPr>
              <w:t>0.22%</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易方达价值精选混合型证券投资基金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2006年6月13日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注：自基金合同生效至报告期末,基金份额净值增长率为461.40%，同期业绩比较基准收益率为189.99%。</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葛秋石</w:t>
            </w:r>
          </w:p>
        </w:tc>
        <w:tc>
          <w:tcPr>
            <w:vAlign w:val="center"/>
          </w:tcPr>
          <w:p>
            <w:pPr>
              <w:jc w:val="left"/>
            </w:pPr>
            <w:r>
              <w:rPr>
                <w:color w:val="000000"/>
                <w:sz w:val="24"/>
              </w:rPr>
              <w:t>本基金的基金经理、易方达创新驱动灵活配置混合型证券投资基金的基金经理</w:t>
            </w:r>
          </w:p>
        </w:tc>
        <w:tc>
          <w:tcPr>
            <w:vAlign w:val="center"/>
          </w:tcPr>
          <w:p>
            <w:pPr>
              <w:jc w:val="center"/>
            </w:pPr>
            <w:r>
              <w:rPr>
                <w:color w:val="000000"/>
                <w:sz w:val="24"/>
              </w:rPr>
              <w:t>2018-12-11</w:t>
            </w:r>
          </w:p>
        </w:tc>
        <w:tc>
          <w:tcPr>
            <w:vAlign w:val="center"/>
          </w:tcPr>
          <w:p>
            <w:pPr>
              <w:jc w:val="center"/>
            </w:pPr>
            <w:r>
              <w:rPr>
                <w:color w:val="000000"/>
                <w:sz w:val="24"/>
              </w:rPr>
              <w:t>-</w:t>
            </w:r>
          </w:p>
        </w:tc>
        <w:tc>
          <w:tcPr>
            <w:vAlign w:val="center"/>
          </w:tcPr>
          <w:p>
            <w:pPr>
              <w:jc w:val="center"/>
            </w:pPr>
            <w:r>
              <w:rPr>
                <w:color w:val="000000"/>
                <w:sz w:val="24"/>
              </w:rPr>
              <w:t>8年</w:t>
            </w:r>
          </w:p>
        </w:tc>
        <w:tc>
          <w:tcPr>
            <w:vAlign w:val="center"/>
          </w:tcPr>
          <w:p>
            <w:pPr>
              <w:jc w:val="both"/>
            </w:pPr>
            <w:r>
              <w:rPr>
                <w:color w:val="000000"/>
                <w:sz w:val="24"/>
              </w:rPr>
              <w:t>硕士研究生，具有基金从业资格。曾任易方达基金管理有限公司行业研究员、易方达价值成长混合型证券投资基金基金经理助理。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2020年二季度，A股市场各指数普遍上涨，上证综指上涨8.52%，沪深300指数上涨12.96%，创业板指数上涨30.25%。</w:t>
      </w:r>
    </w:p>
    <w:p>
      <w:pPr>
        <w:spacing w:line="360" w:lineRule="auto"/>
        <w:ind w:firstLine="480" w:firstLineChars="200"/>
        <w:rPr>
          <w:color w:val="000000"/>
          <w:sz w:val="24"/>
          <w:szCs w:val="24"/>
        </w:rPr>
      </w:pPr>
      <w:r>
        <w:rPr>
          <w:color w:val="000000"/>
          <w:sz w:val="24"/>
          <w:szCs w:val="24"/>
        </w:rPr>
        <w:t>国内复工复产有序推进，经济增速环比改善。专项债加速发行对基建投资构成支撑，地产投资维持韧性。流动性方面，新增社融和新增贷款数据亮眼，保证实体经济融资的稳定性。二季度海外各国经济增速出现断崖式下跌，海外货币宽松格局依然持续，美联储开始购买公司债，近期放松沃尔克规则，允许银行资金进入市场等。展望下半年，考虑复工复产有序推进、金融数据滞后起效、政策资金支持逐步到位，预计经济的修复将会延续，基建与服务性消费有较大改善空间，复苏进度和结构上仍会有波折，因此货币政策大概率延续稳健偏宽松格局。</w:t>
      </w:r>
    </w:p>
    <w:p>
      <w:pPr>
        <w:spacing w:line="360" w:lineRule="auto"/>
        <w:ind w:firstLine="480" w:firstLineChars="200"/>
        <w:rPr>
          <w:color w:val="000000"/>
          <w:sz w:val="24"/>
          <w:szCs w:val="24"/>
        </w:rPr>
      </w:pPr>
      <w:r>
        <w:rPr>
          <w:color w:val="000000"/>
          <w:sz w:val="24"/>
          <w:szCs w:val="24"/>
        </w:rPr>
        <w:t>综上，二季度市场呈现上涨走势，其中创业板指表现相对突出。从行业层面来看，休闲服务、食品饮料、医药等行业表现较为突出，而纺织服装、钢铁、采掘等行业涨幅相对落后。</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本基金在二季度股票仓位有所上升，主要增加了休闲服务、军工、电气设备等行业的配置。个股方面，增加了景气度向上、估值水平合理的个股配置比例。</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截至报告期末，本基金份额净值为1.3047元，本报告期份额净值增长率为25.14%，同期业绩比较基准收益率为10.49%。</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2,682,301,647.00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89.97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2,682,301,647.00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89.97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295,560,920.31</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9.91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3,441,207.14</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0.12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2,981,303,774.45</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1,814,228,373.83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63.12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5,646,375.57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0.20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15,468,256.77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0.54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355,562,431.20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12.37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423,318,209.34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14.73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15,443,992.00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0.54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52,621,241.97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2,682,301,647.00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93.33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1,682,800</w:t>
            </w:r>
          </w:p>
        </w:tc>
        <w:tc>
          <w:tcPr>
            <w:vAlign w:val="center"/>
          </w:tcPr>
          <w:p>
            <w:pPr>
              <w:jc w:val="right"/>
            </w:pPr>
            <w:r>
              <w:rPr>
                <w:color w:val="000000"/>
                <w:kern w:val="0"/>
                <w:sz w:val="24"/>
                <w:szCs w:val="24"/>
              </w:rPr>
              <w:t>287,960,736.00</w:t>
            </w:r>
          </w:p>
        </w:tc>
        <w:tc>
          <w:tcPr>
            <w:vAlign w:val="center"/>
          </w:tcPr>
          <w:p>
            <w:pPr>
              <w:jc w:val="right"/>
            </w:pPr>
            <w:r>
              <w:rPr>
                <w:color w:val="000000"/>
                <w:kern w:val="0"/>
                <w:sz w:val="24"/>
                <w:szCs w:val="24"/>
              </w:rPr>
              <w:t>10.02</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192,872</w:t>
            </w:r>
          </w:p>
        </w:tc>
        <w:tc>
          <w:tcPr>
            <w:vAlign w:val="center"/>
          </w:tcPr>
          <w:p>
            <w:pPr>
              <w:jc w:val="right"/>
            </w:pPr>
            <w:r>
              <w:rPr>
                <w:color w:val="000000"/>
                <w:kern w:val="0"/>
                <w:sz w:val="24"/>
                <w:szCs w:val="24"/>
              </w:rPr>
              <w:t>282,148,591.36</w:t>
            </w:r>
          </w:p>
        </w:tc>
        <w:tc>
          <w:tcPr>
            <w:vAlign w:val="center"/>
          </w:tcPr>
          <w:p>
            <w:pPr>
              <w:jc w:val="right"/>
            </w:pPr>
            <w:r>
              <w:rPr>
                <w:color w:val="000000"/>
                <w:kern w:val="0"/>
                <w:sz w:val="24"/>
                <w:szCs w:val="24"/>
              </w:rPr>
              <w:t>9.82</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002127</w:t>
            </w:r>
          </w:p>
        </w:tc>
        <w:tc>
          <w:tcPr>
            <w:vAlign w:val="center"/>
          </w:tcPr>
          <w:p>
            <w:pPr>
              <w:jc w:val="center"/>
            </w:pPr>
            <w:r>
              <w:rPr>
                <w:color w:val="000000"/>
                <w:kern w:val="0"/>
                <w:sz w:val="24"/>
                <w:szCs w:val="24"/>
              </w:rPr>
              <w:t>南极电商</w:t>
            </w:r>
          </w:p>
        </w:tc>
        <w:tc>
          <w:tcPr>
            <w:vAlign w:val="center"/>
          </w:tcPr>
          <w:p>
            <w:pPr>
              <w:jc w:val="right"/>
            </w:pPr>
            <w:r>
              <w:rPr>
                <w:color w:val="000000"/>
                <w:kern w:val="0"/>
                <w:sz w:val="24"/>
                <w:szCs w:val="24"/>
              </w:rPr>
              <w:t>12,953,102</w:t>
            </w:r>
          </w:p>
        </w:tc>
        <w:tc>
          <w:tcPr>
            <w:vAlign w:val="center"/>
          </w:tcPr>
          <w:p>
            <w:pPr>
              <w:jc w:val="right"/>
            </w:pPr>
            <w:r>
              <w:rPr>
                <w:color w:val="000000"/>
                <w:kern w:val="0"/>
                <w:sz w:val="24"/>
                <w:szCs w:val="24"/>
              </w:rPr>
              <w:t>274,217,169.34</w:t>
            </w:r>
          </w:p>
        </w:tc>
        <w:tc>
          <w:tcPr>
            <w:vAlign w:val="center"/>
          </w:tcPr>
          <w:p>
            <w:pPr>
              <w:jc w:val="right"/>
            </w:pPr>
            <w:r>
              <w:rPr>
                <w:color w:val="000000"/>
                <w:kern w:val="0"/>
                <w:sz w:val="24"/>
                <w:szCs w:val="24"/>
              </w:rPr>
              <w:t>9.54</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000651</w:t>
            </w:r>
          </w:p>
        </w:tc>
        <w:tc>
          <w:tcPr>
            <w:vAlign w:val="center"/>
          </w:tcPr>
          <w:p>
            <w:pPr>
              <w:jc w:val="center"/>
            </w:pPr>
            <w:r>
              <w:rPr>
                <w:color w:val="000000"/>
                <w:kern w:val="0"/>
                <w:sz w:val="24"/>
                <w:szCs w:val="24"/>
              </w:rPr>
              <w:t>格力电器</w:t>
            </w:r>
          </w:p>
        </w:tc>
        <w:tc>
          <w:tcPr>
            <w:vAlign w:val="center"/>
          </w:tcPr>
          <w:p>
            <w:pPr>
              <w:jc w:val="right"/>
            </w:pPr>
            <w:r>
              <w:rPr>
                <w:color w:val="000000"/>
                <w:kern w:val="0"/>
                <w:sz w:val="24"/>
                <w:szCs w:val="24"/>
              </w:rPr>
              <w:t>4,130,408</w:t>
            </w:r>
          </w:p>
        </w:tc>
        <w:tc>
          <w:tcPr>
            <w:vAlign w:val="center"/>
          </w:tcPr>
          <w:p>
            <w:pPr>
              <w:jc w:val="right"/>
            </w:pPr>
            <w:r>
              <w:rPr>
                <w:color w:val="000000"/>
                <w:kern w:val="0"/>
                <w:sz w:val="24"/>
                <w:szCs w:val="24"/>
              </w:rPr>
              <w:t>233,657,180.56</w:t>
            </w:r>
          </w:p>
        </w:tc>
        <w:tc>
          <w:tcPr>
            <w:vAlign w:val="center"/>
          </w:tcPr>
          <w:p>
            <w:pPr>
              <w:jc w:val="right"/>
            </w:pPr>
            <w:r>
              <w:rPr>
                <w:color w:val="000000"/>
                <w:kern w:val="0"/>
                <w:sz w:val="24"/>
                <w:szCs w:val="24"/>
              </w:rPr>
              <w:t>8.13</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000568</w:t>
            </w:r>
          </w:p>
        </w:tc>
        <w:tc>
          <w:tcPr>
            <w:vAlign w:val="center"/>
          </w:tcPr>
          <w:p>
            <w:pPr>
              <w:jc w:val="center"/>
            </w:pPr>
            <w:r>
              <w:rPr>
                <w:color w:val="000000"/>
                <w:kern w:val="0"/>
                <w:sz w:val="24"/>
                <w:szCs w:val="24"/>
              </w:rPr>
              <w:t>泸州老窖</w:t>
            </w:r>
          </w:p>
        </w:tc>
        <w:tc>
          <w:tcPr>
            <w:vAlign w:val="center"/>
          </w:tcPr>
          <w:p>
            <w:pPr>
              <w:jc w:val="right"/>
            </w:pPr>
            <w:r>
              <w:rPr>
                <w:color w:val="000000"/>
                <w:kern w:val="0"/>
                <w:sz w:val="24"/>
                <w:szCs w:val="24"/>
              </w:rPr>
              <w:t>2,537,400</w:t>
            </w:r>
          </w:p>
        </w:tc>
        <w:tc>
          <w:tcPr>
            <w:vAlign w:val="center"/>
          </w:tcPr>
          <w:p>
            <w:pPr>
              <w:jc w:val="right"/>
            </w:pPr>
            <w:r>
              <w:rPr>
                <w:color w:val="000000"/>
                <w:kern w:val="0"/>
                <w:sz w:val="24"/>
                <w:szCs w:val="24"/>
              </w:rPr>
              <w:t>231,207,888.00</w:t>
            </w:r>
          </w:p>
        </w:tc>
        <w:tc>
          <w:tcPr>
            <w:vAlign w:val="center"/>
          </w:tcPr>
          <w:p>
            <w:pPr>
              <w:jc w:val="right"/>
            </w:pPr>
            <w:r>
              <w:rPr>
                <w:color w:val="000000"/>
                <w:kern w:val="0"/>
                <w:sz w:val="24"/>
                <w:szCs w:val="24"/>
              </w:rPr>
              <w:t>8.04</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600048</w:t>
            </w:r>
          </w:p>
        </w:tc>
        <w:tc>
          <w:tcPr>
            <w:vAlign w:val="center"/>
          </w:tcPr>
          <w:p>
            <w:pPr>
              <w:jc w:val="center"/>
            </w:pPr>
            <w:r>
              <w:rPr>
                <w:color w:val="000000"/>
                <w:kern w:val="0"/>
                <w:sz w:val="24"/>
                <w:szCs w:val="24"/>
              </w:rPr>
              <w:t>保利地产</w:t>
            </w:r>
          </w:p>
        </w:tc>
        <w:tc>
          <w:tcPr>
            <w:vAlign w:val="center"/>
          </w:tcPr>
          <w:p>
            <w:pPr>
              <w:jc w:val="right"/>
            </w:pPr>
            <w:r>
              <w:rPr>
                <w:color w:val="000000"/>
                <w:kern w:val="0"/>
                <w:sz w:val="24"/>
                <w:szCs w:val="24"/>
              </w:rPr>
              <w:t>12,569,485</w:t>
            </w:r>
          </w:p>
        </w:tc>
        <w:tc>
          <w:tcPr>
            <w:vAlign w:val="center"/>
          </w:tcPr>
          <w:p>
            <w:pPr>
              <w:jc w:val="right"/>
            </w:pPr>
            <w:r>
              <w:rPr>
                <w:color w:val="000000"/>
                <w:kern w:val="0"/>
                <w:sz w:val="24"/>
                <w:szCs w:val="24"/>
              </w:rPr>
              <w:t>185,776,988.30</w:t>
            </w:r>
          </w:p>
        </w:tc>
        <w:tc>
          <w:tcPr>
            <w:vAlign w:val="center"/>
          </w:tcPr>
          <w:p>
            <w:pPr>
              <w:jc w:val="right"/>
            </w:pPr>
            <w:r>
              <w:rPr>
                <w:color w:val="000000"/>
                <w:kern w:val="0"/>
                <w:sz w:val="24"/>
                <w:szCs w:val="24"/>
              </w:rPr>
              <w:t>6.46</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000002</w:t>
            </w:r>
          </w:p>
        </w:tc>
        <w:tc>
          <w:tcPr>
            <w:vAlign w:val="center"/>
          </w:tcPr>
          <w:p>
            <w:pPr>
              <w:jc w:val="center"/>
            </w:pPr>
            <w:r>
              <w:rPr>
                <w:color w:val="000000"/>
                <w:kern w:val="0"/>
                <w:sz w:val="24"/>
                <w:szCs w:val="24"/>
              </w:rPr>
              <w:t>万科A</w:t>
            </w:r>
          </w:p>
        </w:tc>
        <w:tc>
          <w:tcPr>
            <w:vAlign w:val="center"/>
          </w:tcPr>
          <w:p>
            <w:pPr>
              <w:jc w:val="right"/>
            </w:pPr>
            <w:r>
              <w:rPr>
                <w:color w:val="000000"/>
                <w:kern w:val="0"/>
                <w:sz w:val="24"/>
                <w:szCs w:val="24"/>
              </w:rPr>
              <w:t>6,495,235</w:t>
            </w:r>
          </w:p>
        </w:tc>
        <w:tc>
          <w:tcPr>
            <w:vAlign w:val="center"/>
          </w:tcPr>
          <w:p>
            <w:pPr>
              <w:jc w:val="right"/>
            </w:pPr>
            <w:r>
              <w:rPr>
                <w:color w:val="000000"/>
                <w:kern w:val="0"/>
                <w:sz w:val="24"/>
                <w:szCs w:val="24"/>
              </w:rPr>
              <w:t>169,785,442.90</w:t>
            </w:r>
          </w:p>
        </w:tc>
        <w:tc>
          <w:tcPr>
            <w:vAlign w:val="center"/>
          </w:tcPr>
          <w:p>
            <w:pPr>
              <w:jc w:val="right"/>
            </w:pPr>
            <w:r>
              <w:rPr>
                <w:color w:val="000000"/>
                <w:kern w:val="0"/>
                <w:sz w:val="24"/>
                <w:szCs w:val="24"/>
              </w:rPr>
              <w:t>5.91</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601888</w:t>
            </w:r>
          </w:p>
        </w:tc>
        <w:tc>
          <w:tcPr>
            <w:vAlign w:val="center"/>
          </w:tcPr>
          <w:p>
            <w:pPr>
              <w:jc w:val="center"/>
            </w:pPr>
            <w:r>
              <w:rPr>
                <w:color w:val="000000"/>
                <w:kern w:val="0"/>
                <w:sz w:val="24"/>
                <w:szCs w:val="24"/>
              </w:rPr>
              <w:t>中国中免</w:t>
            </w:r>
          </w:p>
        </w:tc>
        <w:tc>
          <w:tcPr>
            <w:vAlign w:val="center"/>
          </w:tcPr>
          <w:p>
            <w:pPr>
              <w:jc w:val="right"/>
            </w:pPr>
            <w:r>
              <w:rPr>
                <w:color w:val="000000"/>
                <w:kern w:val="0"/>
                <w:sz w:val="24"/>
                <w:szCs w:val="24"/>
              </w:rPr>
              <w:t>968,000</w:t>
            </w:r>
          </w:p>
        </w:tc>
        <w:tc>
          <w:tcPr>
            <w:vAlign w:val="center"/>
          </w:tcPr>
          <w:p>
            <w:pPr>
              <w:jc w:val="right"/>
            </w:pPr>
            <w:r>
              <w:rPr>
                <w:color w:val="000000"/>
                <w:kern w:val="0"/>
                <w:sz w:val="24"/>
                <w:szCs w:val="24"/>
              </w:rPr>
              <w:t>149,101,040.00</w:t>
            </w:r>
          </w:p>
        </w:tc>
        <w:tc>
          <w:tcPr>
            <w:vAlign w:val="center"/>
          </w:tcPr>
          <w:p>
            <w:pPr>
              <w:jc w:val="right"/>
            </w:pPr>
            <w:r>
              <w:rPr>
                <w:color w:val="000000"/>
                <w:kern w:val="0"/>
                <w:sz w:val="24"/>
                <w:szCs w:val="24"/>
              </w:rPr>
              <w:t>5.19</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600276</w:t>
            </w:r>
          </w:p>
        </w:tc>
        <w:tc>
          <w:tcPr>
            <w:vAlign w:val="center"/>
          </w:tcPr>
          <w:p>
            <w:pPr>
              <w:jc w:val="center"/>
            </w:pPr>
            <w:r>
              <w:rPr>
                <w:color w:val="000000"/>
                <w:kern w:val="0"/>
                <w:sz w:val="24"/>
                <w:szCs w:val="24"/>
              </w:rPr>
              <w:t>恒瑞医药</w:t>
            </w:r>
          </w:p>
        </w:tc>
        <w:tc>
          <w:tcPr>
            <w:vAlign w:val="center"/>
          </w:tcPr>
          <w:p>
            <w:pPr>
              <w:jc w:val="right"/>
            </w:pPr>
            <w:r>
              <w:rPr>
                <w:color w:val="000000"/>
                <w:kern w:val="0"/>
                <w:sz w:val="24"/>
                <w:szCs w:val="24"/>
              </w:rPr>
              <w:t>1,518,271</w:t>
            </w:r>
          </w:p>
        </w:tc>
        <w:tc>
          <w:tcPr>
            <w:vAlign w:val="center"/>
          </w:tcPr>
          <w:p>
            <w:pPr>
              <w:jc w:val="right"/>
            </w:pPr>
            <w:r>
              <w:rPr>
                <w:color w:val="000000"/>
                <w:kern w:val="0"/>
                <w:sz w:val="24"/>
                <w:szCs w:val="24"/>
              </w:rPr>
              <w:t>140,136,413.30</w:t>
            </w:r>
          </w:p>
        </w:tc>
        <w:tc>
          <w:tcPr>
            <w:vAlign w:val="center"/>
          </w:tcPr>
          <w:p>
            <w:pPr>
              <w:jc w:val="right"/>
            </w:pPr>
            <w:r>
              <w:rPr>
                <w:color w:val="000000"/>
                <w:kern w:val="0"/>
                <w:sz w:val="24"/>
                <w:szCs w:val="24"/>
              </w:rPr>
              <w:t>4.88</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600585</w:t>
            </w:r>
          </w:p>
        </w:tc>
        <w:tc>
          <w:tcPr>
            <w:vAlign w:val="center"/>
          </w:tcPr>
          <w:p>
            <w:pPr>
              <w:jc w:val="center"/>
            </w:pPr>
            <w:r>
              <w:rPr>
                <w:color w:val="000000"/>
                <w:kern w:val="0"/>
                <w:sz w:val="24"/>
                <w:szCs w:val="24"/>
              </w:rPr>
              <w:t>海螺水泥</w:t>
            </w:r>
          </w:p>
        </w:tc>
        <w:tc>
          <w:tcPr>
            <w:vAlign w:val="center"/>
          </w:tcPr>
          <w:p>
            <w:pPr>
              <w:jc w:val="right"/>
            </w:pPr>
            <w:r>
              <w:rPr>
                <w:color w:val="000000"/>
                <w:kern w:val="0"/>
                <w:sz w:val="24"/>
                <w:szCs w:val="24"/>
              </w:rPr>
              <w:t>2,195,181</w:t>
            </w:r>
          </w:p>
        </w:tc>
        <w:tc>
          <w:tcPr>
            <w:vAlign w:val="center"/>
          </w:tcPr>
          <w:p>
            <w:pPr>
              <w:jc w:val="right"/>
            </w:pPr>
            <w:r>
              <w:rPr>
                <w:color w:val="000000"/>
                <w:kern w:val="0"/>
                <w:sz w:val="24"/>
                <w:szCs w:val="24"/>
              </w:rPr>
              <w:t>116,147,026.71</w:t>
            </w:r>
          </w:p>
        </w:tc>
        <w:tc>
          <w:tcPr>
            <w:vAlign w:val="center"/>
          </w:tcPr>
          <w:p>
            <w:pPr>
              <w:jc w:val="right"/>
            </w:pPr>
            <w:r>
              <w:rPr>
                <w:color w:val="000000"/>
                <w:kern w:val="0"/>
                <w:sz w:val="24"/>
                <w:szCs w:val="24"/>
              </w:rPr>
              <w:t>4.04</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注：本报告期末本基金投资五粮液占基金资产净值比例超过10%，属于被动超标。</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2019年8月26日，国家税务总局广州市税务局第三税务分局对保利发展控股集团股份有限公司违反税收管理规定的行为，作出“罚款2000元整”的行政处罚决定。</w:t>
      </w:r>
    </w:p>
    <w:p>
      <w:pPr>
        <w:spacing w:line="360" w:lineRule="auto"/>
        <w:rPr>
          <w:rFonts w:ascii="宋体" w:hAnsi="宋体"/>
          <w:color w:val="000000"/>
          <w:sz w:val="24"/>
          <w:szCs w:val="24"/>
        </w:rPr>
      </w:pPr>
      <w:r>
        <w:rPr>
          <w:rFonts w:ascii="宋体" w:hAnsi="宋体"/>
          <w:color w:val="000000"/>
          <w:sz w:val="24"/>
          <w:szCs w:val="24"/>
        </w:rPr>
        <w:t>2019年11月18日，珠海市交通运输局对珠海格力电器股份有限公司违反《超限运输车辆行驶公路管理规定》第四十三条的行为作出“罚款4000元”的行政处罚决定。2019年12月4日，珠海市交通运输局对珠海格力电器股份有限公司违反《超限运输车辆行驶公路管理规定》第四十三条的行为作出“罚款4000元”的行政处罚决定。</w:t>
      </w:r>
    </w:p>
    <w:p>
      <w:pPr>
        <w:spacing w:line="360" w:lineRule="auto"/>
        <w:rPr>
          <w:rFonts w:ascii="宋体" w:hAnsi="宋体"/>
          <w:color w:val="000000"/>
          <w:sz w:val="24"/>
          <w:szCs w:val="24"/>
        </w:rPr>
      </w:pPr>
      <w:r>
        <w:rPr>
          <w:rFonts w:ascii="宋体" w:hAnsi="宋体"/>
          <w:color w:val="000000"/>
          <w:sz w:val="24"/>
          <w:szCs w:val="24"/>
        </w:rPr>
        <w:t>本基金投资保利地产、格力电器的投资决策程序符合公司投资制度的规定。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除保利地产、格力电器外，本基金投资的前十名证券的发行主体本期没有出现被监管部门立案调查，或在报告编制日前一年内受到公开谴责、处罚的情形。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439,601.81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31,188.89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2,970,416.44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3,441,207.14</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2,288,168,760.27</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45,879,398.10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131,166,015.25</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2,202,882,143.12</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1．中国证监会核准易方达价值精选股票型证券投资基金募集的文件；</w:t>
      </w:r>
    </w:p>
    <w:p>
      <w:pPr>
        <w:spacing w:line="360" w:lineRule="auto"/>
        <w:ind w:firstLine="480" w:firstLineChars="200"/>
        <w:rPr>
          <w:color w:val="000000"/>
          <w:sz w:val="24"/>
          <w:szCs w:val="24"/>
        </w:rPr>
      </w:pPr>
      <w:r>
        <w:rPr>
          <w:color w:val="000000"/>
          <w:sz w:val="24"/>
          <w:szCs w:val="24"/>
        </w:rPr>
        <w:t>2.易方达基金管理有限公司关于旗下部分开放式基金更名及修改基金合同、托管协议的公告</w:t>
      </w:r>
    </w:p>
    <w:p>
      <w:pPr>
        <w:spacing w:line="360" w:lineRule="auto"/>
        <w:ind w:firstLine="480" w:firstLineChars="200"/>
        <w:rPr>
          <w:color w:val="000000"/>
          <w:sz w:val="24"/>
          <w:szCs w:val="24"/>
        </w:rPr>
      </w:pPr>
      <w:r>
        <w:rPr>
          <w:color w:val="000000"/>
          <w:sz w:val="24"/>
          <w:szCs w:val="24"/>
        </w:rPr>
        <w:t>3.《易方达价值精选混合型证券投资基金基金合同》；</w:t>
      </w:r>
    </w:p>
    <w:p>
      <w:pPr>
        <w:spacing w:line="360" w:lineRule="auto"/>
        <w:ind w:firstLine="480" w:firstLineChars="200"/>
        <w:rPr>
          <w:color w:val="000000"/>
          <w:sz w:val="24"/>
          <w:szCs w:val="24"/>
        </w:rPr>
      </w:pPr>
      <w:r>
        <w:rPr>
          <w:color w:val="000000"/>
          <w:sz w:val="24"/>
          <w:szCs w:val="24"/>
        </w:rPr>
        <w:t>4．《易方达价值精选混合型证券投资基金托管协议》；</w:t>
      </w:r>
    </w:p>
    <w:p>
      <w:pPr>
        <w:spacing w:line="360" w:lineRule="auto"/>
        <w:ind w:firstLine="480" w:firstLineChars="200"/>
        <w:rPr>
          <w:color w:val="000000"/>
          <w:sz w:val="24"/>
          <w:szCs w:val="24"/>
        </w:rPr>
      </w:pPr>
      <w:r>
        <w:rPr>
          <w:color w:val="000000"/>
          <w:sz w:val="24"/>
          <w:szCs w:val="24"/>
        </w:rPr>
        <w:t>5．《易方达基金管理有限公司开放式基金业务规则》；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6．基金管理人业务资格批件和营业执照。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易方达价值精选混合型证券投资基金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