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196812" w:rsidR="00EA3F40" w:rsidRDefault="00EA3F40" w:rsidRPr="0097021E">
      <w:pPr>
        <w:autoSpaceDE w:val="0"/>
        <w:autoSpaceDN w:val="0"/>
        <w:adjustRightInd w:val="0"/>
        <w:spacing w:line="360" w:lineRule="auto"/>
        <w:jc w:val="left"/>
        <w:rPr>
          <w:rFonts w:ascii="宋体" w:cs="Arial"/>
          <w:color w:val="000000"/>
          <w:kern w:val="0"/>
          <w:sz w:val="24"/>
        </w:rPr>
      </w:pPr>
    </w:p>
    <w:p w:rsidP="00196812" w:rsidR="00EA3F40" w:rsidRDefault="00EA3F40" w:rsidRPr="0097021E">
      <w:pPr>
        <w:autoSpaceDE w:val="0"/>
        <w:autoSpaceDN w:val="0"/>
        <w:adjustRightInd w:val="0"/>
        <w:spacing w:line="360" w:lineRule="auto"/>
        <w:jc w:val="left"/>
        <w:rPr>
          <w:rFonts w:ascii="宋体" w:cs="Arial"/>
          <w:color w:val="000000"/>
          <w:kern w:val="0"/>
          <w:sz w:val="24"/>
        </w:rPr>
      </w:pPr>
    </w:p>
    <w:p w:rsidP="00196812" w:rsidR="00EA3F40" w:rsidRDefault="00EA3F40" w:rsidRPr="0097021E">
      <w:pPr>
        <w:autoSpaceDE w:val="0"/>
        <w:autoSpaceDN w:val="0"/>
        <w:adjustRightInd w:val="0"/>
        <w:spacing w:line="360" w:lineRule="auto"/>
        <w:jc w:val="left"/>
        <w:rPr>
          <w:rFonts w:ascii="宋体" w:cs="Arial"/>
          <w:color w:val="000000"/>
          <w:kern w:val="0"/>
          <w:sz w:val="24"/>
        </w:rPr>
      </w:pPr>
    </w:p>
    <w:p w:rsidP="00196812" w:rsidR="00EA3F40" w:rsidRDefault="00EA3F40" w:rsidRPr="0097021E">
      <w:pPr>
        <w:autoSpaceDE w:val="0"/>
        <w:autoSpaceDN w:val="0"/>
        <w:adjustRightInd w:val="0"/>
        <w:spacing w:line="360" w:lineRule="auto"/>
        <w:jc w:val="left"/>
        <w:rPr>
          <w:rFonts w:ascii="宋体" w:cs="Arial"/>
          <w:color w:val="000000"/>
          <w:kern w:val="0"/>
          <w:sz w:val="24"/>
        </w:rPr>
      </w:pPr>
    </w:p>
    <w:p w:rsidP="0002085F" w:rsidR="00EA3F40" w:rsidRDefault="00EA3F40" w:rsidRPr="0097021E">
      <w:pPr>
        <w:spacing w:line="360" w:lineRule="auto"/>
        <w:jc w:val="center"/>
        <w:rPr>
          <w:rFonts w:ascii="宋体" w:hAnsi="宋体"/>
          <w:b/>
          <w:sz w:val="36"/>
          <w:szCs w:val="36"/>
        </w:rPr>
      </w:pPr>
      <w:r w:rsidRPr="0097021E">
        <w:rPr>
          <w:rFonts w:ascii="宋体"/>
          <w:b/>
          <w:sz w:val="36"/>
          <w:szCs w:val="36"/>
        </w:rPr>
        <w:t/>
      </w:r>
      <w:r w:rsidRPr="0097021E">
        <w:rPr>
          <w:rFonts w:ascii="宋体" w:hAnsi="宋体"/>
          <w:b/>
          <w:sz w:val="36"/>
          <w:szCs w:val="36"/>
        </w:rPr>
        <w:t>易方达货币市场基金</w:t>
      </w:r>
    </w:p>
    <w:p w:rsidP="0002085F" w:rsidR="00EA3F40" w:rsidRDefault="00EA3F40" w:rsidRPr="0097021E">
      <w:pPr>
        <w:spacing w:line="360" w:lineRule="auto"/>
        <w:jc w:val="center"/>
        <w:rPr>
          <w:rFonts w:ascii="宋体" w:hAnsi="宋体"/>
          <w:b/>
          <w:sz w:val="36"/>
          <w:szCs w:val="36"/>
        </w:rPr>
      </w:pPr>
      <w:r w:rsidRPr="0097021E">
        <w:rPr>
          <w:rFonts w:ascii="宋体" w:hAnsi="宋体"/>
          <w:b/>
          <w:sz w:val="36"/>
          <w:szCs w:val="36"/>
        </w:rPr>
        <w:t>2020年第2季度报告</w:t>
      </w:r>
    </w:p>
    <w:p w:rsidP="0002085F" w:rsidR="00EA3F40" w:rsidRDefault="00EA3F40" w:rsidRPr="00936106">
      <w:pPr>
        <w:spacing w:line="360" w:lineRule="auto"/>
        <w:jc w:val="center"/>
        <w:rPr>
          <w:rFonts w:ascii="宋体" w:hAnsi="宋体"/>
          <w:b/>
          <w:sz w:val="24"/>
          <w:szCs w:val="36"/>
        </w:rPr>
      </w:pPr>
      <w:r w:rsidRPr="00936106">
        <w:rPr>
          <w:rFonts w:ascii="宋体"/>
          <w:b/>
          <w:sz w:val="24"/>
          <w:szCs w:val="36"/>
        </w:rPr>
        <w:t/>
      </w:r>
      <w:r w:rsidRPr="00936106">
        <w:rPr>
          <w:rFonts w:ascii="宋体" w:hAnsi="宋体"/>
          <w:b/>
          <w:sz w:val="24"/>
          <w:szCs w:val="36"/>
        </w:rPr>
        <w:t>2020年6月30日</w:t>
      </w: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rPr>
          <w:rFonts w:ascii="宋体"/>
          <w:b/>
          <w:color w:val="000000"/>
          <w:sz w:val="24"/>
        </w:rPr>
      </w:pPr>
    </w:p>
    <w:p w:rsidP="009216A0" w:rsidR="00EA3F40" w:rsidRDefault="00EA3F40" w:rsidRPr="0097021E">
      <w:pPr>
        <w:spacing w:line="360" w:lineRule="auto"/>
        <w:ind w:firstLine="2168" w:firstLineChars="900"/>
        <w:rPr>
          <w:rFonts w:ascii="宋体" w:hAnsi="宋体"/>
          <w:b/>
          <w:color w:val="000000"/>
          <w:sz w:val="24"/>
        </w:rPr>
      </w:pPr>
      <w:r w:rsidRPr="0097021E">
        <w:rPr>
          <w:rFonts w:ascii="宋体" w:hAnsi="宋体" w:hint="eastAsia"/>
          <w:b/>
          <w:color w:val="000000"/>
          <w:sz w:val="24"/>
        </w:rPr>
        <w:t>基金管理人：</w:t>
      </w:r>
      <w:r w:rsidRPr="0097021E">
        <w:rPr>
          <w:rFonts w:ascii="宋体"/>
          <w:b/>
          <w:color w:val="000000"/>
          <w:sz w:val="24"/>
        </w:rPr>
        <w:t/>
      </w:r>
      <w:r w:rsidRPr="0097021E">
        <w:rPr>
          <w:rFonts w:ascii="宋体" w:hAnsi="宋体"/>
          <w:b/>
          <w:color w:val="000000"/>
          <w:sz w:val="24"/>
        </w:rPr>
        <w:t>易方达基金管理有限公司</w:t>
      </w:r>
    </w:p>
    <w:p w:rsidP="009216A0" w:rsidR="00EA3F40" w:rsidRDefault="00EA3F40" w:rsidRPr="0097021E">
      <w:pPr>
        <w:spacing w:line="360" w:lineRule="auto"/>
        <w:ind w:firstLine="2168" w:firstLineChars="900"/>
        <w:rPr>
          <w:rFonts w:ascii="宋体" w:hAnsi="宋体"/>
          <w:b/>
          <w:color w:val="000000"/>
          <w:sz w:val="24"/>
        </w:rPr>
      </w:pPr>
      <w:r w:rsidRPr="0097021E">
        <w:rPr>
          <w:rFonts w:ascii="宋体" w:hAnsi="宋体" w:hint="eastAsia"/>
          <w:b/>
          <w:color w:val="000000"/>
          <w:sz w:val="24"/>
        </w:rPr>
        <w:t>基金托管人：</w:t>
      </w:r>
      <w:r w:rsidRPr="0097021E">
        <w:rPr>
          <w:rFonts w:ascii="宋体"/>
          <w:b/>
          <w:color w:val="000000"/>
          <w:sz w:val="24"/>
        </w:rPr>
        <w:t/>
      </w:r>
      <w:r w:rsidRPr="0097021E">
        <w:rPr>
          <w:rFonts w:ascii="宋体" w:hAnsi="宋体"/>
          <w:b/>
          <w:color w:val="000000"/>
          <w:sz w:val="24"/>
        </w:rPr>
        <w:t>中国银行股份有限公司</w:t>
      </w:r>
    </w:p>
    <w:p w:rsidP="009216A0" w:rsidR="00EA3F40" w:rsidRDefault="00EA3F40" w:rsidRPr="0097021E">
      <w:pPr>
        <w:spacing w:line="360" w:lineRule="auto"/>
        <w:ind w:firstLine="2168" w:firstLineChars="900"/>
        <w:rPr>
          <w:rFonts w:ascii="宋体" w:hAnsi="宋体"/>
          <w:b/>
          <w:color w:val="000000"/>
          <w:sz w:val="24"/>
        </w:rPr>
        <w:sectPr w:rsidR="00EA3F40" w:rsidRPr="0097021E" w:rsidSect="005633AD">
          <w:headerReference r:id="rId8" w:type="default"/>
          <w:footerReference r:id="rId9" w:type="default"/>
          <w:pgSz w:h="15840" w:w="11926"/>
          <w:pgMar w:bottom="851" w:footer="992" w:gutter="0" w:header="851" w:left="1418" w:right="1418" w:top="1418"/>
          <w:cols w:space="720"/>
          <w:noEndnote/>
        </w:sectPr>
      </w:pPr>
      <w:r w:rsidRPr="0097021E">
        <w:rPr>
          <w:rFonts w:ascii="宋体" w:hAnsi="宋体" w:hint="eastAsia"/>
          <w:b/>
          <w:color w:val="000000"/>
          <w:sz w:val="24"/>
        </w:rPr>
        <w:t>报告送出日期：</w:t>
      </w:r>
      <w:r w:rsidRPr="0097021E">
        <w:rPr>
          <w:rFonts w:ascii="宋体"/>
          <w:b/>
          <w:color w:val="000000"/>
          <w:sz w:val="24"/>
        </w:rPr>
        <w:t/>
      </w:r>
      <w:r w:rsidRPr="0097021E">
        <w:rPr>
          <w:rFonts w:ascii="宋体" w:hAnsi="宋体"/>
          <w:b/>
          <w:color w:val="000000"/>
          <w:sz w:val="24"/>
        </w:rPr>
        <w:t>二〇二〇年七月二十一日</w:t>
      </w:r>
    </w:p>
    <w:p w:rsidP="00E23C1B" w:rsidR="00EA3F40" w:rsidRDefault="00EA3F40" w:rsidRPr="0097021E">
      <w:pPr>
        <w:pStyle w:val="1"/>
        <w:spacing w:after="312" w:afterLines="100" w:before="312" w:beforeLines="100" w:line="360" w:lineRule="auto"/>
        <w:jc w:val="center"/>
        <w:rPr>
          <w:rFonts w:ascii="宋体" w:cs="Arial"/>
          <w:b w:val="0"/>
          <w:color w:val="000000"/>
          <w:kern w:val="0"/>
          <w:sz w:val="24"/>
          <w:szCs w:val="24"/>
        </w:rPr>
      </w:pPr>
      <w:r w:rsidRPr="0097021E">
        <w:rPr>
          <w:rFonts w:ascii="宋体" w:cs="Arial" w:hAnsi="宋体" w:hint="eastAsia"/>
          <w:color w:val="000000"/>
          <w:kern w:val="0"/>
          <w:sz w:val="24"/>
          <w:szCs w:val="24"/>
        </w:rPr>
        <w:lastRenderedPageBreak/>
        <w:t>§</w:t>
      </w:r>
      <w:r w:rsidRPr="0097021E">
        <w:rPr>
          <w:rFonts w:ascii="宋体" w:cs="Arial" w:hAnsi="宋体"/>
          <w:color w:val="000000"/>
          <w:kern w:val="0"/>
          <w:sz w:val="24"/>
          <w:szCs w:val="24"/>
        </w:rPr>
        <w:t xml:space="preserve">1  </w:t>
      </w:r>
      <w:r w:rsidRPr="0097021E">
        <w:rPr>
          <w:rFonts w:ascii="宋体" w:cs="Arial" w:hAnsi="宋体" w:hint="eastAsia"/>
          <w:color w:val="000000"/>
          <w:kern w:val="0"/>
          <w:sz w:val="24"/>
          <w:szCs w:val="24"/>
        </w:rPr>
        <w:t>重要提示</w:t>
      </w:r>
    </w:p>
    <w:p>
      <w:pPr>
        <w:adjustRightInd w:val="0"/>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adjustRightInd w:val="0"/>
        <w:spacing w:line="360" w:lineRule="auto"/>
        <w:ind w:firstLine="480" w:firstLineChars="200"/>
        <w:rPr>
          <w:color w:val="000000"/>
          <w:sz w:val="24"/>
        </w:rPr>
      </w:pPr>
      <w:r>
        <w:rPr>
          <w:color w:val="000000"/>
          <w:sz w:val="24"/>
        </w:rPr>
        <w:t xml:space="preserve">基金托管人中国银行股份有限公司根据本基金合同规定，于2020年7月17日复核了本报告中的财务指标、净值表现和投资组合报告等内容，保证复核内容不存在虚假记载、误导性陈述或者重大遗漏。 </w:t>
      </w:r>
    </w:p>
    <w:p>
      <w:pPr>
        <w:adjustRightInd w:val="0"/>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adjustRightInd w:val="0"/>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adjustRightInd w:val="0"/>
        <w:spacing w:line="360" w:lineRule="auto"/>
        <w:ind w:firstLine="480" w:firstLineChars="200"/>
        <w:rPr>
          <w:color w:val="000000"/>
          <w:sz w:val="24"/>
        </w:rPr>
      </w:pPr>
      <w:r>
        <w:rPr>
          <w:color w:val="000000"/>
          <w:sz w:val="24"/>
        </w:rPr>
        <w:t>本报告中财务资料未经审计。</w:t>
      </w:r>
    </w:p>
    <w:p w:rsidP="001752C7" w:rsidR="00EA3F40" w:rsidRDefault="00EA3F40" w:rsidRPr="001752C7">
      <w:pPr>
        <w:adjustRightInd w:val="0"/>
        <w:spacing w:line="360" w:lineRule="auto"/>
        <w:ind w:firstLine="480" w:firstLineChars="200"/>
        <w:rPr>
          <w:color w:val="000000"/>
          <w:sz w:val="24"/>
        </w:rPr>
      </w:pPr>
      <w:r w:rsidRPr="001752C7">
        <w:rPr>
          <w:color w:val="000000"/>
          <w:sz w:val="24"/>
        </w:rPr>
        <w:t>本报告期自2020年4月1日起至6月30日止。</w:t>
      </w:r>
    </w:p>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2  </w:t>
      </w:r>
      <w:r w:rsidRPr="0097021E">
        <w:rPr>
          <w:rFonts w:ascii="宋体" w:cs="Arial" w:hAnsi="宋体" w:hint="eastAsia"/>
          <w:color w:val="000000"/>
          <w:kern w:val="0"/>
          <w:sz w:val="24"/>
          <w:szCs w:val="24"/>
        </w:rPr>
        <w:t>基金产品概况</w:t>
      </w:r>
    </w:p>
    <w:tbl>
      <w:tblPr>
        <w:tblW w:type="dxa" w:w="9736"/>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300"/>
        <w:gridCol w:w="1150"/>
        <w:gridCol w:w="1150"/>
        <w:gridCol w:w="2301"/>
      </w:tblGrid>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kern w:val="0"/>
                <w:sz w:val="24"/>
              </w:rPr>
            </w:pPr>
            <w:r w:rsidRPr="00613409">
              <w:rPr>
                <w:kern w:val="0"/>
                <w:sz w:val="24"/>
              </w:rPr>
              <w:t>基金简称</w:t>
            </w:r>
          </w:p>
        </w:tc>
        <w:tc>
          <w:tcPr>
            <w:tcW w:type="dxa" w:w="6901"/>
            <w:gridSpan w:val="4"/>
          </w:tcPr>
          <w:p w:rsidP="00196812" w:rsidR="00EA3F40" w:rsidRDefault="00EA3F40" w:rsidRPr="00613409">
            <w:pPr>
              <w:adjustRightInd w:val="0"/>
              <w:spacing w:before="29" w:line="360" w:lineRule="auto"/>
              <w:ind w:left="17"/>
              <w:jc w:val="left"/>
              <w:rPr>
                <w:color w:val="000000"/>
                <w:kern w:val="0"/>
                <w:sz w:val="24"/>
              </w:rPr>
            </w:pPr>
            <w:r w:rsidRPr="00613409">
              <w:rPr>
                <w:color w:val="000000"/>
                <w:kern w:val="0"/>
                <w:sz w:val="24"/>
              </w:rPr>
              <w:t>易方达货币</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kern w:val="0"/>
                <w:sz w:val="24"/>
              </w:rPr>
            </w:pPr>
            <w:r w:rsidRPr="00613409">
              <w:rPr>
                <w:kern w:val="0"/>
                <w:sz w:val="24"/>
              </w:rPr>
              <w:t>基金主代码</w:t>
            </w:r>
          </w:p>
        </w:tc>
        <w:tc>
          <w:tcPr>
            <w:tcW w:type="dxa" w:w="6901"/>
            <w:gridSpan w:val="4"/>
          </w:tcPr>
          <w:p w:rsidP="00196812" w:rsidR="00EA3F40" w:rsidRDefault="00EA3F40" w:rsidRPr="00613409">
            <w:pPr>
              <w:adjustRightInd w:val="0"/>
              <w:spacing w:before="29" w:line="360" w:lineRule="auto"/>
              <w:ind w:left="17"/>
              <w:jc w:val="left"/>
              <w:rPr>
                <w:color w:val="000000"/>
                <w:kern w:val="0"/>
                <w:sz w:val="24"/>
              </w:rPr>
            </w:pPr>
            <w:r w:rsidRPr="00613409">
              <w:rPr>
                <w:color w:val="000000"/>
                <w:kern w:val="0"/>
                <w:sz w:val="24"/>
              </w:rPr>
              <w:t>110006</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基金运作方式</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契约型开放式</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基金合同生效日</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2005年2月2日</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报告期末基金份额总额</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23,643,231,691.30</w:t>
            </w:r>
            <w:r w:rsidRPr="00613409">
              <w:rPr>
                <w:color w:val="000000"/>
                <w:kern w:val="0"/>
                <w:sz w:val="24"/>
              </w:rPr>
              <w:t>份</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投资目标</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在确保本金安全和高流动性的前提下，追求超过基准的回报。</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投资策略</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在保持安全性和流动性的前提下尽可能提升组合的收益。</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业绩比较基准</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税后活期存款利率(即活期存款利率×(1－利息税率))</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kern w:val="0"/>
                <w:sz w:val="24"/>
              </w:rPr>
            </w:pPr>
            <w:r w:rsidRPr="00613409">
              <w:rPr>
                <w:kern w:val="0"/>
                <w:sz w:val="24"/>
              </w:rPr>
              <w:t>风险收益特征</w:t>
            </w:r>
          </w:p>
        </w:tc>
        <w:tc>
          <w:tcPr>
            <w:tcW w:type="dxa" w:w="6901"/>
            <w:gridSpan w:val="4"/>
          </w:tcPr>
          <w:p w:rsidP="00196812" w:rsidR="00EA3F40" w:rsidRDefault="00EA3F40" w:rsidRPr="00613409">
            <w:pPr>
              <w:adjustRightInd w:val="0"/>
              <w:spacing w:before="29" w:line="360" w:lineRule="auto"/>
              <w:ind w:left="17"/>
              <w:jc w:val="left"/>
              <w:rPr>
                <w:color w:val="000000"/>
                <w:kern w:val="0"/>
                <w:sz w:val="24"/>
              </w:rPr>
            </w:pPr>
            <w:r w:rsidRPr="00613409">
              <w:rPr>
                <w:color w:val="000000"/>
                <w:kern w:val="0"/>
                <w:sz w:val="24"/>
              </w:rPr>
              <w:t>本基金属于证券投资基金中高流动性、低风险的品种，其预期风险和预期收益率都低于股票基金、债券基金和混合基金。</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基金管理人</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易方达基金管理有限公司</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基金托管人</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中国银行股份有限公司</w:t>
            </w:r>
          </w:p>
        </w:tc>
      </w:tr>
      <w:tr w:rsidR="00EA3F40" w:rsidRPr="0097021E" w:rsidTr="001669F2">
        <w:trPr>
          <w:jc w:val="center"/>
        </w:trPr>
        <w:tc>
          <w:tcPr>
            <w:tcW w:type="dxa" w:w="2835"/>
          </w:tcPr>
          <w:p w:rsidP="00D271A9" w:rsidR="00EA3F40" w:rsidRDefault="00EA3F40" w:rsidRPr="00613409">
            <w:pPr>
              <w:adjustRightInd w:val="0"/>
              <w:spacing w:before="29" w:line="360" w:lineRule="auto"/>
              <w:ind w:left="17"/>
              <w:jc w:val="left"/>
              <w:rPr>
                <w:kern w:val="0"/>
                <w:sz w:val="24"/>
              </w:rPr>
            </w:pPr>
            <w:r w:rsidRPr="00613409">
              <w:rPr>
                <w:color w:val="000000"/>
                <w:sz w:val="24"/>
              </w:rPr>
              <w:t>下属</w:t>
            </w:r>
            <w:r w:rsidR="00D271A9" w:rsidRPr="00613409">
              <w:rPr>
                <w:color w:val="000000"/>
                <w:sz w:val="24"/>
              </w:rPr>
              <w:t>分</w:t>
            </w:r>
            <w:r w:rsidRPr="00613409">
              <w:rPr>
                <w:color w:val="000000"/>
                <w:sz w:val="24"/>
              </w:rPr>
              <w:t>级基金的基金简称</w:t>
            </w:r>
          </w:p>
        </w:tc>
        <w:tc>
          <w:tcPr>
            <w:tcW w:type="dxa" w:w="2300"/>
            <w:vAlign w:val="center"/>
          </w:tcPr>
          <w:p w:rsidP="00196812" w:rsidR="00EA3F40" w:rsidRDefault="00EA3F40" w:rsidRPr="00613409">
            <w:pPr>
              <w:spacing w:line="360" w:lineRule="auto"/>
              <w:jc w:val="left"/>
              <w:rPr>
                <w:sz w:val="24"/>
              </w:rPr>
            </w:pPr>
            <w:r w:rsidRPr="00613409">
              <w:rPr>
                <w:color w:val="000000"/>
                <w:kern w:val="0"/>
                <w:sz w:val="24"/>
              </w:rPr>
              <w:t/>
            </w:r>
            <w:r w:rsidRPr="00613409">
              <w:rPr>
                <w:sz w:val="24"/>
              </w:rPr>
              <w:t>易方达货币A</w:t>
            </w:r>
          </w:p>
        </w:tc>
        <w:tc>
          <w:tcPr>
            <w:tcW w:type="dxa" w:w="2300"/>
            <w:gridSpan w:val="2"/>
            <w:vAlign w:val="center"/>
          </w:tcPr>
          <w:p w:rsidP="00196812" w:rsidR="00EA3F40" w:rsidRDefault="00EA3F40" w:rsidRPr="00613409">
            <w:pPr>
              <w:spacing w:line="360" w:lineRule="auto"/>
              <w:jc w:val="left"/>
              <w:rPr>
                <w:sz w:val="24"/>
              </w:rPr>
            </w:pPr>
            <w:r w:rsidRPr="00613409">
              <w:rPr>
                <w:color w:val="000000"/>
                <w:kern w:val="0"/>
                <w:sz w:val="24"/>
              </w:rPr>
              <w:t/>
            </w:r>
            <w:r w:rsidRPr="00613409">
              <w:rPr>
                <w:sz w:val="24"/>
              </w:rPr>
              <w:t>易方达货币B</w:t>
            </w:r>
          </w:p>
        </w:tc>
        <w:tc>
          <w:tcPr>
            <w:tcW w:type="dxa" w:w="2301"/>
            <w:vAlign w:val="center"/>
          </w:tcPr>
          <w:p w:rsidP="00025C5D" w:rsidR="00EA3F40" w:rsidRDefault="00EA3F40" w:rsidRPr="00613409">
            <w:pPr>
              <w:spacing w:line="360" w:lineRule="auto"/>
              <w:jc w:val="left"/>
              <w:rPr>
                <w:sz w:val="24"/>
              </w:rPr>
            </w:pPr>
            <w:r w:rsidRPr="00613409">
              <w:rPr>
                <w:color w:val="000000"/>
                <w:kern w:val="0"/>
                <w:sz w:val="24"/>
              </w:rPr>
              <w:t/>
            </w:r>
            <w:r w:rsidRPr="00613409">
              <w:rPr>
                <w:sz w:val="24"/>
              </w:rPr>
              <w:t>易方达货币E</w:t>
            </w:r>
          </w:p>
        </w:tc>
      </w:tr>
      <w:tr w:rsidR="00E325AB" w:rsidRPr="0097021E" w:rsidTr="00546492">
        <w:trPr>
          <w:jc w:val="center"/>
        </w:trPr>
        <w:tc>
          <w:tcPr>
            <w:tcW w:type="dxa" w:w="2835"/>
            <w:vAlign w:val="center"/>
          </w:tcPr>
          <w:p w:rsidP="00D271A9" w:rsidR="00E325AB" w:rsidRDefault="00E325AB" w:rsidRPr="00613409">
            <w:pPr>
              <w:adjustRightInd w:val="0"/>
              <w:spacing w:before="29" w:line="360" w:lineRule="auto"/>
              <w:ind w:left="17"/>
              <w:rPr>
                <w:color w:val="000000"/>
                <w:sz w:val="24"/>
              </w:rPr>
            </w:pPr>
            <w:r w:rsidRPr="00613409">
              <w:rPr>
                <w:color w:val="000000"/>
                <w:sz w:val="24"/>
              </w:rPr>
              <w:t>下属</w:t>
            </w:r>
            <w:r w:rsidR="00D271A9" w:rsidRPr="00613409">
              <w:rPr>
                <w:color w:val="000000"/>
                <w:sz w:val="24"/>
              </w:rPr>
              <w:t>分</w:t>
            </w:r>
            <w:r w:rsidR="00E067CB">
              <w:rPr>
                <w:color w:val="000000"/>
                <w:sz w:val="24"/>
              </w:rPr>
              <w:t>级基金</w:t>
            </w:r>
            <w:r w:rsidRPr="00613409">
              <w:rPr>
                <w:color w:val="000000"/>
                <w:sz w:val="24"/>
              </w:rPr>
              <w:t>场内简称</w:t>
            </w:r>
          </w:p>
        </w:tc>
        <w:tc>
          <w:tcPr>
            <w:tcW w:type="dxa" w:w="2300"/>
            <w:vAlign w:val="center"/>
          </w:tcPr>
          <w:p w:rsidP="00546492" w:rsidR="00E325AB" w:rsidRDefault="00E325AB" w:rsidRPr="00613409">
            <w:pPr>
              <w:spacing w:line="360" w:lineRule="auto"/>
              <w:jc w:val="left"/>
              <w:rPr>
                <w:color w:val="000000"/>
                <w:kern w:val="0"/>
                <w:sz w:val="24"/>
              </w:rPr>
            </w:pPr>
            <w:r w:rsidRPr="00613409">
              <w:rPr>
                <w:sz w:val="24"/>
              </w:rPr>
              <w:t>-</w:t>
            </w:r>
          </w:p>
        </w:tc>
        <w:tc>
          <w:tcPr>
            <w:tcW w:type="dxa" w:w="2300"/>
            <w:gridSpan w:val="2"/>
            <w:vAlign w:val="center"/>
          </w:tcPr>
          <w:p w:rsidP="00546492" w:rsidR="00E325AB" w:rsidRDefault="00E325AB" w:rsidRPr="00613409">
            <w:pPr>
              <w:spacing w:line="360" w:lineRule="auto"/>
              <w:jc w:val="left"/>
              <w:rPr>
                <w:color w:val="000000"/>
                <w:kern w:val="0"/>
                <w:sz w:val="24"/>
              </w:rPr>
            </w:pPr>
            <w:r w:rsidRPr="00613409">
              <w:rPr>
                <w:sz w:val="24"/>
              </w:rPr>
              <w:t>-</w:t>
            </w:r>
          </w:p>
        </w:tc>
        <w:tc>
          <w:tcPr>
            <w:tcW w:type="dxa" w:w="2301"/>
            <w:vAlign w:val="center"/>
          </w:tcPr>
          <w:p w:rsidP="00546492" w:rsidR="00E325AB" w:rsidRDefault="00E325AB" w:rsidRPr="00613409">
            <w:pPr>
              <w:spacing w:line="360" w:lineRule="auto"/>
              <w:jc w:val="left"/>
              <w:rPr>
                <w:color w:val="000000"/>
                <w:kern w:val="0"/>
                <w:sz w:val="24"/>
              </w:rPr>
            </w:pPr>
            <w:r w:rsidRPr="00613409">
              <w:rPr>
                <w:sz w:val="24"/>
              </w:rPr>
              <w:t>易货币、易方达货币ETF</w:t>
            </w:r>
          </w:p>
        </w:tc>
      </w:tr>
      <w:tr w:rsidR="00E325AB" w:rsidRPr="0097021E" w:rsidTr="001669F2">
        <w:trPr>
          <w:jc w:val="center"/>
        </w:trPr>
        <w:tc>
          <w:tcPr>
            <w:tcW w:type="dxa" w:w="2835"/>
          </w:tcPr>
          <w:p w:rsidP="00D271A9" w:rsidR="00E325AB" w:rsidRDefault="00E325AB" w:rsidRPr="00613409">
            <w:pPr>
              <w:adjustRightInd w:val="0"/>
              <w:spacing w:before="29" w:line="360" w:lineRule="auto"/>
              <w:ind w:left="17"/>
              <w:jc w:val="left"/>
              <w:rPr>
                <w:color w:val="000000"/>
                <w:sz w:val="24"/>
              </w:rPr>
            </w:pPr>
            <w:r w:rsidRPr="00613409">
              <w:rPr>
                <w:color w:val="000000"/>
                <w:sz w:val="24"/>
              </w:rPr>
              <w:lastRenderedPageBreak/>
              <w:t>下属</w:t>
            </w:r>
            <w:r w:rsidR="00D271A9" w:rsidRPr="00613409">
              <w:rPr>
                <w:color w:val="000000"/>
                <w:sz w:val="24"/>
              </w:rPr>
              <w:t>分</w:t>
            </w:r>
            <w:r w:rsidRPr="00613409">
              <w:rPr>
                <w:color w:val="000000"/>
                <w:sz w:val="24"/>
              </w:rPr>
              <w:t>级基金的交易代码</w:t>
            </w:r>
          </w:p>
        </w:tc>
        <w:tc>
          <w:tcPr>
            <w:tcW w:type="dxa" w:w="2300"/>
            <w:vAlign w:val="center"/>
          </w:tcPr>
          <w:p w:rsidP="00196812" w:rsidR="00E325AB" w:rsidRDefault="00E325AB" w:rsidRPr="00613409">
            <w:pPr>
              <w:spacing w:line="360" w:lineRule="auto"/>
              <w:jc w:val="left"/>
              <w:rPr>
                <w:sz w:val="24"/>
              </w:rPr>
            </w:pPr>
            <w:r w:rsidRPr="00613409">
              <w:rPr>
                <w:color w:val="000000"/>
                <w:kern w:val="0"/>
                <w:sz w:val="24"/>
              </w:rPr>
              <w:t/>
            </w:r>
            <w:r w:rsidRPr="00613409">
              <w:rPr>
                <w:sz w:val="24"/>
              </w:rPr>
              <w:t>110006</w:t>
            </w:r>
          </w:p>
        </w:tc>
        <w:tc>
          <w:tcPr>
            <w:tcW w:type="dxa" w:w="2300"/>
            <w:gridSpan w:val="2"/>
            <w:vAlign w:val="center"/>
          </w:tcPr>
          <w:p w:rsidP="00196812" w:rsidR="00E325AB" w:rsidRDefault="00E325AB" w:rsidRPr="00613409">
            <w:pPr>
              <w:spacing w:line="360" w:lineRule="auto"/>
              <w:jc w:val="left"/>
              <w:rPr>
                <w:sz w:val="24"/>
              </w:rPr>
            </w:pPr>
            <w:r w:rsidRPr="00613409">
              <w:rPr>
                <w:color w:val="000000"/>
                <w:kern w:val="0"/>
                <w:sz w:val="24"/>
              </w:rPr>
              <w:t/>
            </w:r>
            <w:r w:rsidRPr="00613409">
              <w:rPr>
                <w:sz w:val="24"/>
              </w:rPr>
              <w:t>110016</w:t>
            </w:r>
          </w:p>
        </w:tc>
        <w:tc>
          <w:tcPr>
            <w:tcW w:type="dxa" w:w="2301"/>
            <w:vAlign w:val="center"/>
          </w:tcPr>
          <w:p w:rsidP="001669F2" w:rsidR="00E325AB" w:rsidRDefault="00E325AB" w:rsidRPr="00613409">
            <w:pPr>
              <w:spacing w:line="360" w:lineRule="auto"/>
              <w:jc w:val="left"/>
              <w:rPr>
                <w:sz w:val="24"/>
              </w:rPr>
            </w:pPr>
            <w:r w:rsidRPr="00613409">
              <w:rPr>
                <w:color w:val="000000"/>
                <w:kern w:val="0"/>
                <w:sz w:val="24"/>
              </w:rPr>
              <w:t/>
            </w:r>
            <w:r w:rsidRPr="00613409">
              <w:rPr>
                <w:sz w:val="24"/>
              </w:rPr>
              <w:t>511800</w:t>
            </w:r>
          </w:p>
        </w:tc>
      </w:tr>
      <w:tr w:rsidR="00E325AB" w:rsidRPr="0097021E" w:rsidTr="001669F2">
        <w:trPr>
          <w:jc w:val="center"/>
        </w:trPr>
        <w:tc>
          <w:tcPr>
            <w:tcW w:type="dxa" w:w="2835"/>
          </w:tcPr>
          <w:p w:rsidP="00D271A9" w:rsidR="00E325AB" w:rsidRDefault="00E325AB" w:rsidRPr="00613409">
            <w:pPr>
              <w:adjustRightInd w:val="0"/>
              <w:spacing w:before="29" w:line="360" w:lineRule="auto"/>
              <w:ind w:left="17"/>
              <w:jc w:val="left"/>
              <w:rPr>
                <w:color w:val="000000"/>
                <w:sz w:val="24"/>
              </w:rPr>
            </w:pPr>
            <w:r w:rsidRPr="00613409">
              <w:rPr>
                <w:color w:val="000000"/>
                <w:sz w:val="24"/>
              </w:rPr>
              <w:t>报告期末下属</w:t>
            </w:r>
            <w:r w:rsidR="00D271A9" w:rsidRPr="00613409">
              <w:rPr>
                <w:color w:val="000000"/>
                <w:sz w:val="24"/>
              </w:rPr>
              <w:t>分</w:t>
            </w:r>
            <w:r w:rsidRPr="00613409">
              <w:rPr>
                <w:color w:val="000000"/>
                <w:sz w:val="24"/>
              </w:rPr>
              <w:t>级基金的份额总额</w:t>
            </w:r>
          </w:p>
        </w:tc>
        <w:tc>
          <w:tcPr>
            <w:tcW w:type="dxa" w:w="2300"/>
            <w:vAlign w:val="center"/>
          </w:tcPr>
          <w:p w:rsidP="00196812" w:rsidR="00E325AB" w:rsidRDefault="00E325AB" w:rsidRPr="00613409">
            <w:pPr>
              <w:spacing w:line="360" w:lineRule="auto"/>
              <w:jc w:val="left"/>
              <w:rPr>
                <w:sz w:val="24"/>
              </w:rPr>
            </w:pPr>
            <w:r w:rsidRPr="00613409">
              <w:rPr>
                <w:color w:val="000000"/>
                <w:kern w:val="0"/>
                <w:sz w:val="24"/>
              </w:rPr>
              <w:t/>
            </w:r>
            <w:r w:rsidRPr="00613409">
              <w:rPr>
                <w:sz w:val="24"/>
              </w:rPr>
              <w:t>1,401,697,472.73</w:t>
            </w:r>
            <w:r w:rsidRPr="00613409">
              <w:rPr>
                <w:sz w:val="24"/>
              </w:rPr>
              <w:t>份</w:t>
            </w:r>
          </w:p>
        </w:tc>
        <w:tc>
          <w:tcPr>
            <w:tcW w:type="dxa" w:w="2300"/>
            <w:gridSpan w:val="2"/>
            <w:vAlign w:val="center"/>
          </w:tcPr>
          <w:p w:rsidP="00196812" w:rsidR="00E325AB" w:rsidRDefault="00E325AB" w:rsidRPr="00613409">
            <w:pPr>
              <w:spacing w:line="360" w:lineRule="auto"/>
              <w:jc w:val="left"/>
              <w:rPr>
                <w:sz w:val="24"/>
              </w:rPr>
            </w:pPr>
            <w:r w:rsidRPr="00613409">
              <w:rPr>
                <w:color w:val="000000"/>
                <w:kern w:val="0"/>
                <w:sz w:val="24"/>
              </w:rPr>
              <w:t/>
            </w:r>
            <w:r w:rsidRPr="00613409">
              <w:rPr>
                <w:sz w:val="24"/>
              </w:rPr>
              <w:t>21,946,596,340.92</w:t>
            </w:r>
            <w:r w:rsidRPr="00613409">
              <w:rPr>
                <w:sz w:val="24"/>
              </w:rPr>
              <w:t>份</w:t>
            </w:r>
          </w:p>
        </w:tc>
        <w:tc>
          <w:tcPr>
            <w:tcW w:type="dxa" w:w="2301"/>
            <w:vAlign w:val="center"/>
          </w:tcPr>
          <w:p w:rsidP="00025C5D" w:rsidR="00E325AB" w:rsidRDefault="00E325AB" w:rsidRPr="00613409">
            <w:pPr>
              <w:spacing w:line="360" w:lineRule="auto"/>
              <w:jc w:val="left"/>
              <w:rPr>
                <w:sz w:val="24"/>
              </w:rPr>
            </w:pPr>
            <w:r w:rsidRPr="00613409">
              <w:rPr>
                <w:color w:val="000000"/>
                <w:kern w:val="0"/>
                <w:sz w:val="24"/>
              </w:rPr>
              <w:t/>
            </w:r>
            <w:r w:rsidRPr="00613409">
              <w:rPr>
                <w:sz w:val="24"/>
              </w:rPr>
              <w:t>294,937,877.65</w:t>
            </w:r>
            <w:r w:rsidRPr="00613409">
              <w:rPr>
                <w:sz w:val="24"/>
              </w:rPr>
              <w:t>份</w:t>
            </w:r>
          </w:p>
        </w:tc>
      </w:tr>
    </w:tbl>
    <w:p>
      <w:pPr>
        <w:adjustRightInd w:val="0"/>
        <w:spacing w:line="360" w:lineRule="auto"/>
        <w:ind w:firstLine="480" w:firstLineChars="200"/>
        <w:rPr>
          <w:color w:val="000000"/>
          <w:sz w:val="24"/>
        </w:rPr>
      </w:pPr>
      <w:r>
        <w:rPr>
          <w:color w:val="000000"/>
          <w:sz w:val="24"/>
        </w:rPr>
        <w:t>注：1.易方达货币市场基金E类基金份额上市交易。</w:t>
      </w:r>
    </w:p>
    <w:p w:rsidP="001752C7" w:rsidR="00EA3F40" w:rsidRDefault="00EA3F40" w:rsidRPr="001752C7">
      <w:pPr>
        <w:adjustRightInd w:val="0"/>
        <w:spacing w:line="360" w:lineRule="auto"/>
        <w:ind w:firstLine="480" w:firstLineChars="200"/>
        <w:rPr>
          <w:color w:val="000000"/>
          <w:sz w:val="24"/>
        </w:rPr>
      </w:pPr>
      <w:r w:rsidRPr="001752C7">
        <w:rPr>
          <w:color w:val="000000"/>
          <w:sz w:val="24"/>
        </w:rPr>
        <w:t>2.自2014年11月21日起，易方达货币市场基金增设E类份额类别，基金份额面值为100元，本表所列E类份额数据面值已折算为1元。</w:t>
      </w:r>
    </w:p>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3  </w:t>
      </w:r>
      <w:r w:rsidRPr="0097021E">
        <w:rPr>
          <w:rFonts w:ascii="宋体" w:cs="Arial" w:hAnsi="宋体" w:hint="eastAsia"/>
          <w:color w:val="000000"/>
          <w:kern w:val="0"/>
          <w:sz w:val="24"/>
          <w:szCs w:val="24"/>
        </w:rPr>
        <w:t>主要财务指标和基金净值表现</w:t>
      </w:r>
    </w:p>
    <w:p w:rsidP="009A755D"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3.1 </w:t>
      </w:r>
      <w:r w:rsidRPr="0097021E">
        <w:rPr>
          <w:rFonts w:ascii="宋体" w:cs="Arial" w:hAnsi="宋体" w:hint="eastAsia"/>
          <w:b/>
          <w:color w:val="000000"/>
          <w:kern w:val="0"/>
          <w:sz w:val="24"/>
        </w:rPr>
        <w:t>主要财务指标</w:t>
      </w:r>
    </w:p>
    <w:p w:rsidP="00196812" w:rsidR="00EA3F40" w:rsidRDefault="00EA3F40" w:rsidRPr="0097021E">
      <w:pPr>
        <w:autoSpaceDE w:val="0"/>
        <w:autoSpaceDN w:val="0"/>
        <w:adjustRightInd w:val="0"/>
        <w:spacing w:before="29" w:line="360" w:lineRule="auto"/>
        <w:ind w:left="15"/>
        <w:jc w:val="right"/>
        <w:rPr>
          <w:rFonts w:ascii="宋体" w:cs="Arial"/>
          <w:color w:val="000000"/>
          <w:kern w:val="0"/>
          <w:sz w:val="24"/>
        </w:rPr>
      </w:pPr>
      <w:r w:rsidRPr="0097021E">
        <w:rPr>
          <w:rFonts w:ascii="宋体" w:cs="Arial" w:hAnsi="宋体" w:hint="eastAsia"/>
          <w:color w:val="000000"/>
          <w:kern w:val="0"/>
          <w:sz w:val="24"/>
        </w:rPr>
        <w:t>单位：人民币元</w:t>
      </w:r>
    </w:p>
    <w:tbl>
      <w:tblPr>
        <w:tblW w:type="dxa" w:w="9594"/>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1855"/>
        <w:gridCol w:w="1856"/>
      </w:tblGrid>
      <w:tr w:rsidR="00EA3F40" w:rsidRPr="00613409" w:rsidTr="00025C5D">
        <w:trPr>
          <w:jc w:val="center"/>
        </w:trPr>
        <w:tc>
          <w:tcPr>
            <w:tcW w:type="dxa" w:w="3402"/>
            <w:vMerge w:val="restart"/>
            <w:vAlign w:val="center"/>
          </w:tcPr>
          <w:p w:rsidP="00196812" w:rsidR="00EA3F40" w:rsidRDefault="00EA3F40" w:rsidRPr="00613409">
            <w:pPr>
              <w:adjustRightInd w:val="0"/>
              <w:spacing w:before="29" w:line="360" w:lineRule="auto"/>
              <w:ind w:left="17"/>
              <w:jc w:val="center"/>
              <w:rPr>
                <w:kern w:val="0"/>
                <w:sz w:val="24"/>
              </w:rPr>
            </w:pPr>
            <w:r w:rsidRPr="00613409">
              <w:rPr>
                <w:kern w:val="0"/>
                <w:sz w:val="24"/>
              </w:rPr>
              <w:t>主要财务指标</w:t>
            </w:r>
          </w:p>
        </w:tc>
        <w:tc>
          <w:tcPr>
            <w:tcW w:type="dxa" w:w="6192"/>
            <w:gridSpan w:val="3"/>
            <w:vAlign w:val="center"/>
          </w:tcPr>
          <w:p w:rsidP="00196812" w:rsidR="00EA3F40" w:rsidRDefault="00EA3F40" w:rsidRPr="00613409">
            <w:pPr>
              <w:adjustRightInd w:val="0"/>
              <w:spacing w:before="29" w:line="360" w:lineRule="auto"/>
              <w:ind w:left="17"/>
              <w:jc w:val="center"/>
              <w:rPr>
                <w:color w:val="000000"/>
                <w:sz w:val="24"/>
              </w:rPr>
            </w:pPr>
            <w:r w:rsidRPr="00613409">
              <w:rPr>
                <w:color w:val="000000"/>
                <w:sz w:val="24"/>
              </w:rPr>
              <w:t>报告期</w:t>
            </w:r>
            <w:r w:rsidRPr="00613409">
              <w:rPr>
                <w:color w:val="000000"/>
                <w:sz w:val="24"/>
              </w:rPr>
              <w:t>(2020年4月1日-2020年6月30日)</w:t>
            </w:r>
          </w:p>
        </w:tc>
      </w:tr>
      <w:tr w:rsidR="00EA3F40" w:rsidRPr="00613409" w:rsidTr="00025C5D">
        <w:trPr>
          <w:jc w:val="center"/>
        </w:trPr>
        <w:tc>
          <w:tcPr>
            <w:tcW w:type="dxa" w:w="3402"/>
            <w:vMerge/>
            <w:vAlign w:val="center"/>
          </w:tcPr>
          <w:p w:rsidP="00196812" w:rsidR="00EA3F40" w:rsidRDefault="00EA3F40" w:rsidRPr="00613409">
            <w:pPr>
              <w:adjustRightInd w:val="0"/>
              <w:spacing w:before="29" w:line="360" w:lineRule="auto"/>
              <w:ind w:left="17"/>
              <w:jc w:val="center"/>
              <w:rPr>
                <w:kern w:val="0"/>
                <w:sz w:val="24"/>
              </w:rPr>
            </w:pPr>
          </w:p>
        </w:tc>
        <w:tc>
          <w:tcPr>
            <w:tcW w:type="dxa" w:w="2481"/>
            <w:vAlign w:val="center"/>
          </w:tcPr>
          <w:p w:rsidP="00196812" w:rsidR="00EA3F40" w:rsidRDefault="00EA3F40" w:rsidRPr="00613409">
            <w:pPr>
              <w:adjustRightInd w:val="0"/>
              <w:spacing w:before="29" w:line="360" w:lineRule="auto"/>
              <w:ind w:left="17"/>
              <w:jc w:val="center"/>
              <w:rPr>
                <w:color w:val="000000"/>
                <w:sz w:val="24"/>
              </w:rPr>
            </w:pPr>
            <w:r w:rsidRPr="00613409">
              <w:rPr>
                <w:color w:val="000000"/>
                <w:kern w:val="0"/>
                <w:sz w:val="24"/>
              </w:rPr>
              <w:t/>
            </w:r>
            <w:r w:rsidRPr="00613409">
              <w:rPr>
                <w:sz w:val="24"/>
              </w:rPr>
              <w:t>易方达货币A</w:t>
            </w:r>
          </w:p>
        </w:tc>
        <w:tc>
          <w:tcPr>
            <w:tcW w:type="dxa" w:w="1855"/>
            <w:vAlign w:val="center"/>
          </w:tcPr>
          <w:p w:rsidP="00196812" w:rsidR="00EA3F40" w:rsidRDefault="00EA3F40" w:rsidRPr="00613409">
            <w:pPr>
              <w:adjustRightInd w:val="0"/>
              <w:spacing w:before="29" w:line="360" w:lineRule="auto"/>
              <w:ind w:left="17"/>
              <w:jc w:val="center"/>
              <w:rPr>
                <w:color w:val="000000"/>
                <w:sz w:val="24"/>
              </w:rPr>
            </w:pPr>
            <w:r w:rsidRPr="00613409">
              <w:rPr>
                <w:color w:val="000000"/>
                <w:kern w:val="0"/>
                <w:sz w:val="24"/>
              </w:rPr>
              <w:t/>
            </w:r>
            <w:r w:rsidRPr="00613409">
              <w:rPr>
                <w:sz w:val="24"/>
              </w:rPr>
              <w:t>易方达货币B</w:t>
            </w:r>
          </w:p>
        </w:tc>
        <w:tc>
          <w:tcPr>
            <w:tcW w:type="dxa" w:w="1856"/>
            <w:vAlign w:val="center"/>
          </w:tcPr>
          <w:p w:rsidP="00025C5D" w:rsidR="00EA3F40" w:rsidRDefault="00EA3F40" w:rsidRPr="00613409">
            <w:pPr>
              <w:adjustRightInd w:val="0"/>
              <w:spacing w:before="29" w:line="360" w:lineRule="auto"/>
              <w:ind w:left="17"/>
              <w:jc w:val="center"/>
              <w:rPr>
                <w:color w:val="000000"/>
                <w:sz w:val="24"/>
              </w:rPr>
            </w:pPr>
            <w:r w:rsidRPr="00613409">
              <w:rPr>
                <w:color w:val="000000"/>
                <w:kern w:val="0"/>
                <w:sz w:val="24"/>
              </w:rPr>
              <w:t/>
            </w:r>
            <w:r w:rsidRPr="00613409">
              <w:rPr>
                <w:sz w:val="24"/>
              </w:rPr>
              <w:t>易方达货币E</w:t>
            </w:r>
          </w:p>
        </w:tc>
      </w:tr>
      <w:tr w:rsidR="00EA3F40" w:rsidRPr="00613409" w:rsidTr="00025C5D">
        <w:trPr>
          <w:trHeight w:val="840"/>
          <w:jc w:val="center"/>
        </w:trPr>
        <w:tc>
          <w:tcPr>
            <w:tcW w:type="dxa" w:w="3402"/>
          </w:tcPr>
          <w:p w:rsidP="00196812" w:rsidR="00EA3F40" w:rsidRDefault="00EA3F40" w:rsidRPr="00613409">
            <w:pPr>
              <w:adjustRightInd w:val="0"/>
              <w:spacing w:before="29" w:line="360" w:lineRule="auto"/>
              <w:ind w:left="17"/>
              <w:rPr>
                <w:kern w:val="0"/>
                <w:sz w:val="24"/>
              </w:rPr>
            </w:pPr>
            <w:r w:rsidRPr="00613409">
              <w:rPr>
                <w:kern w:val="0"/>
                <w:sz w:val="24"/>
              </w:rPr>
              <w:t>1.</w:t>
            </w:r>
            <w:r w:rsidRPr="00613409">
              <w:rPr>
                <w:kern w:val="0"/>
                <w:sz w:val="24"/>
              </w:rPr>
              <w:t>本期已实现收益</w:t>
            </w:r>
          </w:p>
        </w:tc>
        <w:tc>
          <w:tcPr>
            <w:tcW w:type="dxa" w:w="2481"/>
            <w:vAlign w:val="bottom"/>
          </w:tcPr>
          <w:p w:rsidP="00196812" w:rsidR="00EA3F40" w:rsidRDefault="00EA3F40" w:rsidRPr="00613409">
            <w:pPr>
              <w:adjustRightInd w:val="0"/>
              <w:spacing w:before="29" w:line="360" w:lineRule="auto"/>
              <w:ind w:left="17"/>
              <w:jc w:val="right"/>
              <w:rPr>
                <w:color w:val="000000"/>
                <w:sz w:val="24"/>
              </w:rPr>
            </w:pPr>
            <w:r w:rsidRPr="00613409">
              <w:rPr>
                <w:color w:val="000000"/>
                <w:sz w:val="24"/>
              </w:rPr>
              <w:t>5,097,368.89</w:t>
            </w:r>
          </w:p>
        </w:tc>
        <w:tc>
          <w:tcPr>
            <w:tcW w:type="dxa" w:w="1855"/>
            <w:vAlign w:val="bottom"/>
          </w:tcPr>
          <w:p w:rsidP="00196812" w:rsidR="00EA3F40" w:rsidRDefault="00EA3F40" w:rsidRPr="00613409">
            <w:pPr>
              <w:adjustRightInd w:val="0"/>
              <w:spacing w:before="29" w:line="360" w:lineRule="auto"/>
              <w:ind w:left="17"/>
              <w:jc w:val="right"/>
              <w:rPr>
                <w:color w:val="000000"/>
                <w:sz w:val="24"/>
              </w:rPr>
            </w:pPr>
            <w:r w:rsidRPr="00613409">
              <w:rPr>
                <w:color w:val="000000"/>
                <w:sz w:val="24"/>
              </w:rPr>
              <w:t>204,913,187.53</w:t>
            </w:r>
          </w:p>
        </w:tc>
        <w:tc>
          <w:tcPr>
            <w:tcW w:type="dxa" w:w="1856"/>
            <w:vAlign w:val="bottom"/>
          </w:tcPr>
          <w:p w:rsidP="00025C5D" w:rsidR="00EA3F40" w:rsidRDefault="00EA3F40" w:rsidRPr="00613409">
            <w:pPr>
              <w:adjustRightInd w:val="0"/>
              <w:spacing w:before="29" w:line="360" w:lineRule="auto"/>
              <w:ind w:left="17"/>
              <w:jc w:val="right"/>
              <w:rPr>
                <w:color w:val="000000"/>
                <w:sz w:val="24"/>
              </w:rPr>
            </w:pPr>
            <w:r w:rsidRPr="00613409">
              <w:rPr>
                <w:color w:val="000000"/>
                <w:sz w:val="24"/>
              </w:rPr>
              <w:t>1,211,708.15</w:t>
            </w:r>
          </w:p>
        </w:tc>
      </w:tr>
      <w:tr w:rsidR="00EA3F40" w:rsidRPr="00613409" w:rsidTr="00025C5D">
        <w:trPr>
          <w:jc w:val="center"/>
        </w:trPr>
        <w:tc>
          <w:tcPr>
            <w:tcW w:type="dxa" w:w="3402"/>
          </w:tcPr>
          <w:p w:rsidP="00196812" w:rsidR="00EA3F40" w:rsidRDefault="00EA3F40" w:rsidRPr="00613409">
            <w:pPr>
              <w:adjustRightInd w:val="0"/>
              <w:spacing w:before="29" w:line="360" w:lineRule="auto"/>
              <w:ind w:left="17"/>
              <w:rPr>
                <w:kern w:val="0"/>
                <w:sz w:val="24"/>
              </w:rPr>
            </w:pPr>
            <w:r w:rsidRPr="00613409">
              <w:rPr>
                <w:kern w:val="0"/>
                <w:sz w:val="24"/>
              </w:rPr>
              <w:t>2.</w:t>
            </w:r>
            <w:r w:rsidRPr="00613409">
              <w:rPr>
                <w:kern w:val="0"/>
                <w:sz w:val="24"/>
              </w:rPr>
              <w:t>本期利润</w:t>
            </w:r>
          </w:p>
        </w:tc>
        <w:tc>
          <w:tcPr>
            <w:tcW w:type="dxa" w:w="2481"/>
            <w:vAlign w:val="bottom"/>
          </w:tcPr>
          <w:p w:rsidP="00196812" w:rsidR="00EA3F40" w:rsidRDefault="00EA3F40" w:rsidRPr="00613409">
            <w:pPr>
              <w:adjustRightInd w:val="0"/>
              <w:spacing w:before="29" w:line="360" w:lineRule="auto"/>
              <w:ind w:left="17"/>
              <w:jc w:val="right"/>
              <w:rPr>
                <w:color w:val="000000"/>
                <w:sz w:val="24"/>
              </w:rPr>
            </w:pPr>
            <w:r w:rsidRPr="00613409">
              <w:rPr>
                <w:color w:val="000000"/>
                <w:sz w:val="24"/>
              </w:rPr>
              <w:t>5,097,368.89</w:t>
            </w:r>
          </w:p>
        </w:tc>
        <w:tc>
          <w:tcPr>
            <w:tcW w:type="dxa" w:w="1855"/>
            <w:vAlign w:val="bottom"/>
          </w:tcPr>
          <w:p w:rsidP="00196812" w:rsidR="00EA3F40" w:rsidRDefault="00EA3F40" w:rsidRPr="00613409">
            <w:pPr>
              <w:adjustRightInd w:val="0"/>
              <w:spacing w:before="29" w:line="360" w:lineRule="auto"/>
              <w:ind w:left="17"/>
              <w:jc w:val="right"/>
              <w:rPr>
                <w:color w:val="000000"/>
                <w:sz w:val="24"/>
              </w:rPr>
            </w:pPr>
            <w:r w:rsidRPr="00613409">
              <w:rPr>
                <w:color w:val="000000"/>
                <w:sz w:val="24"/>
              </w:rPr>
              <w:t>204,913,187.53</w:t>
            </w:r>
          </w:p>
        </w:tc>
        <w:tc>
          <w:tcPr>
            <w:tcW w:type="dxa" w:w="1856"/>
            <w:vAlign w:val="bottom"/>
          </w:tcPr>
          <w:p w:rsidP="00025C5D" w:rsidR="00EA3F40" w:rsidRDefault="00EA3F40" w:rsidRPr="00613409">
            <w:pPr>
              <w:adjustRightInd w:val="0"/>
              <w:spacing w:before="29" w:line="360" w:lineRule="auto"/>
              <w:ind w:left="17"/>
              <w:jc w:val="right"/>
              <w:rPr>
                <w:color w:val="000000"/>
                <w:sz w:val="24"/>
              </w:rPr>
            </w:pPr>
            <w:r w:rsidRPr="00613409">
              <w:rPr>
                <w:color w:val="000000"/>
                <w:sz w:val="24"/>
              </w:rPr>
              <w:t>1,211,708.15</w:t>
            </w:r>
          </w:p>
        </w:tc>
      </w:tr>
      <w:tr w:rsidR="00EA3F40" w:rsidRPr="00613409" w:rsidTr="00025C5D">
        <w:trPr>
          <w:jc w:val="center"/>
        </w:trPr>
        <w:tc>
          <w:tcPr>
            <w:tcW w:type="dxa" w:w="3402"/>
          </w:tcPr>
          <w:p w:rsidP="00196812" w:rsidR="00EA3F40" w:rsidRDefault="00EA3F40" w:rsidRPr="00613409">
            <w:pPr>
              <w:adjustRightInd w:val="0"/>
              <w:spacing w:before="29" w:line="360" w:lineRule="auto"/>
              <w:ind w:left="17"/>
              <w:rPr>
                <w:kern w:val="0"/>
                <w:sz w:val="24"/>
              </w:rPr>
            </w:pPr>
            <w:r w:rsidRPr="00613409">
              <w:rPr>
                <w:kern w:val="0"/>
                <w:sz w:val="24"/>
              </w:rPr>
              <w:t>3.</w:t>
            </w:r>
            <w:r w:rsidRPr="00613409">
              <w:rPr>
                <w:kern w:val="0"/>
                <w:sz w:val="24"/>
              </w:rPr>
              <w:t>期末基金资产净值</w:t>
            </w:r>
          </w:p>
        </w:tc>
        <w:tc>
          <w:tcPr>
            <w:tcW w:type="dxa" w:w="2481"/>
          </w:tcPr>
          <w:p w:rsidP="00196812" w:rsidR="00EA3F40" w:rsidRDefault="00EA3F40" w:rsidRPr="00613409">
            <w:pPr>
              <w:adjustRightInd w:val="0"/>
              <w:spacing w:before="29" w:line="360" w:lineRule="auto"/>
              <w:ind w:left="17"/>
              <w:jc w:val="right"/>
              <w:rPr>
                <w:color w:val="000000"/>
                <w:sz w:val="24"/>
              </w:rPr>
            </w:pPr>
            <w:r w:rsidRPr="00613409">
              <w:rPr>
                <w:color w:val="000000"/>
                <w:sz w:val="24"/>
              </w:rPr>
              <w:t>1,401,697,472.73</w:t>
            </w:r>
          </w:p>
        </w:tc>
        <w:tc>
          <w:tcPr>
            <w:tcW w:type="dxa" w:w="1855"/>
          </w:tcPr>
          <w:p w:rsidP="00196812" w:rsidR="00EA3F40" w:rsidRDefault="00EA3F40" w:rsidRPr="00613409">
            <w:pPr>
              <w:adjustRightInd w:val="0"/>
              <w:spacing w:before="29" w:line="360" w:lineRule="auto"/>
              <w:ind w:left="17"/>
              <w:jc w:val="right"/>
              <w:rPr>
                <w:color w:val="000000"/>
                <w:sz w:val="24"/>
              </w:rPr>
            </w:pPr>
            <w:r w:rsidRPr="00613409">
              <w:rPr>
                <w:color w:val="000000"/>
                <w:sz w:val="24"/>
              </w:rPr>
              <w:t>21,946,596,340.92</w:t>
            </w:r>
          </w:p>
        </w:tc>
        <w:tc>
          <w:tcPr>
            <w:tcW w:type="dxa" w:w="1856"/>
          </w:tcPr>
          <w:p w:rsidP="00025C5D" w:rsidR="00EA3F40" w:rsidRDefault="00EA3F40" w:rsidRPr="00613409">
            <w:pPr>
              <w:adjustRightInd w:val="0"/>
              <w:spacing w:before="29" w:line="360" w:lineRule="auto"/>
              <w:ind w:left="17"/>
              <w:jc w:val="right"/>
              <w:rPr>
                <w:color w:val="000000"/>
                <w:sz w:val="24"/>
              </w:rPr>
            </w:pPr>
            <w:r w:rsidRPr="00613409">
              <w:rPr>
                <w:color w:val="000000"/>
                <w:sz w:val="24"/>
              </w:rPr>
              <w:t>294,937,877.65</w:t>
            </w:r>
          </w:p>
        </w:tc>
      </w:tr>
    </w:tbl>
    <w:p>
      <w:pPr>
        <w:adjustRightInd w:val="0"/>
        <w:spacing w:line="360" w:lineRule="auto"/>
        <w:ind w:firstLine="480" w:firstLineChars="200"/>
        <w:rPr>
          <w:color w:val="000000"/>
          <w:sz w:val="24"/>
        </w:rPr>
      </w:pPr>
      <w:r>
        <w:rPr>
          <w:color w:val="000000"/>
          <w:sz w:val="24"/>
        </w:rPr>
        <w:t>注：1.本期已实现收益指基金本期利息收入、投资收益、其他收入（不含公允价值变动收益）扣除相关费用后的余额，本期利润为本期已实现收益加上本期公允价值变动收益，由于本基金采用摊余成本法核算，因此，公允价值变动收益为零，本期已实现收益和本期利润的金额相等。</w:t>
      </w:r>
    </w:p>
    <w:p>
      <w:pPr>
        <w:adjustRightInd w:val="0"/>
        <w:spacing w:line="360" w:lineRule="auto"/>
        <w:ind w:firstLine="480" w:firstLineChars="200"/>
        <w:rPr>
          <w:color w:val="000000"/>
          <w:sz w:val="24"/>
        </w:rPr>
      </w:pPr>
      <w:r>
        <w:rPr>
          <w:color w:val="000000"/>
          <w:sz w:val="24"/>
        </w:rPr>
        <w:t>2.本基金自成立起至2014年11月20日，利润分配是按月结转份额；自2014年11月21日起至今，利润分配是按日结转份额。</w:t>
      </w:r>
    </w:p>
    <w:p>
      <w:pPr>
        <w:adjustRightInd w:val="0"/>
        <w:spacing w:line="360" w:lineRule="auto"/>
        <w:ind w:firstLine="480" w:firstLineChars="200"/>
        <w:rPr>
          <w:color w:val="000000"/>
          <w:sz w:val="24"/>
        </w:rPr>
      </w:pPr>
      <w:r>
        <w:rPr>
          <w:color w:val="000000"/>
          <w:sz w:val="24"/>
        </w:rPr>
        <w:t>3.根据《关于易方达货币市场基金实施基金份额分级的公告》，本基金于2006年7月18日实施分级，分级后本基金设两级基金份额：A级基金份额和B级基金份额，升级后的B级基金份额从2006年7月19日起享受B级基金收益。</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4.自2014年11月21日起，本基金增设E类份额类别。</w:t>
      </w:r>
    </w:p>
    <w:p w:rsidP="009A755D"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3.2 </w:t>
      </w:r>
      <w:r w:rsidRPr="0097021E">
        <w:rPr>
          <w:rFonts w:ascii="宋体" w:cs="Arial" w:hAnsi="宋体" w:hint="eastAsia"/>
          <w:b/>
          <w:color w:val="000000"/>
          <w:kern w:val="0"/>
          <w:sz w:val="24"/>
        </w:rPr>
        <w:t>基金净值表现</w:t>
      </w:r>
    </w:p>
    <w:p w:rsidP="009A755D" w:rsidR="00EA3F40" w:rsidRDefault="00EA3F40" w:rsidRPr="0097021E">
      <w:pPr>
        <w:spacing w:line="360" w:lineRule="auto"/>
        <w:rPr>
          <w:rFonts w:ascii="宋体" w:cs="Arial"/>
          <w:b/>
          <w:color w:val="000000"/>
          <w:kern w:val="0"/>
          <w:sz w:val="24"/>
        </w:rPr>
      </w:pPr>
      <w:smartTag w:element="chsdate" w:uri="urn:schemas-microsoft-com:office:smarttags">
        <w:smartTagPr>
          <w:attr w:name="IsROCDate" w:val="False"/>
          <w:attr w:name="IsLunarDate" w:val="False"/>
          <w:attr w:name="Day" w:val="30"/>
          <w:attr w:name="Month" w:val="12"/>
          <w:attr w:name="Year" w:val="1899"/>
        </w:smartTagPr>
        <w:r w:rsidRPr="0097021E">
          <w:rPr>
            <w:rFonts w:ascii="宋体" w:cs="Arial" w:hAnsi="宋体"/>
            <w:b/>
            <w:color w:val="000000"/>
            <w:kern w:val="0"/>
            <w:sz w:val="24"/>
          </w:rPr>
          <w:t>3.2.1</w:t>
        </w:r>
      </w:smartTag>
      <w:r w:rsidRPr="0097021E">
        <w:rPr>
          <w:rFonts w:ascii="宋体" w:cs="Arial" w:hAnsi="宋体"/>
          <w:b/>
          <w:color w:val="000000"/>
          <w:kern w:val="0"/>
          <w:sz w:val="24"/>
        </w:rPr>
        <w:t xml:space="preserve"> </w:t>
      </w:r>
      <w:r w:rsidRPr="0097021E">
        <w:rPr>
          <w:rFonts w:ascii="宋体" w:cs="Arial" w:hAnsi="宋体" w:hint="eastAsia"/>
          <w:b/>
          <w:color w:val="000000"/>
          <w:kern w:val="0"/>
          <w:sz w:val="24"/>
        </w:rPr>
        <w:t>本报告期基金份额净值收益率及其与同期业绩比较基准收益率的比较</w:t>
      </w:r>
    </w:p>
    <w:p w:rsidP="00613409" w:rsidR="00EA3F40" w:rsidRDefault="00EA3F40" w:rsidRPr="00613409">
      <w:pPr>
        <w:pStyle w:val="20"/>
        <w:spacing w:line="360" w:lineRule="auto"/>
        <w:ind w:firstLine="0" w:firstLineChars="0"/>
        <w:rPr>
          <w:b/>
          <w:sz w:val="24"/>
        </w:rPr>
      </w:pPr>
      <w:r w:rsidRPr="00613409">
        <w:rPr>
          <w:b/>
          <w:color w:val="000000"/>
          <w:sz w:val="24"/>
        </w:rPr>
        <w:t/>
      </w:r>
      <w:r w:rsidRPr="00613409">
        <w:rPr>
          <w:rFonts w:cs="宋体"/>
          <w:b/>
          <w:color w:val="000000"/>
          <w:sz w:val="24"/>
        </w:rPr>
        <w:t/>
      </w:r>
      <w:r w:rsidRPr="00613409">
        <w:rPr>
          <w:b/>
          <w:color w:val="000000"/>
          <w:sz w:val="24"/>
        </w:rPr>
        <w:t/>
      </w:r>
      <w:r w:rsidRPr="00613409">
        <w:rPr>
          <w:b/>
          <w:sz w:val="24"/>
        </w:rPr>
        <w:t>易方达货币A</w:t>
      </w:r>
    </w:p>
    <w:tbl>
      <w:tblPr>
        <w:tblW w:type="auto"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0" w:val="00A0"/>
      </w:tblPr>
      <w:tblGrid>
        <w:gridCol w:w="1328"/>
        <w:gridCol w:w="1329"/>
        <w:gridCol w:w="1329"/>
        <w:gridCol w:w="1329"/>
        <w:gridCol w:w="1329"/>
        <w:gridCol w:w="1329"/>
        <w:gridCol w:w="1329"/>
      </w:tblGrid>
      <w:tr w:rsidR="00EA3F40" w:rsidRPr="0097021E" w:rsidTr="00841A22">
        <w:tc>
          <w:tcPr>
            <w:tcW w:type="dxa" w:w="1328"/>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阶段</w:t>
            </w:r>
            <w:r w:rsidRPr="00613409">
              <w:rPr>
                <w:rFonts w:ascii="Times New Roman" w:hAnsi="Times New Roman"/>
                <w:color w:val="000000"/>
                <w:szCs w:val="24"/>
              </w:rPr>
              <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w:t>
            </w:r>
            <w:r w:rsidRPr="00613409">
              <w:rPr>
                <w:rFonts w:cs="宋体" w:hint="eastAsia"/>
                <w:color w:val="000000"/>
                <w:szCs w:val="24"/>
              </w:rPr>
              <w:t>①</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净值收益率标准差</w:t>
            </w:r>
            <w:r w:rsidRPr="00613409">
              <w:rPr>
                <w:rFonts w:cs="宋体" w:hint="eastAsia"/>
                <w:color w:val="000000"/>
                <w:szCs w:val="24"/>
              </w:rPr>
              <w:t>②</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w:t>
            </w:r>
            <w:r w:rsidRPr="00613409">
              <w:rPr>
                <w:rFonts w:cs="宋体" w:hint="eastAsia"/>
                <w:color w:val="000000"/>
                <w:szCs w:val="24"/>
              </w:rPr>
              <w:t>③</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业绩比较基准收益率标准差</w:t>
            </w:r>
            <w:r w:rsidRPr="00613409">
              <w:rPr>
                <w:rFonts w:cs="宋体" w:hint="eastAsia"/>
                <w:color w:val="000000"/>
                <w:szCs w:val="24"/>
              </w:rPr>
              <w:t>④</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①</w:t>
            </w:r>
            <w:r w:rsidRPr="00613409">
              <w:rPr>
                <w:rFonts w:ascii="Times New Roman" w:hAnsi="Times New Roman"/>
                <w:color w:val="000000"/>
                <w:szCs w:val="24"/>
              </w:rPr>
              <w:t>-</w:t>
            </w:r>
            <w:r w:rsidRPr="00613409">
              <w:rPr>
                <w:rFonts w:cs="宋体" w:hint="eastAsia"/>
                <w:color w:val="000000"/>
                <w:szCs w:val="24"/>
              </w:rPr>
              <w:t>③</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②</w:t>
            </w:r>
            <w:r w:rsidRPr="00613409">
              <w:rPr>
                <w:rFonts w:ascii="Times New Roman" w:hAnsi="Times New Roman"/>
                <w:color w:val="000000"/>
                <w:szCs w:val="24"/>
              </w:rPr>
              <w:t>-</w:t>
            </w:r>
            <w:r w:rsidRPr="00613409">
              <w:rPr>
                <w:rFonts w:cs="宋体" w:hint="eastAsia"/>
                <w:color w:val="000000"/>
                <w:szCs w:val="24"/>
              </w:rPr>
              <w:t>④</w:t>
            </w:r>
          </w:p>
        </w:tc>
      </w:tr>
      <w:tr>
        <w:tc>
          <w:tcPr>
            <w:vAlign w:val="center"/>
          </w:tcPr>
          <w:p>
            <w:pPr>
              <w:jc w:val="left"/>
            </w:pPr>
            <w:r>
              <w:rPr>
                <w:color w:val="000000"/>
                <w:kern w:val="2"/>
                <w:sz w:val="24"/>
              </w:rPr>
              <w:t>过去三个月</w:t>
            </w:r>
          </w:p>
        </w:tc>
        <w:tc>
          <w:tcPr>
            <w:vAlign w:val="center"/>
          </w:tcPr>
          <w:p>
            <w:pPr>
              <w:jc w:val="center"/>
            </w:pPr>
            <w:r>
              <w:rPr>
                <w:color w:val="000000"/>
                <w:kern w:val="2"/>
                <w:sz w:val="24"/>
              </w:rPr>
              <w:t>0.3545%</w:t>
            </w:r>
          </w:p>
        </w:tc>
        <w:tc>
          <w:tcPr>
            <w:vAlign w:val="center"/>
          </w:tcPr>
          <w:p>
            <w:pPr>
              <w:jc w:val="center"/>
            </w:pPr>
            <w:r>
              <w:rPr>
                <w:color w:val="000000"/>
                <w:kern w:val="2"/>
                <w:sz w:val="24"/>
              </w:rPr>
              <w:t>0.0017%</w:t>
            </w:r>
          </w:p>
        </w:tc>
        <w:tc>
          <w:tcPr>
            <w:vAlign w:val="center"/>
          </w:tcPr>
          <w:p>
            <w:pPr>
              <w:jc w:val="center"/>
            </w:pPr>
            <w:r>
              <w:rPr>
                <w:color w:val="000000"/>
                <w:kern w:val="2"/>
                <w:sz w:val="24"/>
              </w:rPr>
              <w:t>0.0871%</w:t>
            </w:r>
          </w:p>
        </w:tc>
        <w:tc>
          <w:tcPr>
            <w:vAlign w:val="center"/>
          </w:tcPr>
          <w:p>
            <w:pPr>
              <w:jc w:val="center"/>
            </w:pPr>
            <w:r>
              <w:rPr>
                <w:color w:val="000000"/>
                <w:kern w:val="2"/>
                <w:sz w:val="24"/>
              </w:rPr>
              <w:t>0.0000%</w:t>
            </w:r>
          </w:p>
        </w:tc>
        <w:tc>
          <w:tcPr>
            <w:vAlign w:val="center"/>
          </w:tcPr>
          <w:p>
            <w:pPr>
              <w:jc w:val="center"/>
            </w:pPr>
            <w:r>
              <w:rPr>
                <w:color w:val="000000"/>
                <w:kern w:val="2"/>
                <w:sz w:val="24"/>
              </w:rPr>
              <w:t>0.2674%</w:t>
            </w:r>
          </w:p>
        </w:tc>
        <w:tc>
          <w:tcPr>
            <w:vAlign w:val="center"/>
          </w:tcPr>
          <w:p>
            <w:pPr>
              <w:jc w:val="center"/>
            </w:pPr>
            <w:r>
              <w:rPr>
                <w:color w:val="000000"/>
                <w:kern w:val="2"/>
                <w:sz w:val="24"/>
              </w:rPr>
              <w:t>0.0017%</w:t>
            </w:r>
          </w:p>
        </w:tc>
      </w:tr>
      <w:tr>
        <w:tc>
          <w:tcPr>
            <w:vAlign w:val="center"/>
          </w:tcPr>
          <w:p>
            <w:pPr>
              <w:jc w:val="left"/>
            </w:pPr>
            <w:r>
              <w:rPr>
                <w:color w:val="000000"/>
                <w:kern w:val="2"/>
                <w:sz w:val="24"/>
              </w:rPr>
              <w:t>过去六个月</w:t>
            </w:r>
          </w:p>
        </w:tc>
        <w:tc>
          <w:tcPr>
            <w:vAlign w:val="center"/>
          </w:tcPr>
          <w:p>
            <w:pPr>
              <w:jc w:val="center"/>
            </w:pPr>
            <w:r>
              <w:rPr>
                <w:color w:val="000000"/>
                <w:kern w:val="2"/>
                <w:sz w:val="24"/>
              </w:rPr>
              <w:t>0.8786%</w:t>
            </w:r>
          </w:p>
        </w:tc>
        <w:tc>
          <w:tcPr>
            <w:vAlign w:val="center"/>
          </w:tcPr>
          <w:p>
            <w:pPr>
              <w:jc w:val="center"/>
            </w:pPr>
            <w:r>
              <w:rPr>
                <w:color w:val="000000"/>
                <w:kern w:val="2"/>
                <w:sz w:val="24"/>
              </w:rPr>
              <w:t>0.0018%</w:t>
            </w:r>
          </w:p>
        </w:tc>
        <w:tc>
          <w:tcPr>
            <w:vAlign w:val="center"/>
          </w:tcPr>
          <w:p>
            <w:pPr>
              <w:jc w:val="center"/>
            </w:pPr>
            <w:r>
              <w:rPr>
                <w:color w:val="000000"/>
                <w:kern w:val="2"/>
                <w:sz w:val="24"/>
              </w:rPr>
              <w:t>0.1742%</w:t>
            </w:r>
          </w:p>
        </w:tc>
        <w:tc>
          <w:tcPr>
            <w:vAlign w:val="center"/>
          </w:tcPr>
          <w:p>
            <w:pPr>
              <w:jc w:val="center"/>
            </w:pPr>
            <w:r>
              <w:rPr>
                <w:color w:val="000000"/>
                <w:kern w:val="2"/>
                <w:sz w:val="24"/>
              </w:rPr>
              <w:t>0.0000%</w:t>
            </w:r>
          </w:p>
        </w:tc>
        <w:tc>
          <w:tcPr>
            <w:vAlign w:val="center"/>
          </w:tcPr>
          <w:p>
            <w:pPr>
              <w:jc w:val="center"/>
            </w:pPr>
            <w:r>
              <w:rPr>
                <w:color w:val="000000"/>
                <w:kern w:val="2"/>
                <w:sz w:val="24"/>
              </w:rPr>
              <w:t>0.7044%</w:t>
            </w:r>
          </w:p>
        </w:tc>
        <w:tc>
          <w:tcPr>
            <w:vAlign w:val="center"/>
          </w:tcPr>
          <w:p>
            <w:pPr>
              <w:jc w:val="center"/>
            </w:pPr>
            <w:r>
              <w:rPr>
                <w:color w:val="000000"/>
                <w:kern w:val="2"/>
                <w:sz w:val="24"/>
              </w:rPr>
              <w:t>0.0018%</w:t>
            </w:r>
          </w:p>
        </w:tc>
      </w:tr>
      <w:tr>
        <w:tc>
          <w:tcPr>
            <w:vAlign w:val="center"/>
          </w:tcPr>
          <w:p>
            <w:pPr>
              <w:jc w:val="left"/>
            </w:pPr>
            <w:r>
              <w:rPr>
                <w:color w:val="000000"/>
                <w:kern w:val="2"/>
                <w:sz w:val="24"/>
              </w:rPr>
              <w:t>过去一年</w:t>
            </w:r>
          </w:p>
        </w:tc>
        <w:tc>
          <w:tcPr>
            <w:vAlign w:val="center"/>
          </w:tcPr>
          <w:p>
            <w:pPr>
              <w:jc w:val="center"/>
            </w:pPr>
            <w:r>
              <w:rPr>
                <w:color w:val="000000"/>
                <w:kern w:val="2"/>
                <w:sz w:val="24"/>
              </w:rPr>
              <w:t>2.0113%</w:t>
            </w:r>
          </w:p>
        </w:tc>
        <w:tc>
          <w:tcPr>
            <w:vAlign w:val="center"/>
          </w:tcPr>
          <w:p>
            <w:pPr>
              <w:jc w:val="center"/>
            </w:pPr>
            <w:r>
              <w:rPr>
                <w:color w:val="000000"/>
                <w:kern w:val="2"/>
                <w:sz w:val="24"/>
              </w:rPr>
              <w:t>0.0017%</w:t>
            </w:r>
          </w:p>
        </w:tc>
        <w:tc>
          <w:tcPr>
            <w:vAlign w:val="center"/>
          </w:tcPr>
          <w:p>
            <w:pPr>
              <w:jc w:val="center"/>
            </w:pPr>
            <w:r>
              <w:rPr>
                <w:color w:val="000000"/>
                <w:kern w:val="2"/>
                <w:sz w:val="24"/>
              </w:rPr>
              <w:t>0.3511%</w:t>
            </w:r>
          </w:p>
        </w:tc>
        <w:tc>
          <w:tcPr>
            <w:vAlign w:val="center"/>
          </w:tcPr>
          <w:p>
            <w:pPr>
              <w:jc w:val="center"/>
            </w:pPr>
            <w:r>
              <w:rPr>
                <w:color w:val="000000"/>
                <w:kern w:val="2"/>
                <w:sz w:val="24"/>
              </w:rPr>
              <w:t>0.0000%</w:t>
            </w:r>
          </w:p>
        </w:tc>
        <w:tc>
          <w:tcPr>
            <w:vAlign w:val="center"/>
          </w:tcPr>
          <w:p>
            <w:pPr>
              <w:jc w:val="center"/>
            </w:pPr>
            <w:r>
              <w:rPr>
                <w:color w:val="000000"/>
                <w:kern w:val="2"/>
                <w:sz w:val="24"/>
              </w:rPr>
              <w:t>1.6602%</w:t>
            </w:r>
          </w:p>
        </w:tc>
        <w:tc>
          <w:tcPr>
            <w:vAlign w:val="center"/>
          </w:tcPr>
          <w:p>
            <w:pPr>
              <w:jc w:val="center"/>
            </w:pPr>
            <w:r>
              <w:rPr>
                <w:color w:val="000000"/>
                <w:kern w:val="2"/>
                <w:sz w:val="24"/>
              </w:rPr>
              <w:t>0.0017%</w:t>
            </w:r>
          </w:p>
        </w:tc>
      </w:tr>
      <w:tr>
        <w:tc>
          <w:tcPr>
            <w:vAlign w:val="center"/>
          </w:tcPr>
          <w:p>
            <w:pPr>
              <w:jc w:val="left"/>
            </w:pPr>
            <w:r>
              <w:rPr>
                <w:color w:val="000000"/>
                <w:kern w:val="2"/>
                <w:sz w:val="24"/>
              </w:rPr>
              <w:t>过去三年</w:t>
            </w:r>
          </w:p>
        </w:tc>
        <w:tc>
          <w:tcPr>
            <w:vAlign w:val="center"/>
          </w:tcPr>
          <w:p>
            <w:pPr>
              <w:jc w:val="center"/>
            </w:pPr>
            <w:r>
              <w:rPr>
                <w:color w:val="000000"/>
                <w:kern w:val="2"/>
                <w:sz w:val="24"/>
              </w:rPr>
              <w:t>8.1879%</w:t>
            </w:r>
          </w:p>
        </w:tc>
        <w:tc>
          <w:tcPr>
            <w:vAlign w:val="center"/>
          </w:tcPr>
          <w:p>
            <w:pPr>
              <w:jc w:val="center"/>
            </w:pPr>
            <w:r>
              <w:rPr>
                <w:color w:val="000000"/>
                <w:kern w:val="2"/>
                <w:sz w:val="24"/>
              </w:rPr>
              <w:t>0.0026%</w:t>
            </w:r>
          </w:p>
        </w:tc>
        <w:tc>
          <w:tcPr>
            <w:vAlign w:val="center"/>
          </w:tcPr>
          <w:p>
            <w:pPr>
              <w:jc w:val="center"/>
            </w:pPr>
            <w:r>
              <w:rPr>
                <w:color w:val="000000"/>
                <w:kern w:val="2"/>
                <w:sz w:val="24"/>
              </w:rPr>
              <w:t>1.0560%</w:t>
            </w:r>
          </w:p>
        </w:tc>
        <w:tc>
          <w:tcPr>
            <w:vAlign w:val="center"/>
          </w:tcPr>
          <w:p>
            <w:pPr>
              <w:jc w:val="center"/>
            </w:pPr>
            <w:r>
              <w:rPr>
                <w:color w:val="000000"/>
                <w:kern w:val="2"/>
                <w:sz w:val="24"/>
              </w:rPr>
              <w:t>0.0000%</w:t>
            </w:r>
          </w:p>
        </w:tc>
        <w:tc>
          <w:tcPr>
            <w:vAlign w:val="center"/>
          </w:tcPr>
          <w:p>
            <w:pPr>
              <w:jc w:val="center"/>
            </w:pPr>
            <w:r>
              <w:rPr>
                <w:color w:val="000000"/>
                <w:kern w:val="2"/>
                <w:sz w:val="24"/>
              </w:rPr>
              <w:t>7.1319%</w:t>
            </w:r>
          </w:p>
        </w:tc>
        <w:tc>
          <w:tcPr>
            <w:vAlign w:val="center"/>
          </w:tcPr>
          <w:p>
            <w:pPr>
              <w:jc w:val="center"/>
            </w:pPr>
            <w:r>
              <w:rPr>
                <w:color w:val="000000"/>
                <w:kern w:val="2"/>
                <w:sz w:val="24"/>
              </w:rPr>
              <w:t>0.0026%</w:t>
            </w:r>
          </w:p>
        </w:tc>
      </w:tr>
      <w:tr>
        <w:tc>
          <w:tcPr>
            <w:vAlign w:val="center"/>
          </w:tcPr>
          <w:p>
            <w:pPr>
              <w:jc w:val="left"/>
            </w:pPr>
            <w:r>
              <w:rPr>
                <w:color w:val="000000"/>
                <w:kern w:val="2"/>
                <w:sz w:val="24"/>
              </w:rPr>
              <w:t>过去五年</w:t>
            </w:r>
          </w:p>
        </w:tc>
        <w:tc>
          <w:tcPr>
            <w:vAlign w:val="center"/>
          </w:tcPr>
          <w:p>
            <w:pPr>
              <w:jc w:val="center"/>
            </w:pPr>
            <w:r>
              <w:rPr>
                <w:color w:val="000000"/>
                <w:kern w:val="2"/>
                <w:sz w:val="24"/>
              </w:rPr>
              <w:t>14.0436%</w:t>
            </w:r>
          </w:p>
        </w:tc>
        <w:tc>
          <w:tcPr>
            <w:vAlign w:val="center"/>
          </w:tcPr>
          <w:p>
            <w:pPr>
              <w:jc w:val="center"/>
            </w:pPr>
            <w:r>
              <w:rPr>
                <w:color w:val="000000"/>
                <w:kern w:val="2"/>
                <w:sz w:val="24"/>
              </w:rPr>
              <w:t>0.0024%</w:t>
            </w:r>
          </w:p>
        </w:tc>
        <w:tc>
          <w:tcPr>
            <w:vAlign w:val="center"/>
          </w:tcPr>
          <w:p>
            <w:pPr>
              <w:jc w:val="center"/>
            </w:pPr>
            <w:r>
              <w:rPr>
                <w:color w:val="000000"/>
                <w:kern w:val="2"/>
                <w:sz w:val="24"/>
              </w:rPr>
              <w:t>1.7659%</w:t>
            </w:r>
          </w:p>
        </w:tc>
        <w:tc>
          <w:tcPr>
            <w:vAlign w:val="center"/>
          </w:tcPr>
          <w:p>
            <w:pPr>
              <w:jc w:val="center"/>
            </w:pPr>
            <w:r>
              <w:rPr>
                <w:color w:val="000000"/>
                <w:kern w:val="2"/>
                <w:sz w:val="24"/>
              </w:rPr>
              <w:t>0.0000%</w:t>
            </w:r>
          </w:p>
        </w:tc>
        <w:tc>
          <w:tcPr>
            <w:vAlign w:val="center"/>
          </w:tcPr>
          <w:p>
            <w:pPr>
              <w:jc w:val="center"/>
            </w:pPr>
            <w:r>
              <w:rPr>
                <w:color w:val="000000"/>
                <w:kern w:val="2"/>
                <w:sz w:val="24"/>
              </w:rPr>
              <w:t>12.2777%</w:t>
            </w:r>
          </w:p>
        </w:tc>
        <w:tc>
          <w:tcPr>
            <w:vAlign w:val="center"/>
          </w:tcPr>
          <w:p>
            <w:pPr>
              <w:jc w:val="center"/>
            </w:pPr>
            <w:r>
              <w:rPr>
                <w:color w:val="000000"/>
                <w:kern w:val="2"/>
                <w:sz w:val="24"/>
              </w:rPr>
              <w:t>0.0024%</w:t>
            </w:r>
          </w:p>
        </w:tc>
      </w:tr>
      <w:tr>
        <w:tc>
          <w:tcPr>
            <w:vAlign w:val="center"/>
          </w:tcPr>
          <w:p>
            <w:pPr>
              <w:jc w:val="left"/>
            </w:pPr>
            <w:r>
              <w:rPr>
                <w:color w:val="000000"/>
                <w:kern w:val="2"/>
                <w:sz w:val="24"/>
              </w:rPr>
              <w:t>自基金合同生效起至今</w:t>
            </w:r>
          </w:p>
        </w:tc>
        <w:tc>
          <w:tcPr>
            <w:vAlign w:val="center"/>
          </w:tcPr>
          <w:p>
            <w:pPr>
              <w:jc w:val="center"/>
            </w:pPr>
            <w:r>
              <w:rPr>
                <w:color w:val="000000"/>
                <w:kern w:val="2"/>
                <w:sz w:val="24"/>
              </w:rPr>
              <w:t>57.8224%</w:t>
            </w:r>
          </w:p>
        </w:tc>
        <w:tc>
          <w:tcPr>
            <w:vAlign w:val="center"/>
          </w:tcPr>
          <w:p>
            <w:pPr>
              <w:jc w:val="center"/>
            </w:pPr>
            <w:r>
              <w:rPr>
                <w:color w:val="000000"/>
                <w:kern w:val="2"/>
                <w:sz w:val="24"/>
              </w:rPr>
              <w:t>0.0064%</w:t>
            </w:r>
          </w:p>
        </w:tc>
        <w:tc>
          <w:tcPr>
            <w:vAlign w:val="center"/>
          </w:tcPr>
          <w:p>
            <w:pPr>
              <w:jc w:val="center"/>
            </w:pPr>
            <w:r>
              <w:rPr>
                <w:color w:val="000000"/>
                <w:kern w:val="2"/>
                <w:sz w:val="24"/>
              </w:rPr>
              <w:t>14.5765%</w:t>
            </w:r>
          </w:p>
        </w:tc>
        <w:tc>
          <w:tcPr>
            <w:vAlign w:val="center"/>
          </w:tcPr>
          <w:p>
            <w:pPr>
              <w:jc w:val="center"/>
            </w:pPr>
            <w:r>
              <w:rPr>
                <w:color w:val="000000"/>
                <w:kern w:val="2"/>
                <w:sz w:val="24"/>
              </w:rPr>
              <w:t>0.0029%</w:t>
            </w:r>
          </w:p>
        </w:tc>
        <w:tc>
          <w:tcPr>
            <w:vAlign w:val="center"/>
          </w:tcPr>
          <w:p>
            <w:pPr>
              <w:jc w:val="center"/>
            </w:pPr>
            <w:r>
              <w:rPr>
                <w:color w:val="000000"/>
                <w:kern w:val="2"/>
                <w:sz w:val="24"/>
              </w:rPr>
              <w:t>43.2459%</w:t>
            </w:r>
          </w:p>
        </w:tc>
        <w:tc>
          <w:tcPr>
            <w:vAlign w:val="center"/>
          </w:tcPr>
          <w:p>
            <w:pPr>
              <w:jc w:val="center"/>
            </w:pPr>
            <w:r>
              <w:rPr>
                <w:color w:val="000000"/>
                <w:kern w:val="2"/>
                <w:sz w:val="24"/>
              </w:rPr>
              <w:t>0.0035%</w:t>
            </w:r>
          </w:p>
        </w:tc>
      </w:tr>
    </w:tbl>
    <w:p w:rsidP="00613409" w:rsidR="00EA3F40" w:rsidRDefault="00EA3F40" w:rsidRPr="00613409">
      <w:pPr>
        <w:pStyle w:val="20"/>
        <w:spacing w:line="360" w:lineRule="auto"/>
        <w:ind w:firstLine="0" w:firstLineChars="0"/>
        <w:rPr>
          <w:b/>
          <w:color w:val="000000"/>
          <w:sz w:val="24"/>
        </w:rPr>
      </w:pPr>
      <w:r w:rsidRPr="00613409">
        <w:rPr>
          <w:b/>
          <w:color w:val="000000"/>
          <w:sz w:val="24"/>
        </w:rPr>
        <w:t>易方达货币B</w:t>
      </w:r>
    </w:p>
    <w:tbl>
      <w:tblPr>
        <w:tblW w:type="auto"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0" w:val="00A0"/>
      </w:tblPr>
      <w:tblGrid>
        <w:gridCol w:w="1328"/>
        <w:gridCol w:w="1329"/>
        <w:gridCol w:w="1329"/>
        <w:gridCol w:w="1329"/>
        <w:gridCol w:w="1329"/>
        <w:gridCol w:w="1329"/>
        <w:gridCol w:w="1329"/>
      </w:tblGrid>
      <w:tr w:rsidR="00EA3F40" w:rsidRPr="0097021E" w:rsidTr="00841A22">
        <w:tc>
          <w:tcPr>
            <w:tcW w:type="dxa" w:w="1328"/>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阶段</w:t>
            </w:r>
            <w:r w:rsidRPr="00613409">
              <w:rPr>
                <w:rFonts w:ascii="Times New Roman" w:hAnsi="Times New Roman"/>
                <w:color w:val="000000"/>
                <w:szCs w:val="24"/>
              </w:rPr>
              <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w:t>
            </w:r>
            <w:r w:rsidRPr="00613409">
              <w:rPr>
                <w:rFonts w:cs="宋体" w:hint="eastAsia"/>
                <w:color w:val="000000"/>
                <w:szCs w:val="24"/>
              </w:rPr>
              <w:t>①</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净值收益率标准差</w:t>
            </w:r>
            <w:r w:rsidRPr="00613409">
              <w:rPr>
                <w:rFonts w:cs="宋体" w:hint="eastAsia"/>
                <w:color w:val="000000"/>
                <w:szCs w:val="24"/>
              </w:rPr>
              <w:t>②</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w:t>
            </w:r>
            <w:r w:rsidRPr="00613409">
              <w:rPr>
                <w:rFonts w:cs="宋体" w:hint="eastAsia"/>
                <w:color w:val="000000"/>
                <w:szCs w:val="24"/>
              </w:rPr>
              <w:t>③</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业绩比较基准收益率标准差</w:t>
            </w:r>
            <w:r w:rsidRPr="00613409">
              <w:rPr>
                <w:rFonts w:cs="宋体" w:hint="eastAsia"/>
                <w:color w:val="000000"/>
                <w:szCs w:val="24"/>
              </w:rPr>
              <w:t>④</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①</w:t>
            </w:r>
            <w:r w:rsidRPr="00613409">
              <w:rPr>
                <w:rFonts w:ascii="Times New Roman" w:hAnsi="Times New Roman"/>
                <w:color w:val="000000"/>
                <w:szCs w:val="24"/>
              </w:rPr>
              <w:t>-</w:t>
            </w:r>
            <w:r w:rsidRPr="00613409">
              <w:rPr>
                <w:rFonts w:cs="宋体" w:hint="eastAsia"/>
                <w:color w:val="000000"/>
                <w:szCs w:val="24"/>
              </w:rPr>
              <w:t>③</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②</w:t>
            </w:r>
            <w:r w:rsidRPr="00613409">
              <w:rPr>
                <w:rFonts w:ascii="Times New Roman" w:hAnsi="Times New Roman"/>
                <w:color w:val="000000"/>
                <w:szCs w:val="24"/>
              </w:rPr>
              <w:t>-</w:t>
            </w:r>
            <w:r w:rsidRPr="00613409">
              <w:rPr>
                <w:rFonts w:cs="宋体" w:hint="eastAsia"/>
                <w:color w:val="000000"/>
                <w:szCs w:val="24"/>
              </w:rPr>
              <w:t>④</w:t>
            </w:r>
          </w:p>
        </w:tc>
      </w:tr>
      <w:tr>
        <w:tc>
          <w:tcPr>
            <w:vAlign w:val="center"/>
          </w:tcPr>
          <w:p>
            <w:pPr>
              <w:jc w:val="left"/>
            </w:pPr>
            <w:r>
              <w:rPr>
                <w:color w:val="000000"/>
                <w:kern w:val="2"/>
                <w:sz w:val="24"/>
              </w:rPr>
              <w:t>过去三个月</w:t>
            </w:r>
          </w:p>
        </w:tc>
        <w:tc>
          <w:tcPr>
            <w:vAlign w:val="center"/>
          </w:tcPr>
          <w:p>
            <w:pPr>
              <w:jc w:val="center"/>
            </w:pPr>
            <w:r>
              <w:rPr>
                <w:color w:val="000000"/>
                <w:kern w:val="2"/>
                <w:sz w:val="24"/>
              </w:rPr>
              <w:t>0.4143%</w:t>
            </w:r>
          </w:p>
        </w:tc>
        <w:tc>
          <w:tcPr>
            <w:vAlign w:val="center"/>
          </w:tcPr>
          <w:p>
            <w:pPr>
              <w:jc w:val="center"/>
            </w:pPr>
            <w:r>
              <w:rPr>
                <w:color w:val="000000"/>
                <w:kern w:val="2"/>
                <w:sz w:val="24"/>
              </w:rPr>
              <w:t>0.0017%</w:t>
            </w:r>
          </w:p>
        </w:tc>
        <w:tc>
          <w:tcPr>
            <w:vAlign w:val="center"/>
          </w:tcPr>
          <w:p>
            <w:pPr>
              <w:jc w:val="center"/>
            </w:pPr>
            <w:r>
              <w:rPr>
                <w:color w:val="000000"/>
                <w:kern w:val="2"/>
                <w:sz w:val="24"/>
              </w:rPr>
              <w:t>0.0871%</w:t>
            </w:r>
          </w:p>
        </w:tc>
        <w:tc>
          <w:tcPr>
            <w:vAlign w:val="center"/>
          </w:tcPr>
          <w:p>
            <w:pPr>
              <w:jc w:val="center"/>
            </w:pPr>
            <w:r>
              <w:rPr>
                <w:color w:val="000000"/>
                <w:kern w:val="2"/>
                <w:sz w:val="24"/>
              </w:rPr>
              <w:t>0.0000%</w:t>
            </w:r>
          </w:p>
        </w:tc>
        <w:tc>
          <w:tcPr>
            <w:vAlign w:val="center"/>
          </w:tcPr>
          <w:p>
            <w:pPr>
              <w:jc w:val="center"/>
            </w:pPr>
            <w:r>
              <w:rPr>
                <w:color w:val="000000"/>
                <w:kern w:val="2"/>
                <w:sz w:val="24"/>
              </w:rPr>
              <w:t>0.3272%</w:t>
            </w:r>
          </w:p>
        </w:tc>
        <w:tc>
          <w:tcPr>
            <w:vAlign w:val="center"/>
          </w:tcPr>
          <w:p>
            <w:pPr>
              <w:jc w:val="center"/>
            </w:pPr>
            <w:r>
              <w:rPr>
                <w:color w:val="000000"/>
                <w:kern w:val="2"/>
                <w:sz w:val="24"/>
              </w:rPr>
              <w:t>0.0017%</w:t>
            </w:r>
          </w:p>
        </w:tc>
      </w:tr>
      <w:tr>
        <w:tc>
          <w:tcPr>
            <w:vAlign w:val="center"/>
          </w:tcPr>
          <w:p>
            <w:pPr>
              <w:jc w:val="left"/>
            </w:pPr>
            <w:r>
              <w:rPr>
                <w:color w:val="000000"/>
                <w:kern w:val="2"/>
                <w:sz w:val="24"/>
              </w:rPr>
              <w:t>过去六个月</w:t>
            </w:r>
          </w:p>
        </w:tc>
        <w:tc>
          <w:tcPr>
            <w:vAlign w:val="center"/>
          </w:tcPr>
          <w:p>
            <w:pPr>
              <w:jc w:val="center"/>
            </w:pPr>
            <w:r>
              <w:rPr>
                <w:color w:val="000000"/>
                <w:kern w:val="2"/>
                <w:sz w:val="24"/>
              </w:rPr>
              <w:t>0.9991%</w:t>
            </w:r>
          </w:p>
        </w:tc>
        <w:tc>
          <w:tcPr>
            <w:vAlign w:val="center"/>
          </w:tcPr>
          <w:p>
            <w:pPr>
              <w:jc w:val="center"/>
            </w:pPr>
            <w:r>
              <w:rPr>
                <w:color w:val="000000"/>
                <w:kern w:val="2"/>
                <w:sz w:val="24"/>
              </w:rPr>
              <w:t>0.0018%</w:t>
            </w:r>
          </w:p>
        </w:tc>
        <w:tc>
          <w:tcPr>
            <w:vAlign w:val="center"/>
          </w:tcPr>
          <w:p>
            <w:pPr>
              <w:jc w:val="center"/>
            </w:pPr>
            <w:r>
              <w:rPr>
                <w:color w:val="000000"/>
                <w:kern w:val="2"/>
                <w:sz w:val="24"/>
              </w:rPr>
              <w:t>0.1742%</w:t>
            </w:r>
          </w:p>
        </w:tc>
        <w:tc>
          <w:tcPr>
            <w:vAlign w:val="center"/>
          </w:tcPr>
          <w:p>
            <w:pPr>
              <w:jc w:val="center"/>
            </w:pPr>
            <w:r>
              <w:rPr>
                <w:color w:val="000000"/>
                <w:kern w:val="2"/>
                <w:sz w:val="24"/>
              </w:rPr>
              <w:t>0.0000%</w:t>
            </w:r>
          </w:p>
        </w:tc>
        <w:tc>
          <w:tcPr>
            <w:vAlign w:val="center"/>
          </w:tcPr>
          <w:p>
            <w:pPr>
              <w:jc w:val="center"/>
            </w:pPr>
            <w:r>
              <w:rPr>
                <w:color w:val="000000"/>
                <w:kern w:val="2"/>
                <w:sz w:val="24"/>
              </w:rPr>
              <w:t>0.8249%</w:t>
            </w:r>
          </w:p>
        </w:tc>
        <w:tc>
          <w:tcPr>
            <w:vAlign w:val="center"/>
          </w:tcPr>
          <w:p>
            <w:pPr>
              <w:jc w:val="center"/>
            </w:pPr>
            <w:r>
              <w:rPr>
                <w:color w:val="000000"/>
                <w:kern w:val="2"/>
                <w:sz w:val="24"/>
              </w:rPr>
              <w:t>0.0018%</w:t>
            </w:r>
          </w:p>
        </w:tc>
      </w:tr>
      <w:tr>
        <w:tc>
          <w:tcPr>
            <w:vAlign w:val="center"/>
          </w:tcPr>
          <w:p>
            <w:pPr>
              <w:jc w:val="left"/>
            </w:pPr>
            <w:r>
              <w:rPr>
                <w:color w:val="000000"/>
                <w:kern w:val="2"/>
                <w:sz w:val="24"/>
              </w:rPr>
              <w:t>过去一年</w:t>
            </w:r>
          </w:p>
        </w:tc>
        <w:tc>
          <w:tcPr>
            <w:vAlign w:val="center"/>
          </w:tcPr>
          <w:p>
            <w:pPr>
              <w:jc w:val="center"/>
            </w:pPr>
            <w:r>
              <w:rPr>
                <w:color w:val="000000"/>
                <w:kern w:val="2"/>
                <w:sz w:val="24"/>
              </w:rPr>
              <w:t>2.2567%</w:t>
            </w:r>
          </w:p>
        </w:tc>
        <w:tc>
          <w:tcPr>
            <w:vAlign w:val="center"/>
          </w:tcPr>
          <w:p>
            <w:pPr>
              <w:jc w:val="center"/>
            </w:pPr>
            <w:r>
              <w:rPr>
                <w:color w:val="000000"/>
                <w:kern w:val="2"/>
                <w:sz w:val="24"/>
              </w:rPr>
              <w:t>0.0017%</w:t>
            </w:r>
          </w:p>
        </w:tc>
        <w:tc>
          <w:tcPr>
            <w:vAlign w:val="center"/>
          </w:tcPr>
          <w:p>
            <w:pPr>
              <w:jc w:val="center"/>
            </w:pPr>
            <w:r>
              <w:rPr>
                <w:color w:val="000000"/>
                <w:kern w:val="2"/>
                <w:sz w:val="24"/>
              </w:rPr>
              <w:t>0.3511%</w:t>
            </w:r>
          </w:p>
        </w:tc>
        <w:tc>
          <w:tcPr>
            <w:vAlign w:val="center"/>
          </w:tcPr>
          <w:p>
            <w:pPr>
              <w:jc w:val="center"/>
            </w:pPr>
            <w:r>
              <w:rPr>
                <w:color w:val="000000"/>
                <w:kern w:val="2"/>
                <w:sz w:val="24"/>
              </w:rPr>
              <w:t>0.0000%</w:t>
            </w:r>
          </w:p>
        </w:tc>
        <w:tc>
          <w:tcPr>
            <w:vAlign w:val="center"/>
          </w:tcPr>
          <w:p>
            <w:pPr>
              <w:jc w:val="center"/>
            </w:pPr>
            <w:r>
              <w:rPr>
                <w:color w:val="000000"/>
                <w:kern w:val="2"/>
                <w:sz w:val="24"/>
              </w:rPr>
              <w:t>1.9056%</w:t>
            </w:r>
          </w:p>
        </w:tc>
        <w:tc>
          <w:tcPr>
            <w:vAlign w:val="center"/>
          </w:tcPr>
          <w:p>
            <w:pPr>
              <w:jc w:val="center"/>
            </w:pPr>
            <w:r>
              <w:rPr>
                <w:color w:val="000000"/>
                <w:kern w:val="2"/>
                <w:sz w:val="24"/>
              </w:rPr>
              <w:t>0.0017%</w:t>
            </w:r>
          </w:p>
        </w:tc>
      </w:tr>
      <w:tr>
        <w:tc>
          <w:tcPr>
            <w:vAlign w:val="center"/>
          </w:tcPr>
          <w:p>
            <w:pPr>
              <w:jc w:val="left"/>
            </w:pPr>
            <w:r>
              <w:rPr>
                <w:color w:val="000000"/>
                <w:kern w:val="2"/>
                <w:sz w:val="24"/>
              </w:rPr>
              <w:t>过去三年</w:t>
            </w:r>
          </w:p>
        </w:tc>
        <w:tc>
          <w:tcPr>
            <w:vAlign w:val="center"/>
          </w:tcPr>
          <w:p>
            <w:pPr>
              <w:jc w:val="center"/>
            </w:pPr>
            <w:r>
              <w:rPr>
                <w:color w:val="000000"/>
                <w:kern w:val="2"/>
                <w:sz w:val="24"/>
              </w:rPr>
              <w:t>8.9702%</w:t>
            </w:r>
          </w:p>
        </w:tc>
        <w:tc>
          <w:tcPr>
            <w:vAlign w:val="center"/>
          </w:tcPr>
          <w:p>
            <w:pPr>
              <w:jc w:val="center"/>
            </w:pPr>
            <w:r>
              <w:rPr>
                <w:color w:val="000000"/>
                <w:kern w:val="2"/>
                <w:sz w:val="24"/>
              </w:rPr>
              <w:t>0.0026%</w:t>
            </w:r>
          </w:p>
        </w:tc>
        <w:tc>
          <w:tcPr>
            <w:vAlign w:val="center"/>
          </w:tcPr>
          <w:p>
            <w:pPr>
              <w:jc w:val="center"/>
            </w:pPr>
            <w:r>
              <w:rPr>
                <w:color w:val="000000"/>
                <w:kern w:val="2"/>
                <w:sz w:val="24"/>
              </w:rPr>
              <w:t>1.0560%</w:t>
            </w:r>
          </w:p>
        </w:tc>
        <w:tc>
          <w:tcPr>
            <w:vAlign w:val="center"/>
          </w:tcPr>
          <w:p>
            <w:pPr>
              <w:jc w:val="center"/>
            </w:pPr>
            <w:r>
              <w:rPr>
                <w:color w:val="000000"/>
                <w:kern w:val="2"/>
                <w:sz w:val="24"/>
              </w:rPr>
              <w:t>0.0000%</w:t>
            </w:r>
          </w:p>
        </w:tc>
        <w:tc>
          <w:tcPr>
            <w:vAlign w:val="center"/>
          </w:tcPr>
          <w:p>
            <w:pPr>
              <w:jc w:val="center"/>
            </w:pPr>
            <w:r>
              <w:rPr>
                <w:color w:val="000000"/>
                <w:kern w:val="2"/>
                <w:sz w:val="24"/>
              </w:rPr>
              <w:t>7.9142%</w:t>
            </w:r>
          </w:p>
        </w:tc>
        <w:tc>
          <w:tcPr>
            <w:vAlign w:val="center"/>
          </w:tcPr>
          <w:p>
            <w:pPr>
              <w:jc w:val="center"/>
            </w:pPr>
            <w:r>
              <w:rPr>
                <w:color w:val="000000"/>
                <w:kern w:val="2"/>
                <w:sz w:val="24"/>
              </w:rPr>
              <w:t>0.0026%</w:t>
            </w:r>
          </w:p>
        </w:tc>
      </w:tr>
      <w:tr>
        <w:tc>
          <w:tcPr>
            <w:vAlign w:val="center"/>
          </w:tcPr>
          <w:p>
            <w:pPr>
              <w:jc w:val="left"/>
            </w:pPr>
            <w:r>
              <w:rPr>
                <w:color w:val="000000"/>
                <w:kern w:val="2"/>
                <w:sz w:val="24"/>
              </w:rPr>
              <w:t>过去五年</w:t>
            </w:r>
          </w:p>
        </w:tc>
        <w:tc>
          <w:tcPr>
            <w:vAlign w:val="center"/>
          </w:tcPr>
          <w:p>
            <w:pPr>
              <w:jc w:val="center"/>
            </w:pPr>
            <w:r>
              <w:rPr>
                <w:color w:val="000000"/>
                <w:kern w:val="2"/>
                <w:sz w:val="24"/>
              </w:rPr>
              <w:t>15.4216%</w:t>
            </w:r>
          </w:p>
        </w:tc>
        <w:tc>
          <w:tcPr>
            <w:vAlign w:val="center"/>
          </w:tcPr>
          <w:p>
            <w:pPr>
              <w:jc w:val="center"/>
            </w:pPr>
            <w:r>
              <w:rPr>
                <w:color w:val="000000"/>
                <w:kern w:val="2"/>
                <w:sz w:val="24"/>
              </w:rPr>
              <w:t>0.0024%</w:t>
            </w:r>
          </w:p>
        </w:tc>
        <w:tc>
          <w:tcPr>
            <w:vAlign w:val="center"/>
          </w:tcPr>
          <w:p>
            <w:pPr>
              <w:jc w:val="center"/>
            </w:pPr>
            <w:r>
              <w:rPr>
                <w:color w:val="000000"/>
                <w:kern w:val="2"/>
                <w:sz w:val="24"/>
              </w:rPr>
              <w:t>1.7659%</w:t>
            </w:r>
          </w:p>
        </w:tc>
        <w:tc>
          <w:tcPr>
            <w:vAlign w:val="center"/>
          </w:tcPr>
          <w:p>
            <w:pPr>
              <w:jc w:val="center"/>
            </w:pPr>
            <w:r>
              <w:rPr>
                <w:color w:val="000000"/>
                <w:kern w:val="2"/>
                <w:sz w:val="24"/>
              </w:rPr>
              <w:t>0.0000%</w:t>
            </w:r>
          </w:p>
        </w:tc>
        <w:tc>
          <w:tcPr>
            <w:vAlign w:val="center"/>
          </w:tcPr>
          <w:p>
            <w:pPr>
              <w:jc w:val="center"/>
            </w:pPr>
            <w:r>
              <w:rPr>
                <w:color w:val="000000"/>
                <w:kern w:val="2"/>
                <w:sz w:val="24"/>
              </w:rPr>
              <w:t>13.6557%</w:t>
            </w:r>
          </w:p>
        </w:tc>
        <w:tc>
          <w:tcPr>
            <w:vAlign w:val="center"/>
          </w:tcPr>
          <w:p>
            <w:pPr>
              <w:jc w:val="center"/>
            </w:pPr>
            <w:r>
              <w:rPr>
                <w:color w:val="000000"/>
                <w:kern w:val="2"/>
                <w:sz w:val="24"/>
              </w:rPr>
              <w:t>0.0024%</w:t>
            </w:r>
          </w:p>
        </w:tc>
      </w:tr>
      <w:tr>
        <w:tc>
          <w:tcPr>
            <w:vAlign w:val="center"/>
          </w:tcPr>
          <w:p>
            <w:pPr>
              <w:jc w:val="left"/>
            </w:pPr>
            <w:r>
              <w:rPr>
                <w:color w:val="000000"/>
                <w:kern w:val="2"/>
                <w:sz w:val="24"/>
              </w:rPr>
              <w:t>自基金合同生效起至今</w:t>
            </w:r>
          </w:p>
        </w:tc>
        <w:tc>
          <w:tcPr>
            <w:vAlign w:val="center"/>
          </w:tcPr>
          <w:p>
            <w:pPr>
              <w:jc w:val="center"/>
            </w:pPr>
            <w:r>
              <w:rPr>
                <w:color w:val="000000"/>
                <w:kern w:val="2"/>
                <w:sz w:val="24"/>
              </w:rPr>
              <w:t>58.2167%</w:t>
            </w:r>
          </w:p>
        </w:tc>
        <w:tc>
          <w:tcPr>
            <w:vAlign w:val="center"/>
          </w:tcPr>
          <w:p>
            <w:pPr>
              <w:jc w:val="center"/>
            </w:pPr>
            <w:r>
              <w:rPr>
                <w:color w:val="000000"/>
                <w:kern w:val="2"/>
                <w:sz w:val="24"/>
              </w:rPr>
              <w:t>0.0066%</w:t>
            </w:r>
          </w:p>
        </w:tc>
        <w:tc>
          <w:tcPr>
            <w:vAlign w:val="center"/>
          </w:tcPr>
          <w:p>
            <w:pPr>
              <w:jc w:val="center"/>
            </w:pPr>
            <w:r>
              <w:rPr>
                <w:color w:val="000000"/>
                <w:kern w:val="2"/>
                <w:sz w:val="24"/>
              </w:rPr>
              <w:t>11.9009%</w:t>
            </w:r>
          </w:p>
        </w:tc>
        <w:tc>
          <w:tcPr>
            <w:vAlign w:val="center"/>
          </w:tcPr>
          <w:p>
            <w:pPr>
              <w:jc w:val="center"/>
            </w:pPr>
            <w:r>
              <w:rPr>
                <w:color w:val="000000"/>
                <w:kern w:val="2"/>
                <w:sz w:val="24"/>
              </w:rPr>
              <w:t>0.0030%</w:t>
            </w:r>
          </w:p>
        </w:tc>
        <w:tc>
          <w:tcPr>
            <w:vAlign w:val="center"/>
          </w:tcPr>
          <w:p>
            <w:pPr>
              <w:jc w:val="center"/>
            </w:pPr>
            <w:r>
              <w:rPr>
                <w:color w:val="000000"/>
                <w:kern w:val="2"/>
                <w:sz w:val="24"/>
              </w:rPr>
              <w:t>46.3158%</w:t>
            </w:r>
          </w:p>
        </w:tc>
        <w:tc>
          <w:tcPr>
            <w:vAlign w:val="center"/>
          </w:tcPr>
          <w:p>
            <w:pPr>
              <w:jc w:val="center"/>
            </w:pPr>
            <w:r>
              <w:rPr>
                <w:color w:val="000000"/>
                <w:kern w:val="2"/>
                <w:sz w:val="24"/>
              </w:rPr>
              <w:t>0.0036%</w:t>
            </w:r>
          </w:p>
        </w:tc>
      </w:tr>
    </w:tbl>
    <w:p w:rsidP="00613409" w:rsidR="00EA3F40" w:rsidRDefault="00EA3F40" w:rsidRPr="00613409">
      <w:pPr>
        <w:pStyle w:val="20"/>
        <w:spacing w:line="360" w:lineRule="auto"/>
        <w:ind w:firstLine="0" w:firstLineChars="0"/>
        <w:rPr>
          <w:b/>
          <w:color w:val="000000"/>
          <w:sz w:val="24"/>
        </w:rPr>
      </w:pPr>
      <w:r w:rsidRPr="00613409">
        <w:rPr>
          <w:b/>
          <w:color w:val="000000"/>
          <w:sz w:val="24"/>
        </w:rPr>
        <w:t>易方达货币E</w:t>
      </w:r>
    </w:p>
    <w:tbl>
      <w:tblPr>
        <w:tblW w:type="auto"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0" w:val="00A0"/>
      </w:tblPr>
      <w:tblGrid>
        <w:gridCol w:w="1328"/>
        <w:gridCol w:w="1329"/>
        <w:gridCol w:w="1329"/>
        <w:gridCol w:w="1329"/>
        <w:gridCol w:w="1329"/>
        <w:gridCol w:w="1329"/>
        <w:gridCol w:w="1329"/>
      </w:tblGrid>
      <w:tr w:rsidR="00EA3F40" w:rsidRPr="0097021E" w:rsidTr="00841A22">
        <w:tc>
          <w:tcPr>
            <w:tcW w:type="dxa" w:w="1328"/>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阶段</w:t>
            </w:r>
            <w:r w:rsidRPr="00613409">
              <w:rPr>
                <w:rFonts w:ascii="Times New Roman" w:hAnsi="Times New Roman"/>
                <w:color w:val="000000"/>
                <w:szCs w:val="24"/>
              </w:rPr>
              <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w:t>
            </w:r>
            <w:r w:rsidRPr="00613409">
              <w:rPr>
                <w:rFonts w:cs="宋体" w:hint="eastAsia"/>
                <w:color w:val="000000"/>
                <w:szCs w:val="24"/>
              </w:rPr>
              <w:t>①</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净值收益率标准差</w:t>
            </w:r>
            <w:r w:rsidRPr="00613409">
              <w:rPr>
                <w:rFonts w:cs="宋体" w:hint="eastAsia"/>
                <w:color w:val="000000"/>
                <w:szCs w:val="24"/>
              </w:rPr>
              <w:t>②</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w:t>
            </w:r>
            <w:r w:rsidRPr="00613409">
              <w:rPr>
                <w:rFonts w:cs="宋体" w:hint="eastAsia"/>
                <w:color w:val="000000"/>
                <w:szCs w:val="24"/>
              </w:rPr>
              <w:t>③</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业绩比较基准收益率标准差</w:t>
            </w:r>
            <w:r w:rsidRPr="00613409">
              <w:rPr>
                <w:rFonts w:cs="宋体" w:hint="eastAsia"/>
                <w:color w:val="000000"/>
                <w:szCs w:val="24"/>
              </w:rPr>
              <w:t>④</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①</w:t>
            </w:r>
            <w:r w:rsidRPr="00613409">
              <w:rPr>
                <w:rFonts w:ascii="Times New Roman" w:hAnsi="Times New Roman"/>
                <w:color w:val="000000"/>
                <w:szCs w:val="24"/>
              </w:rPr>
              <w:t>-</w:t>
            </w:r>
            <w:r w:rsidRPr="00613409">
              <w:rPr>
                <w:rFonts w:cs="宋体" w:hint="eastAsia"/>
                <w:color w:val="000000"/>
                <w:szCs w:val="24"/>
              </w:rPr>
              <w:t>③</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②</w:t>
            </w:r>
            <w:r w:rsidRPr="00613409">
              <w:rPr>
                <w:rFonts w:ascii="Times New Roman" w:hAnsi="Times New Roman"/>
                <w:color w:val="000000"/>
                <w:szCs w:val="24"/>
              </w:rPr>
              <w:t>-</w:t>
            </w:r>
            <w:r w:rsidRPr="00613409">
              <w:rPr>
                <w:rFonts w:cs="宋体" w:hint="eastAsia"/>
                <w:color w:val="000000"/>
                <w:szCs w:val="24"/>
              </w:rPr>
              <w:t>④</w:t>
            </w:r>
          </w:p>
        </w:tc>
      </w:tr>
      <w:tr>
        <w:tc>
          <w:tcPr>
            <w:vAlign w:val="center"/>
          </w:tcPr>
          <w:p>
            <w:pPr>
              <w:jc w:val="left"/>
            </w:pPr>
            <w:r>
              <w:rPr>
                <w:color w:val="000000"/>
                <w:kern w:val="2"/>
                <w:sz w:val="24"/>
              </w:rPr>
              <w:t>过去三个月</w:t>
            </w:r>
          </w:p>
        </w:tc>
        <w:tc>
          <w:tcPr>
            <w:vAlign w:val="center"/>
          </w:tcPr>
          <w:p>
            <w:pPr>
              <w:jc w:val="center"/>
            </w:pPr>
            <w:r>
              <w:rPr>
                <w:color w:val="000000"/>
                <w:kern w:val="2"/>
                <w:sz w:val="24"/>
              </w:rPr>
              <w:t>0.3540%</w:t>
            </w:r>
          </w:p>
        </w:tc>
        <w:tc>
          <w:tcPr>
            <w:vAlign w:val="center"/>
          </w:tcPr>
          <w:p>
            <w:pPr>
              <w:jc w:val="center"/>
            </w:pPr>
            <w:r>
              <w:rPr>
                <w:color w:val="000000"/>
                <w:kern w:val="2"/>
                <w:sz w:val="24"/>
              </w:rPr>
              <w:t>0.0017%</w:t>
            </w:r>
          </w:p>
        </w:tc>
        <w:tc>
          <w:tcPr>
            <w:vAlign w:val="center"/>
          </w:tcPr>
          <w:p>
            <w:pPr>
              <w:jc w:val="center"/>
            </w:pPr>
            <w:r>
              <w:rPr>
                <w:color w:val="000000"/>
                <w:kern w:val="2"/>
                <w:sz w:val="24"/>
              </w:rPr>
              <w:t>0.0871%</w:t>
            </w:r>
          </w:p>
        </w:tc>
        <w:tc>
          <w:tcPr>
            <w:vAlign w:val="center"/>
          </w:tcPr>
          <w:p>
            <w:pPr>
              <w:jc w:val="center"/>
            </w:pPr>
            <w:r>
              <w:rPr>
                <w:color w:val="000000"/>
                <w:kern w:val="2"/>
                <w:sz w:val="24"/>
              </w:rPr>
              <w:t>0.0000%</w:t>
            </w:r>
          </w:p>
        </w:tc>
        <w:tc>
          <w:tcPr>
            <w:vAlign w:val="center"/>
          </w:tcPr>
          <w:p>
            <w:pPr>
              <w:jc w:val="center"/>
            </w:pPr>
            <w:r>
              <w:rPr>
                <w:color w:val="000000"/>
                <w:kern w:val="2"/>
                <w:sz w:val="24"/>
              </w:rPr>
              <w:t>0.2669%</w:t>
            </w:r>
          </w:p>
        </w:tc>
        <w:tc>
          <w:tcPr>
            <w:vAlign w:val="center"/>
          </w:tcPr>
          <w:p>
            <w:pPr>
              <w:jc w:val="center"/>
            </w:pPr>
            <w:r>
              <w:rPr>
                <w:color w:val="000000"/>
                <w:kern w:val="2"/>
                <w:sz w:val="24"/>
              </w:rPr>
              <w:t>0.0017%</w:t>
            </w:r>
          </w:p>
        </w:tc>
      </w:tr>
      <w:tr>
        <w:tc>
          <w:tcPr>
            <w:vAlign w:val="center"/>
          </w:tcPr>
          <w:p>
            <w:pPr>
              <w:jc w:val="left"/>
            </w:pPr>
            <w:r>
              <w:rPr>
                <w:color w:val="000000"/>
                <w:kern w:val="2"/>
                <w:sz w:val="24"/>
              </w:rPr>
              <w:t>过去六个月</w:t>
            </w:r>
          </w:p>
        </w:tc>
        <w:tc>
          <w:tcPr>
            <w:vAlign w:val="center"/>
          </w:tcPr>
          <w:p>
            <w:pPr>
              <w:jc w:val="center"/>
            </w:pPr>
            <w:r>
              <w:rPr>
                <w:color w:val="000000"/>
                <w:kern w:val="2"/>
                <w:sz w:val="24"/>
              </w:rPr>
              <w:t>0.8781%</w:t>
            </w:r>
          </w:p>
        </w:tc>
        <w:tc>
          <w:tcPr>
            <w:vAlign w:val="center"/>
          </w:tcPr>
          <w:p>
            <w:pPr>
              <w:jc w:val="center"/>
            </w:pPr>
            <w:r>
              <w:rPr>
                <w:color w:val="000000"/>
                <w:kern w:val="2"/>
                <w:sz w:val="24"/>
              </w:rPr>
              <w:t>0.0018%</w:t>
            </w:r>
          </w:p>
        </w:tc>
        <w:tc>
          <w:tcPr>
            <w:vAlign w:val="center"/>
          </w:tcPr>
          <w:p>
            <w:pPr>
              <w:jc w:val="center"/>
            </w:pPr>
            <w:r>
              <w:rPr>
                <w:color w:val="000000"/>
                <w:kern w:val="2"/>
                <w:sz w:val="24"/>
              </w:rPr>
              <w:t>0.1742%</w:t>
            </w:r>
          </w:p>
        </w:tc>
        <w:tc>
          <w:tcPr>
            <w:vAlign w:val="center"/>
          </w:tcPr>
          <w:p>
            <w:pPr>
              <w:jc w:val="center"/>
            </w:pPr>
            <w:r>
              <w:rPr>
                <w:color w:val="000000"/>
                <w:kern w:val="2"/>
                <w:sz w:val="24"/>
              </w:rPr>
              <w:t>0.0000%</w:t>
            </w:r>
          </w:p>
        </w:tc>
        <w:tc>
          <w:tcPr>
            <w:vAlign w:val="center"/>
          </w:tcPr>
          <w:p>
            <w:pPr>
              <w:jc w:val="center"/>
            </w:pPr>
            <w:r>
              <w:rPr>
                <w:color w:val="000000"/>
                <w:kern w:val="2"/>
                <w:sz w:val="24"/>
              </w:rPr>
              <w:t>0.7039%</w:t>
            </w:r>
          </w:p>
        </w:tc>
        <w:tc>
          <w:tcPr>
            <w:vAlign w:val="center"/>
          </w:tcPr>
          <w:p>
            <w:pPr>
              <w:jc w:val="center"/>
            </w:pPr>
            <w:r>
              <w:rPr>
                <w:color w:val="000000"/>
                <w:kern w:val="2"/>
                <w:sz w:val="24"/>
              </w:rPr>
              <w:t>0.0018%</w:t>
            </w:r>
          </w:p>
        </w:tc>
      </w:tr>
      <w:tr>
        <w:tc>
          <w:tcPr>
            <w:vAlign w:val="center"/>
          </w:tcPr>
          <w:p>
            <w:pPr>
              <w:jc w:val="left"/>
            </w:pPr>
            <w:r>
              <w:rPr>
                <w:color w:val="000000"/>
                <w:kern w:val="2"/>
                <w:sz w:val="24"/>
              </w:rPr>
              <w:t>过去一年</w:t>
            </w:r>
          </w:p>
        </w:tc>
        <w:tc>
          <w:tcPr>
            <w:vAlign w:val="center"/>
          </w:tcPr>
          <w:p>
            <w:pPr>
              <w:jc w:val="center"/>
            </w:pPr>
            <w:r>
              <w:rPr>
                <w:color w:val="000000"/>
                <w:kern w:val="2"/>
                <w:sz w:val="24"/>
              </w:rPr>
              <w:t>2.0058%</w:t>
            </w:r>
          </w:p>
        </w:tc>
        <w:tc>
          <w:tcPr>
            <w:vAlign w:val="center"/>
          </w:tcPr>
          <w:p>
            <w:pPr>
              <w:jc w:val="center"/>
            </w:pPr>
            <w:r>
              <w:rPr>
                <w:color w:val="000000"/>
                <w:kern w:val="2"/>
                <w:sz w:val="24"/>
              </w:rPr>
              <w:t>0.0017%</w:t>
            </w:r>
          </w:p>
        </w:tc>
        <w:tc>
          <w:tcPr>
            <w:vAlign w:val="center"/>
          </w:tcPr>
          <w:p>
            <w:pPr>
              <w:jc w:val="center"/>
            </w:pPr>
            <w:r>
              <w:rPr>
                <w:color w:val="000000"/>
                <w:kern w:val="2"/>
                <w:sz w:val="24"/>
              </w:rPr>
              <w:t>0.3511%</w:t>
            </w:r>
          </w:p>
        </w:tc>
        <w:tc>
          <w:tcPr>
            <w:vAlign w:val="center"/>
          </w:tcPr>
          <w:p>
            <w:pPr>
              <w:jc w:val="center"/>
            </w:pPr>
            <w:r>
              <w:rPr>
                <w:color w:val="000000"/>
                <w:kern w:val="2"/>
                <w:sz w:val="24"/>
              </w:rPr>
              <w:t>0.0000%</w:t>
            </w:r>
          </w:p>
        </w:tc>
        <w:tc>
          <w:tcPr>
            <w:vAlign w:val="center"/>
          </w:tcPr>
          <w:p>
            <w:pPr>
              <w:jc w:val="center"/>
            </w:pPr>
            <w:r>
              <w:rPr>
                <w:color w:val="000000"/>
                <w:kern w:val="2"/>
                <w:sz w:val="24"/>
              </w:rPr>
              <w:t>1.6547%</w:t>
            </w:r>
          </w:p>
        </w:tc>
        <w:tc>
          <w:tcPr>
            <w:vAlign w:val="center"/>
          </w:tcPr>
          <w:p>
            <w:pPr>
              <w:jc w:val="center"/>
            </w:pPr>
            <w:r>
              <w:rPr>
                <w:color w:val="000000"/>
                <w:kern w:val="2"/>
                <w:sz w:val="24"/>
              </w:rPr>
              <w:t>0.0017%</w:t>
            </w:r>
          </w:p>
        </w:tc>
      </w:tr>
      <w:tr>
        <w:tc>
          <w:tcPr>
            <w:vAlign w:val="center"/>
          </w:tcPr>
          <w:p>
            <w:pPr>
              <w:jc w:val="left"/>
            </w:pPr>
            <w:r>
              <w:rPr>
                <w:color w:val="000000"/>
                <w:kern w:val="2"/>
                <w:sz w:val="24"/>
              </w:rPr>
              <w:t>过去三年</w:t>
            </w:r>
          </w:p>
        </w:tc>
        <w:tc>
          <w:tcPr>
            <w:vAlign w:val="center"/>
          </w:tcPr>
          <w:p>
            <w:pPr>
              <w:jc w:val="center"/>
            </w:pPr>
            <w:r>
              <w:rPr>
                <w:color w:val="000000"/>
                <w:kern w:val="2"/>
                <w:sz w:val="24"/>
              </w:rPr>
              <w:t>8.1667%</w:t>
            </w:r>
          </w:p>
        </w:tc>
        <w:tc>
          <w:tcPr>
            <w:vAlign w:val="center"/>
          </w:tcPr>
          <w:p>
            <w:pPr>
              <w:jc w:val="center"/>
            </w:pPr>
            <w:r>
              <w:rPr>
                <w:color w:val="000000"/>
                <w:kern w:val="2"/>
                <w:sz w:val="24"/>
              </w:rPr>
              <w:t>0.0026%</w:t>
            </w:r>
          </w:p>
        </w:tc>
        <w:tc>
          <w:tcPr>
            <w:vAlign w:val="center"/>
          </w:tcPr>
          <w:p>
            <w:pPr>
              <w:jc w:val="center"/>
            </w:pPr>
            <w:r>
              <w:rPr>
                <w:color w:val="000000"/>
                <w:kern w:val="2"/>
                <w:sz w:val="24"/>
              </w:rPr>
              <w:t>1.0560%</w:t>
            </w:r>
          </w:p>
        </w:tc>
        <w:tc>
          <w:tcPr>
            <w:vAlign w:val="center"/>
          </w:tcPr>
          <w:p>
            <w:pPr>
              <w:jc w:val="center"/>
            </w:pPr>
            <w:r>
              <w:rPr>
                <w:color w:val="000000"/>
                <w:kern w:val="2"/>
                <w:sz w:val="24"/>
              </w:rPr>
              <w:t>0.0000%</w:t>
            </w:r>
          </w:p>
        </w:tc>
        <w:tc>
          <w:tcPr>
            <w:vAlign w:val="center"/>
          </w:tcPr>
          <w:p>
            <w:pPr>
              <w:jc w:val="center"/>
            </w:pPr>
            <w:r>
              <w:rPr>
                <w:color w:val="000000"/>
                <w:kern w:val="2"/>
                <w:sz w:val="24"/>
              </w:rPr>
              <w:t>7.1107%</w:t>
            </w:r>
          </w:p>
        </w:tc>
        <w:tc>
          <w:tcPr>
            <w:vAlign w:val="center"/>
          </w:tcPr>
          <w:p>
            <w:pPr>
              <w:jc w:val="center"/>
            </w:pPr>
            <w:r>
              <w:rPr>
                <w:color w:val="000000"/>
                <w:kern w:val="2"/>
                <w:sz w:val="24"/>
              </w:rPr>
              <w:t>0.0026%</w:t>
            </w:r>
          </w:p>
        </w:tc>
      </w:tr>
      <w:tr>
        <w:tc>
          <w:tcPr>
            <w:vAlign w:val="center"/>
          </w:tcPr>
          <w:p>
            <w:pPr>
              <w:jc w:val="left"/>
            </w:pPr>
            <w:r>
              <w:rPr>
                <w:color w:val="000000"/>
                <w:kern w:val="2"/>
                <w:sz w:val="24"/>
              </w:rPr>
              <w:t>过去五年</w:t>
            </w:r>
          </w:p>
        </w:tc>
        <w:tc>
          <w:tcPr>
            <w:vAlign w:val="center"/>
          </w:tcPr>
          <w:p>
            <w:pPr>
              <w:jc w:val="center"/>
            </w:pPr>
            <w:r>
              <w:rPr>
                <w:color w:val="000000"/>
                <w:kern w:val="2"/>
                <w:sz w:val="24"/>
              </w:rPr>
              <w:t>14.0186%</w:t>
            </w:r>
          </w:p>
        </w:tc>
        <w:tc>
          <w:tcPr>
            <w:vAlign w:val="center"/>
          </w:tcPr>
          <w:p>
            <w:pPr>
              <w:jc w:val="center"/>
            </w:pPr>
            <w:r>
              <w:rPr>
                <w:color w:val="000000"/>
                <w:kern w:val="2"/>
                <w:sz w:val="24"/>
              </w:rPr>
              <w:t>0.0024%</w:t>
            </w:r>
          </w:p>
        </w:tc>
        <w:tc>
          <w:tcPr>
            <w:vAlign w:val="center"/>
          </w:tcPr>
          <w:p>
            <w:pPr>
              <w:jc w:val="center"/>
            </w:pPr>
            <w:r>
              <w:rPr>
                <w:color w:val="000000"/>
                <w:kern w:val="2"/>
                <w:sz w:val="24"/>
              </w:rPr>
              <w:t>1.7659%</w:t>
            </w:r>
          </w:p>
        </w:tc>
        <w:tc>
          <w:tcPr>
            <w:vAlign w:val="center"/>
          </w:tcPr>
          <w:p>
            <w:pPr>
              <w:jc w:val="center"/>
            </w:pPr>
            <w:r>
              <w:rPr>
                <w:color w:val="000000"/>
                <w:kern w:val="2"/>
                <w:sz w:val="24"/>
              </w:rPr>
              <w:t>0.0000%</w:t>
            </w:r>
          </w:p>
        </w:tc>
        <w:tc>
          <w:tcPr>
            <w:vAlign w:val="center"/>
          </w:tcPr>
          <w:p>
            <w:pPr>
              <w:jc w:val="center"/>
            </w:pPr>
            <w:r>
              <w:rPr>
                <w:color w:val="000000"/>
                <w:kern w:val="2"/>
                <w:sz w:val="24"/>
              </w:rPr>
              <w:t>12.2527%</w:t>
            </w:r>
          </w:p>
        </w:tc>
        <w:tc>
          <w:tcPr>
            <w:vAlign w:val="center"/>
          </w:tcPr>
          <w:p>
            <w:pPr>
              <w:jc w:val="center"/>
            </w:pPr>
            <w:r>
              <w:rPr>
                <w:color w:val="000000"/>
                <w:kern w:val="2"/>
                <w:sz w:val="24"/>
              </w:rPr>
              <w:t>0.0024%</w:t>
            </w:r>
          </w:p>
        </w:tc>
      </w:tr>
      <w:tr>
        <w:tc>
          <w:tcPr>
            <w:vAlign w:val="center"/>
          </w:tcPr>
          <w:p>
            <w:pPr>
              <w:jc w:val="left"/>
            </w:pPr>
            <w:r>
              <w:rPr>
                <w:color w:val="000000"/>
                <w:kern w:val="2"/>
                <w:sz w:val="24"/>
              </w:rPr>
              <w:t>自基金合同生效起至今</w:t>
            </w:r>
          </w:p>
        </w:tc>
        <w:tc>
          <w:tcPr>
            <w:vAlign w:val="center"/>
          </w:tcPr>
          <w:p>
            <w:pPr>
              <w:jc w:val="center"/>
            </w:pPr>
            <w:r>
              <w:rPr>
                <w:color w:val="000000"/>
                <w:kern w:val="2"/>
                <w:sz w:val="24"/>
              </w:rPr>
              <w:t>16.6665%</w:t>
            </w:r>
          </w:p>
        </w:tc>
        <w:tc>
          <w:tcPr>
            <w:vAlign w:val="center"/>
          </w:tcPr>
          <w:p>
            <w:pPr>
              <w:jc w:val="center"/>
            </w:pPr>
            <w:r>
              <w:rPr>
                <w:color w:val="000000"/>
                <w:kern w:val="2"/>
                <w:sz w:val="24"/>
              </w:rPr>
              <w:t>0.0036%</w:t>
            </w:r>
          </w:p>
        </w:tc>
        <w:tc>
          <w:tcPr>
            <w:vAlign w:val="center"/>
          </w:tcPr>
          <w:p>
            <w:pPr>
              <w:jc w:val="center"/>
            </w:pPr>
            <w:r>
              <w:rPr>
                <w:color w:val="000000"/>
                <w:kern w:val="2"/>
                <w:sz w:val="24"/>
              </w:rPr>
              <w:t>1.9769%</w:t>
            </w:r>
          </w:p>
        </w:tc>
        <w:tc>
          <w:tcPr>
            <w:vAlign w:val="center"/>
          </w:tcPr>
          <w:p>
            <w:pPr>
              <w:jc w:val="center"/>
            </w:pPr>
            <w:r>
              <w:rPr>
                <w:color w:val="000000"/>
                <w:kern w:val="2"/>
                <w:sz w:val="24"/>
              </w:rPr>
              <w:t>0.0000%</w:t>
            </w:r>
          </w:p>
        </w:tc>
        <w:tc>
          <w:tcPr>
            <w:vAlign w:val="center"/>
          </w:tcPr>
          <w:p>
            <w:pPr>
              <w:jc w:val="center"/>
            </w:pPr>
            <w:r>
              <w:rPr>
                <w:color w:val="000000"/>
                <w:kern w:val="2"/>
                <w:sz w:val="24"/>
              </w:rPr>
              <w:t>14.6896%</w:t>
            </w:r>
          </w:p>
        </w:tc>
        <w:tc>
          <w:tcPr>
            <w:vAlign w:val="center"/>
          </w:tcPr>
          <w:p>
            <w:pPr>
              <w:jc w:val="center"/>
            </w:pPr>
            <w:r>
              <w:rPr>
                <w:color w:val="000000"/>
                <w:kern w:val="2"/>
                <w:sz w:val="24"/>
              </w:rPr>
              <w:t>0.0036%</w:t>
            </w:r>
          </w:p>
        </w:tc>
      </w:tr>
    </w:tbl>
    <w:p w:rsidP="009A755D" w:rsidR="00EA3F40" w:rsidRDefault="00EA3F40" w:rsidRPr="0097021E">
      <w:pPr>
        <w:spacing w:line="360" w:lineRule="auto"/>
        <w:rPr>
          <w:rFonts w:ascii="宋体" w:cs="Arial"/>
          <w:b/>
          <w:color w:val="000000"/>
          <w:kern w:val="0"/>
          <w:sz w:val="24"/>
        </w:rPr>
      </w:pPr>
      <w:smartTag w:element="chsdate" w:uri="urn:schemas-microsoft-com:office:smarttags">
        <w:smartTagPr>
          <w:attr w:name="IsROCDate" w:val="False"/>
          <w:attr w:name="IsLunarDate" w:val="False"/>
          <w:attr w:name="Day" w:val="30"/>
          <w:attr w:name="Month" w:val="12"/>
          <w:attr w:name="Year" w:val="1899"/>
        </w:smartTagPr>
        <w:r w:rsidRPr="0097021E">
          <w:rPr>
            <w:rFonts w:ascii="宋体" w:cs="Arial" w:hAnsi="宋体"/>
            <w:b/>
            <w:color w:val="000000"/>
            <w:kern w:val="0"/>
            <w:sz w:val="24"/>
          </w:rPr>
          <w:t>3.2.2</w:t>
        </w:r>
        <w:r w:rsidR="001136E5" w:rsidRPr="00370BEA">
          <w:rPr>
            <w:rStyle w:val="af"/>
            <w:rFonts w:hint="eastAsia"/>
            <w:color w:val="000000"/>
            <w:sz w:val="24"/>
            <w:shd w:color="auto" w:fill="FFFFFF" w:val="clear"/>
          </w:rPr>
          <w:t>自基金合同生效以来</w:t>
        </w:r>
      </w:smartTag>
      <w:r w:rsidRPr="0097021E">
        <w:rPr>
          <w:rFonts w:ascii="宋体" w:cs="Arial" w:hAnsi="宋体" w:hint="eastAsia"/>
          <w:b/>
          <w:color w:val="000000"/>
          <w:kern w:val="0"/>
          <w:sz w:val="24"/>
        </w:rPr>
        <w:t>基金累计净值收益率变动及其与同期业绩比较基准收益率变动的比较</w:t>
      </w:r>
    </w:p>
    <w:p w:rsidP="009A755D" w:rsidR="00EA3F40" w:rsidRDefault="00EA3F40" w:rsidRPr="00613409">
      <w:pPr>
        <w:spacing w:line="360" w:lineRule="auto"/>
        <w:jc w:val="center"/>
        <w:rPr>
          <w:sz w:val="24"/>
        </w:rPr>
      </w:pPr>
      <w:r w:rsidRPr="00613409">
        <w:rPr>
          <w:sz w:val="24"/>
        </w:rPr>
        <w:t>易方达货币市场基金</w:t>
      </w:r>
    </w:p>
    <w:p w:rsidP="00CB6152" w:rsidR="00CB6152" w:rsidRDefault="00EA3F40" w:rsidRPr="00CB6152">
      <w:pPr>
        <w:pStyle w:val="a6"/>
        <w:snapToGrid w:val="0"/>
        <w:spacing w:line="360" w:lineRule="auto"/>
        <w:jc w:val="center"/>
        <w:rPr>
          <w:rFonts w:ascii="Times New Roman" w:hAnsi="Times New Roman"/>
          <w:color w:val="000000"/>
          <w:sz w:val="24"/>
          <w:szCs w:val="24"/>
        </w:rPr>
      </w:pPr>
      <w:r w:rsidRPr="00613409">
        <w:rPr>
          <w:rFonts w:ascii="Times New Roman" w:hAnsi="Times New Roman"/>
          <w:sz w:val="24"/>
          <w:szCs w:val="24"/>
        </w:rPr>
        <w:t>累计净值收益率与业绩比较基准收益率的历史走势对比图</w:t>
      </w:r>
    </w:p>
    <w:p w:rsidP="00CB6152" w:rsidR="00CB6152" w:rsidRDefault="00EA3F40" w:rsidRPr="00CB6152">
      <w:pPr>
        <w:snapToGrid w:val="0"/>
        <w:spacing w:line="360" w:lineRule="auto"/>
        <w:rPr>
          <w:rFonts w:hAnsi="宋体"/>
          <w:color w:val="000000"/>
          <w:sz w:val="24"/>
        </w:rPr>
      </w:pPr>
      <w:r w:rsidRPr="00613409">
        <w:rPr>
          <w:color w:val="000000"/>
          <w:kern w:val="0"/>
          <w:sz w:val="24"/>
        </w:rPr>
        <w:t>易方达货币A</w:t>
      </w:r>
    </w:p>
    <w:p w:rsidP="00CB6152" w:rsidR="00EA3F40" w:rsidRDefault="00CB6152" w:rsidRPr="00CB6152">
      <w:pPr>
        <w:pStyle w:val="a6"/>
        <w:snapToGrid w:val="0"/>
        <w:spacing w:line="360" w:lineRule="auto"/>
        <w:jc w:val="center"/>
        <w:rPr>
          <w:rFonts w:ascii="Times New Roman" w:hAnsi="Times New Roman"/>
          <w:sz w:val="24"/>
          <w:szCs w:val="24"/>
        </w:rPr>
      </w:pPr>
      <w:r w:rsidRPr="00CB6152">
        <w:rPr>
          <w:rFonts w:ascii="Times New Roman" w:hAnsi="Times New Roman"/>
          <w:sz w:val="24"/>
          <w:szCs w:val="24"/>
        </w:rPr>
        <w:t>（2005年2月2日至2020年6月30日）</w:t>
      </w:r>
    </w:p>
    <w:p w:rsidP="00196812" w:rsidR="00EA3F40" w:rsidRDefault="00B261EB" w:rsidRPr="007600BC">
      <w:pPr>
        <w:tabs>
          <w:tab w:pos="0" w:val="left"/>
        </w:tabs>
        <w:spacing w:line="360" w:lineRule="auto"/>
        <w:jc w:val="center"/>
        <w:rPr>
          <w:rFonts w:ascii="宋体"/>
          <w:color w:val="000000"/>
          <w:sz w:val="24"/>
        </w:rPr>
      </w:pPr>
      <w:r>
        <w:rPr>
          <w:rFonts w:ascii="宋体"/>
          <w:noProof/>
          <w:color w:val="000000"/>
          <w:sz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52.25pt;height:267pt;visibility:visible" type="#_x0000_t75">
            <v:imagedata o:title="" r:id="rId10"/>
          </v:shape>
        </w:pict>
      </w:r>
    </w:p>
    <w:p w:rsidP="00613409" w:rsidR="00EA3F40" w:rsidRDefault="00613409" w:rsidRPr="0097021E">
      <w:pPr>
        <w:tabs>
          <w:tab w:pos="825" w:val="left"/>
        </w:tabs>
        <w:adjustRightInd w:val="0"/>
        <w:snapToGrid w:val="0"/>
        <w:spacing w:line="360" w:lineRule="auto"/>
        <w:rPr>
          <w:rFonts w:ascii="宋体"/>
          <w:color w:val="000000"/>
          <w:sz w:val="24"/>
        </w:rPr>
      </w:pPr>
      <w:r>
        <w:rPr>
          <w:rFonts w:ascii="宋体"/>
          <w:color w:val="000000"/>
          <w:sz w:val="24"/>
        </w:rPr>
        <w:tab/>
      </w:r>
    </w:p>
    <w:p w:rsidP="00CB6152" w:rsidR="00CB6152" w:rsidRDefault="00EA3F40" w:rsidRPr="00CB6152">
      <w:pPr>
        <w:snapToGrid w:val="0"/>
        <w:spacing w:before="312" w:beforeLines="100" w:line="360" w:lineRule="auto"/>
        <w:rPr>
          <w:rFonts w:hAnsi="宋体"/>
          <w:color w:val="000000"/>
          <w:sz w:val="24"/>
        </w:rPr>
      </w:pPr>
      <w:r w:rsidRPr="00613409">
        <w:rPr>
          <w:color w:val="000000"/>
          <w:kern w:val="0"/>
          <w:sz w:val="24"/>
        </w:rPr>
        <w:t>易方达货币B</w:t>
      </w:r>
    </w:p>
    <w:p w:rsidP="00CB6152" w:rsidR="00EA3F40" w:rsidRDefault="00CB6152" w:rsidRPr="00CB6152">
      <w:pPr>
        <w:pStyle w:val="a6"/>
        <w:snapToGrid w:val="0"/>
        <w:spacing w:line="360" w:lineRule="auto"/>
        <w:jc w:val="center"/>
        <w:rPr>
          <w:rFonts w:ascii="Times New Roman" w:hAnsi="Times New Roman"/>
          <w:sz w:val="24"/>
          <w:szCs w:val="24"/>
        </w:rPr>
      </w:pPr>
      <w:r w:rsidRPr="00CB6152">
        <w:rPr>
          <w:rFonts w:ascii="Times New Roman" w:hAnsi="Times New Roman"/>
          <w:sz w:val="24"/>
          <w:szCs w:val="24"/>
        </w:rPr>
        <w:t>（2006年7月19日至2020年6月30日）</w:t>
      </w:r>
    </w:p>
    <w:p w:rsidP="00196812" w:rsidR="00EA3F40" w:rsidRDefault="00B261EB" w:rsidRPr="0097021E">
      <w:pPr>
        <w:snapToGrid w:val="0"/>
        <w:spacing w:line="360" w:lineRule="auto"/>
        <w:jc w:val="center"/>
        <w:rPr>
          <w:rFonts w:ascii="宋体"/>
          <w:color w:val="000000"/>
          <w:sz w:val="24"/>
        </w:rPr>
      </w:pPr>
      <w:r>
        <w:rPr>
          <w:rFonts w:ascii="宋体"/>
          <w:noProof/>
          <w:color w:val="000000"/>
          <w:sz w:val="24"/>
        </w:rPr>
        <w:lastRenderedPageBreak/>
        <w:pict>
          <v:shape id="图片 2" o:spid="_x0000_i1026" style="width:452.25pt;height:267pt;visibility:visible" type="#_x0000_t75">
            <v:imagedata o:title="" r:id="rId11"/>
          </v:shape>
        </w:pict>
      </w:r>
    </w:p>
    <w:p w:rsidP="00CB6152" w:rsidR="00CB6152" w:rsidRDefault="00EA3F40" w:rsidRPr="00CB6152">
      <w:pPr>
        <w:snapToGrid w:val="0"/>
        <w:spacing w:before="312" w:beforeLines="100" w:line="360" w:lineRule="auto"/>
        <w:rPr>
          <w:rFonts w:hAnsi="宋体"/>
          <w:color w:val="000000"/>
          <w:sz w:val="24"/>
        </w:rPr>
      </w:pPr>
      <w:r w:rsidRPr="00613409">
        <w:rPr>
          <w:color w:val="000000"/>
          <w:kern w:val="0"/>
          <w:sz w:val="24"/>
        </w:rPr>
        <w:t>易方达货币E</w:t>
      </w:r>
    </w:p>
    <w:p w:rsidP="00CB6152" w:rsidR="00EA3F40" w:rsidRDefault="00CB6152" w:rsidRPr="00CB6152">
      <w:pPr>
        <w:pStyle w:val="a6"/>
        <w:snapToGrid w:val="0"/>
        <w:spacing w:line="360" w:lineRule="auto"/>
        <w:jc w:val="center"/>
        <w:rPr>
          <w:rFonts w:ascii="Times New Roman" w:hAnsi="Times New Roman"/>
          <w:sz w:val="24"/>
          <w:szCs w:val="24"/>
        </w:rPr>
      </w:pPr>
      <w:r w:rsidRPr="00CB6152">
        <w:rPr>
          <w:rFonts w:ascii="Times New Roman" w:hAnsi="Times New Roman"/>
          <w:sz w:val="24"/>
          <w:szCs w:val="24"/>
        </w:rPr>
        <w:t>（2014年11月27日至2020年6月30日）</w:t>
      </w:r>
    </w:p>
    <w:p w:rsidP="00220437" w:rsidR="00EA3F40" w:rsidRDefault="00B261EB" w:rsidRPr="000A39AB">
      <w:pPr>
        <w:autoSpaceDE w:val="0"/>
        <w:autoSpaceDN w:val="0"/>
        <w:adjustRightInd w:val="0"/>
        <w:spacing w:line="360" w:lineRule="auto"/>
        <w:jc w:val="center"/>
        <w:rPr>
          <w:rFonts w:ascii="宋体"/>
          <w:color w:val="000000"/>
          <w:sz w:val="24"/>
        </w:rPr>
      </w:pPr>
      <w:r>
        <w:rPr>
          <w:rFonts w:ascii="宋体"/>
          <w:noProof/>
          <w:color w:val="000000"/>
          <w:sz w:val="24"/>
        </w:rPr>
        <w:pict>
          <v:shape id="图片 6" o:spid="_x0000_i1027" style="width:452.25pt;height:267pt;visibility:visible" type="#_x0000_t75">
            <v:imagedata o:title="" r:id="rId12"/>
          </v:shape>
        </w:pict>
      </w:r>
    </w:p>
    <w:p>
      <w:pPr>
        <w:adjustRightInd w:val="0"/>
        <w:spacing w:line="360" w:lineRule="auto"/>
        <w:ind w:firstLine="480" w:firstLineChars="200"/>
        <w:rPr>
          <w:color w:val="000000"/>
          <w:sz w:val="24"/>
        </w:rPr>
      </w:pPr>
      <w:r>
        <w:rPr>
          <w:color w:val="000000"/>
          <w:sz w:val="24"/>
        </w:rPr>
        <w:t>注：1.根据2008年12月25日《易方达基金管理有限公司关于变更易方达货币市场基金业绩比较基准的公告》，自2009年1月1日起，本基金原约定的业绩比较基准“一年期银行定期储蓄存款的税后利率：（1－利息税率）×一年期银行定期储蓄存款利率”,变更为：“税后活期存款利率(即活期存款利率×(1－利息税率))”。</w:t>
      </w:r>
    </w:p>
    <w:p>
      <w:pPr>
        <w:adjustRightInd w:val="0"/>
        <w:spacing w:line="360" w:lineRule="auto"/>
        <w:ind w:firstLine="480" w:firstLineChars="200"/>
        <w:rPr>
          <w:color w:val="000000"/>
          <w:sz w:val="24"/>
        </w:rPr>
      </w:pPr>
      <w:r>
        <w:rPr>
          <w:color w:val="000000"/>
          <w:sz w:val="24"/>
        </w:rPr>
        <w:t>2.根据《关于易方达货币市场基金实施基金份额分级的公告》，本基金于2006年7月18日实施分级，分级后本基金设两级基金份额：A级基金份额和B级基金份额，升级后的B级基金份额从2006年7月19日起享受B级基金收益。</w:t>
      </w:r>
    </w:p>
    <w:p>
      <w:pPr>
        <w:adjustRightInd w:val="0"/>
        <w:spacing w:line="360" w:lineRule="auto"/>
        <w:ind w:firstLine="480" w:firstLineChars="200"/>
        <w:rPr>
          <w:color w:val="000000"/>
          <w:sz w:val="24"/>
        </w:rPr>
      </w:pPr>
      <w:r>
        <w:rPr>
          <w:color w:val="000000"/>
          <w:sz w:val="24"/>
        </w:rPr>
        <w:t>3.自2014年11月21日起，本基金增设E类份额类别，份额申购首次确认日为2014年11月27日，增设当期的相关数据和指标按实际存续期计算。</w:t>
      </w:r>
    </w:p>
    <w:p w:rsidP="001752C7" w:rsidR="00EA3F40" w:rsidRDefault="00EA3F40" w:rsidRPr="001752C7">
      <w:pPr>
        <w:adjustRightInd w:val="0"/>
        <w:spacing w:line="360" w:lineRule="auto"/>
        <w:ind w:firstLine="480" w:firstLineChars="200"/>
        <w:rPr>
          <w:color w:val="000000"/>
          <w:sz w:val="24"/>
        </w:rPr>
      </w:pPr>
      <w:r w:rsidRPr="001752C7">
        <w:rPr>
          <w:color w:val="000000"/>
          <w:sz w:val="24"/>
        </w:rPr>
        <w:t>4.自基金合同生效至报告期末，A类基金份额净值收益率为57.8224%，同期业绩比较基准收益率为14.5765%。B类基金份额净值收益率为58.2167%，同期业绩比较基准收益率为11.9009%。E类基金份额净值收益率为16.6665%，同期业绩比较基准收益率为1.9769%。</w:t>
      </w:r>
    </w:p>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4  </w:t>
      </w:r>
      <w:r w:rsidRPr="0097021E">
        <w:rPr>
          <w:rFonts w:ascii="宋体" w:cs="Arial" w:hAnsi="宋体" w:hint="eastAsia"/>
          <w:color w:val="000000"/>
          <w:kern w:val="0"/>
          <w:sz w:val="24"/>
          <w:szCs w:val="24"/>
        </w:rPr>
        <w:t>管理人报告</w:t>
      </w:r>
    </w:p>
    <w:p w:rsidP="00E23C1B" w:rsidR="00E23C1B" w:rsidRDefault="00EA3F40" w:rsidRPr="0078105B">
      <w:pPr>
        <w:autoSpaceDE w:val="0"/>
        <w:autoSpaceDN w:val="0"/>
        <w:adjustRightInd w:val="0"/>
        <w:spacing w:line="360" w:lineRule="auto"/>
        <w:jc w:val="left"/>
        <w:rPr>
          <w:rFonts w:ascii="宋体" w:cs="Arial"/>
          <w:b/>
          <w:color w:val="000000"/>
          <w:kern w:val="0"/>
          <w:sz w:val="24"/>
        </w:rPr>
      </w:pPr>
      <w:r w:rsidRPr="0097021E">
        <w:rPr>
          <w:rFonts w:ascii="宋体" w:cs="Arial" w:hAnsi="宋体"/>
          <w:b/>
          <w:color w:val="000000"/>
          <w:kern w:val="0"/>
          <w:sz w:val="24"/>
        </w:rPr>
        <w:t xml:space="preserve">4.1 </w:t>
      </w:r>
      <w:r w:rsidRPr="0097021E">
        <w:rPr>
          <w:rFonts w:ascii="宋体" w:cs="Arial" w:hAnsi="宋体" w:hint="eastAsia"/>
          <w:b/>
          <w:color w:val="000000"/>
          <w:kern w:val="0"/>
          <w:sz w:val="24"/>
        </w:rPr>
        <w:t>基金经理</w:t>
      </w:r>
      <w:r w:rsidR="007C3671">
        <w:rPr>
          <w:rFonts w:ascii="宋体" w:cs="Arial" w:hAnsi="宋体" w:hint="eastAsia"/>
          <w:b/>
          <w:color w:val="000000"/>
          <w:kern w:val="0"/>
          <w:sz w:val="24"/>
        </w:rPr>
        <w:t>（</w:t>
      </w:r>
      <w:r w:rsidR="007C3671" w:rsidRPr="0097021E">
        <w:rPr>
          <w:rFonts w:ascii="宋体" w:cs="Arial" w:hAnsi="宋体" w:hint="eastAsia"/>
          <w:b/>
          <w:color w:val="000000"/>
          <w:kern w:val="0"/>
          <w:sz w:val="24"/>
        </w:rPr>
        <w:t>或基金经理小组</w:t>
      </w:r>
      <w:r w:rsidR="007C3671">
        <w:rPr>
          <w:rFonts w:ascii="宋体" w:cs="Arial" w:hAnsi="宋体" w:hint="eastAsia"/>
          <w:b/>
          <w:color w:val="000000"/>
          <w:kern w:val="0"/>
          <w:sz w:val="24"/>
        </w:rPr>
        <w:t>）</w:t>
      </w:r>
      <w:r w:rsidRPr="0097021E">
        <w:rPr>
          <w:rFonts w:ascii="宋体" w:cs="Arial" w:hAnsi="宋体" w:hint="eastAsia"/>
          <w:b/>
          <w:color w:val="000000"/>
          <w:kern w:val="0"/>
          <w:sz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E23C1B" w:rsidRPr="0078105B" w:rsidTr="002E41BD">
        <w:trPr>
          <w:cantSplit/>
        </w:trPr>
        <w:tc>
          <w:tcPr>
            <w:tcW w:type="dxa" w:w="567"/>
            <w:vMerge w:val="restart"/>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E23C1B" w:rsidRPr="0078105B" w:rsidTr="002E41BD">
        <w:trPr>
          <w:cantSplit/>
        </w:trPr>
        <w:tc>
          <w:tcPr>
            <w:tcW w:type="dxa" w:w="567"/>
            <w:vMerge/>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p>
        </w:tc>
        <w:tc>
          <w:tcPr>
            <w:tcW w:type="dxa" w:w="2835"/>
            <w:vMerge/>
          </w:tcPr>
          <w:p w:rsidP="002E41BD" w:rsidR="00E23C1B" w:rsidRDefault="00E23C1B"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石大怿</w:t>
            </w:r>
          </w:p>
        </w:tc>
        <w:tc>
          <w:tcPr>
            <w:vAlign w:val="center"/>
          </w:tcPr>
          <w:p>
            <w:pPr>
              <w:jc w:val="left"/>
            </w:pPr>
            <w:r>
              <w:rPr>
                <w:color w:val="000000"/>
                <w:sz w:val="24"/>
              </w:rPr>
              <w:t>本基金的基金经理、易方达月月利理财债券型证券投资基金的基金经理、易方达天天理财货币市场基金的基金经理、易方达保证金收益货币市场基金的基金经理、易方达易理财货币市场基金的基金经理、易方达财富快线货币市场基金的基金经理、易方达天天增利货币市场基金的基金经理、易方达龙宝货币市场基金的基金经理、易方达现金增利货币市场基金的基金经理、易方达天天发货币市场基金的基金经理、易方达掌柜季季盈理财债券型证券投资基金的基金经理、易方达安瑞短债债券型证券投资基金的基金经理、易方达恒安定期开放债券型发起式证券投资基金的基金经理助理</w:t>
            </w:r>
          </w:p>
        </w:tc>
        <w:tc>
          <w:tcPr>
            <w:vAlign w:val="center"/>
          </w:tcPr>
          <w:p>
            <w:pPr>
              <w:jc w:val="center"/>
            </w:pPr>
            <w:r>
              <w:rPr>
                <w:color w:val="000000"/>
                <w:sz w:val="24"/>
              </w:rPr>
              <w:t>2013-04-22</w:t>
            </w:r>
          </w:p>
        </w:tc>
        <w:tc>
          <w:tcPr>
            <w:vAlign w:val="center"/>
          </w:tcPr>
          <w:p>
            <w:pPr>
              <w:jc w:val="center"/>
            </w:pPr>
            <w:r>
              <w:rPr>
                <w:color w:val="000000"/>
                <w:sz w:val="24"/>
              </w:rPr>
              <w:t>-</w:t>
            </w:r>
          </w:p>
        </w:tc>
        <w:tc>
          <w:tcPr>
            <w:vAlign w:val="center"/>
          </w:tcPr>
          <w:p>
            <w:pPr>
              <w:jc w:val="center"/>
            </w:pPr>
            <w:r>
              <w:rPr>
                <w:color w:val="000000"/>
                <w:sz w:val="24"/>
              </w:rPr>
              <w:t>11年</w:t>
            </w:r>
          </w:p>
        </w:tc>
        <w:tc>
          <w:tcPr>
            <w:vAlign w:val="center"/>
          </w:tcPr>
          <w:p>
            <w:pPr>
              <w:jc w:val="both"/>
            </w:pPr>
            <w:r>
              <w:rPr>
                <w:color w:val="000000"/>
                <w:sz w:val="24"/>
              </w:rPr>
              <w:t>硕士研究生，具有基金从业资格。曾任南方基金管理有限公司交易管理部交易员，易方达基金管理有限公司集中交易室债券交易员、固定收益部基金经理助理、易方达双月利理财债券型证券投资基金基金经理、易方达新鑫灵活配置混合型证券投资基金基金经理助理。</w:t>
            </w:r>
          </w:p>
        </w:tc>
      </w:tr>
    </w:tbl>
    <w:p>
      <w:pPr>
        <w:autoSpaceDE w:val="0"/>
        <w:autoSpaceDN w:val="0"/>
        <w:adjustRightInd w:val="0"/>
        <w:spacing w:line="360" w:lineRule="auto"/>
        <w:ind w:firstLine="480" w:firstLineChars="200"/>
        <w:jc w:val="left"/>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E23C1B" w:rsidR="00EA3F40" w:rsidRDefault="00E23C1B" w:rsidRPr="00613409">
      <w:pPr>
        <w:autoSpaceDE w:val="0"/>
        <w:autoSpaceDN w:val="0"/>
        <w:adjustRightInd w:val="0"/>
        <w:spacing w:line="360" w:lineRule="auto"/>
        <w:ind w:firstLine="480" w:firstLineChars="200"/>
        <w:jc w:val="left"/>
        <w:rPr>
          <w:color w:val="000000"/>
          <w:sz w:val="24"/>
        </w:rPr>
      </w:pPr>
      <w:r w:rsidRPr="00DF18FE">
        <w:rPr>
          <w:color w:val="000000"/>
          <w:sz w:val="24"/>
        </w:rPr>
        <w:t>2.证券从业的含义遵从《证券业从业人员资格管理办法》的相关规定。</w:t>
      </w:r>
    </w:p>
    <w:p w:rsidP="009A755D"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4.2 </w:t>
      </w:r>
      <w:r w:rsidRPr="0044342F">
        <w:rPr>
          <w:rFonts w:ascii="宋体" w:cs="Arial" w:hAnsi="宋体" w:hint="eastAsia"/>
          <w:b/>
          <w:color w:val="000000"/>
          <w:kern w:val="0"/>
          <w:sz w:val="24"/>
        </w:rPr>
        <w:t>管理人对报告期内本基金运作遵规守信情况的说明</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A755D" w:rsidR="00EA3F40" w:rsidRDefault="00EA3F40" w:rsidRPr="0097021E">
      <w:pPr>
        <w:autoSpaceDE w:val="0"/>
        <w:autoSpaceDN w:val="0"/>
        <w:adjustRightInd w:val="0"/>
        <w:spacing w:line="360" w:lineRule="auto"/>
        <w:jc w:val="left"/>
        <w:rPr>
          <w:rFonts w:ascii="宋体" w:cs="Arial"/>
          <w:b/>
          <w:color w:val="000000"/>
          <w:kern w:val="0"/>
          <w:sz w:val="24"/>
        </w:rPr>
      </w:pPr>
      <w:r w:rsidRPr="0097021E">
        <w:rPr>
          <w:rFonts w:ascii="宋体" w:cs="Arial" w:hAnsi="宋体"/>
          <w:b/>
          <w:color w:val="000000"/>
          <w:kern w:val="0"/>
          <w:sz w:val="24"/>
        </w:rPr>
        <w:t xml:space="preserve">4.3 </w:t>
      </w:r>
      <w:r w:rsidRPr="0097021E">
        <w:rPr>
          <w:rFonts w:ascii="宋体" w:cs="Arial" w:hAnsi="宋体" w:hint="eastAsia"/>
          <w:b/>
          <w:color w:val="000000"/>
          <w:kern w:val="0"/>
          <w:sz w:val="24"/>
        </w:rPr>
        <w:t>公平交易专项说明</w:t>
      </w:r>
    </w:p>
    <w:p w:rsidP="009A755D" w:rsidR="00EA3F40" w:rsidRDefault="00EA3F40" w:rsidRPr="0097021E">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97021E">
          <w:rPr>
            <w:rFonts w:ascii="宋体" w:hAnsi="宋体"/>
            <w:sz w:val="24"/>
          </w:rPr>
          <w:t>4.3.1</w:t>
        </w:r>
      </w:smartTag>
      <w:r w:rsidRPr="0097021E">
        <w:rPr>
          <w:rFonts w:ascii="宋体" w:hAnsi="宋体"/>
          <w:sz w:val="24"/>
        </w:rPr>
        <w:t xml:space="preserve"> </w:t>
      </w:r>
      <w:r w:rsidRPr="0097021E">
        <w:rPr>
          <w:rFonts w:ascii="宋体" w:hAnsi="宋体" w:hint="eastAsia"/>
          <w:sz w:val="24"/>
        </w:rPr>
        <w:t>公平交易制度的执行情况</w:t>
      </w:r>
    </w:p>
    <w:p w:rsidP="001752C7" w:rsidR="00EA3F40" w:rsidRDefault="00EA3F40" w:rsidRPr="001752C7">
      <w:pPr>
        <w:adjustRightInd w:val="0"/>
        <w:spacing w:line="360" w:lineRule="auto"/>
        <w:ind w:firstLine="480" w:firstLineChars="200"/>
        <w:rPr>
          <w:color w:val="000000"/>
          <w:sz w:val="24"/>
        </w:rPr>
      </w:pPr>
      <w:r w:rsidRPr="001752C7">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A755D" w:rsidR="00EA3F40" w:rsidRDefault="00EA3F40" w:rsidRPr="0097021E">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97021E">
          <w:rPr>
            <w:rFonts w:ascii="宋体" w:hAnsi="宋体"/>
            <w:sz w:val="24"/>
          </w:rPr>
          <w:t>4.3.2</w:t>
        </w:r>
      </w:smartTag>
      <w:r w:rsidRPr="0097021E">
        <w:rPr>
          <w:rFonts w:ascii="宋体" w:hAnsi="宋体"/>
          <w:sz w:val="24"/>
        </w:rPr>
        <w:t xml:space="preserve"> </w:t>
      </w:r>
      <w:r w:rsidRPr="0097021E">
        <w:rPr>
          <w:rFonts w:ascii="宋体" w:hAnsi="宋体" w:hint="eastAsia"/>
          <w:sz w:val="24"/>
        </w:rPr>
        <w:t>异常交易行为的专项说明</w:t>
      </w:r>
    </w:p>
    <w:p>
      <w:pPr>
        <w:adjustRightInd w:val="0"/>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本报告期内，未发现本基金有可能导致不公平交易和利益输送的异常交易。</w:t>
      </w:r>
    </w:p>
    <w:p w:rsidP="009A755D"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4.4 </w:t>
      </w:r>
      <w:r w:rsidRPr="0097021E">
        <w:rPr>
          <w:rFonts w:ascii="宋体" w:cs="Arial" w:hAnsi="宋体" w:hint="eastAsia"/>
          <w:b/>
          <w:color w:val="000000"/>
          <w:kern w:val="0"/>
          <w:sz w:val="24"/>
        </w:rPr>
        <w:t>报告期内基金的投资策略和业绩表现说明</w:t>
      </w:r>
    </w:p>
    <w:p w:rsidP="009A755D" w:rsidR="00EA3F40" w:rsidRDefault="00EA3F40" w:rsidRPr="0097021E">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97021E">
          <w:rPr>
            <w:rFonts w:ascii="宋体" w:hAnsi="宋体"/>
            <w:sz w:val="24"/>
          </w:rPr>
          <w:t>4.4.1</w:t>
        </w:r>
      </w:smartTag>
      <w:r w:rsidRPr="0097021E">
        <w:rPr>
          <w:rFonts w:ascii="宋体" w:hAnsi="宋体" w:hint="eastAsia"/>
          <w:sz w:val="24"/>
        </w:rPr>
        <w:t>报告期内基金投资策略和运作分析</w:t>
      </w:r>
    </w:p>
    <w:p>
      <w:pPr>
        <w:adjustRightInd w:val="0"/>
        <w:spacing w:line="360" w:lineRule="auto"/>
        <w:ind w:firstLine="480" w:firstLineChars="200"/>
        <w:rPr>
          <w:color w:val="000000"/>
          <w:sz w:val="24"/>
        </w:rPr>
      </w:pPr>
      <w:r>
        <w:rPr>
          <w:color w:val="000000"/>
          <w:sz w:val="24"/>
        </w:rPr>
        <w:t>国内宏观经济在一季度经历了疫情的冲击后，二季度出现了企稳复苏的迹象，4月工业增加值同比增长3.9%，5月工业增加值同比增长4.4%，显示经济回升的速度虽然在放缓，但是仍然处于持续回升的过程中。投资的数据也在恢复，2020年1-5月份全国固定资产投资同比下降6.3%，降幅比1-3月份收窄9.8个百分点，从结构上看基建和制造业投资连续两个月回升，房地产投资在5月出现小幅回落。消费数据方面，4月和5月社会消费品零售总额同比下降分别为7.5%和2.8%，也呈现持续恢复的态势，其中服装、日用品等商品消费的恢复较快，餐饮消费拖累较多。通胀方面，4月和5月CPI同比分别上涨3.3%和2.4%，结构上，主要是食品价格明显低于预期，非食品价格总体来看基本符合预期，但从高频数据来看环比已经开始上涨，反映供需平衡的状况在持续改善。4月新增社会融资数据较好，5月社融数据符合市场预期，总体融资环境持续有所改善。</w:t>
      </w:r>
    </w:p>
    <w:p>
      <w:pPr>
        <w:adjustRightInd w:val="0"/>
        <w:spacing w:line="360" w:lineRule="auto"/>
        <w:ind w:firstLine="480" w:firstLineChars="200"/>
        <w:rPr>
          <w:color w:val="000000"/>
          <w:sz w:val="24"/>
        </w:rPr>
      </w:pPr>
      <w:r>
        <w:rPr>
          <w:color w:val="000000"/>
          <w:sz w:val="24"/>
        </w:rPr>
        <w:t>债券市场收益率在二季度先下后上，整体波动较大。季度初，海内外疫情的影响仍在持续，市场风险偏好仍处于低位。清明节期间央行实行了定向降准、下调超额准备金利率等操作，资金面整体非常宽松，长端收益率震荡下行。但到了5月上旬，货币政策进一步宽松不及预期叠加经济修复延续，长端收益率开始上行。随后，社融数据走高强化了经济修复的预期，收益率进一步大幅上行。其中短端上行幅度更大，收益率曲线呈现熊平走势。进入6月，资金面仍未好转，叠加首批1000亿元特别国债发行但央行无配套动作，市场情绪进一步悲观，资金利率上行推动长端收益率上行。直到半年末，央行适时开启逆回购呵护半年末流动性，市场情绪有所恢复，长端收益率趋于稳定。货币市场金的收益在二季度探底回升。</w:t>
      </w:r>
    </w:p>
    <w:p w:rsidP="001752C7" w:rsidR="00EA3F40" w:rsidRDefault="00EA3F40" w:rsidRPr="001752C7">
      <w:pPr>
        <w:adjustRightInd w:val="0"/>
        <w:spacing w:line="360" w:lineRule="auto"/>
        <w:ind w:firstLine="480" w:firstLineChars="200"/>
        <w:rPr>
          <w:color w:val="000000"/>
          <w:sz w:val="24"/>
        </w:rPr>
      </w:pPr>
      <w:r w:rsidRPr="001752C7">
        <w:rPr>
          <w:color w:val="000000"/>
          <w:sz w:val="24"/>
        </w:rPr>
        <w:t>操作方面，报告期内基金以同业存单、短期逆回购为主要配置资产。在二季度组合保持了较低的剩余期限和杠杆率。总体来看，组合在二季度保持了较好的流动性和较稳定的收益率。</w:t>
      </w:r>
    </w:p>
    <w:p w:rsidP="009A755D" w:rsidR="00EA3F40" w:rsidRDefault="00EA3F40" w:rsidRPr="0097021E">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97021E">
          <w:rPr>
            <w:rFonts w:ascii="宋体" w:hAnsi="宋体"/>
            <w:sz w:val="24"/>
          </w:rPr>
          <w:t>4.4.2</w:t>
        </w:r>
      </w:smartTag>
      <w:r w:rsidRPr="0097021E">
        <w:rPr>
          <w:rFonts w:ascii="宋体" w:hAnsi="宋体" w:hint="eastAsia"/>
          <w:sz w:val="24"/>
        </w:rPr>
        <w:t>报告期内基金的业绩表现</w:t>
      </w:r>
    </w:p>
    <w:p w:rsidP="00613409" w:rsidR="00EA3F40" w:rsidRDefault="00EA3F40" w:rsidRPr="00613409">
      <w:pPr>
        <w:adjustRightInd w:val="0"/>
        <w:spacing w:line="360" w:lineRule="auto"/>
        <w:ind w:firstLine="480" w:firstLineChars="200"/>
        <w:rPr>
          <w:color w:val="000000"/>
          <w:sz w:val="24"/>
        </w:rPr>
      </w:pPr>
      <w:bookmarkStart w:id="0" w:name="_Toc255486598"/>
      <w:bookmarkStart w:id="1" w:name="_Toc245193825"/>
      <w:r w:rsidRPr="001752C7">
        <w:rPr>
          <w:color w:val="000000"/>
          <w:sz w:val="24"/>
        </w:rPr>
        <w:t>本基金本报告期内A类基金份额净值收益率为0.3545%，同期业绩比较基准收益率为0.0871%；B类基金份额净值收益率为0.4143%，同期业绩比较基准收益率为0.0871%；E类基金份额净值收益率为0.3540%，同期业绩比较基准收益率为0.0871%。</w:t>
      </w:r>
    </w:p>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5  </w:t>
      </w:r>
      <w:r w:rsidRPr="0097021E">
        <w:rPr>
          <w:rFonts w:ascii="宋体" w:cs="Arial" w:hAnsi="宋体" w:hint="eastAsia"/>
          <w:color w:val="000000"/>
          <w:kern w:val="0"/>
          <w:sz w:val="24"/>
          <w:szCs w:val="24"/>
        </w:rPr>
        <w:t>投资组合报告</w:t>
      </w:r>
    </w:p>
    <w:p w:rsidP="003A0EC1"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5.1 </w:t>
      </w:r>
      <w:r w:rsidRPr="0097021E">
        <w:rPr>
          <w:rFonts w:ascii="宋体" w:cs="Arial" w:hAnsi="宋体" w:hint="eastAsia"/>
          <w:b/>
          <w:color w:val="000000"/>
          <w:kern w:val="0"/>
          <w:sz w:val="24"/>
        </w:rPr>
        <w:t>报告期末基金资产组合情况</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3119"/>
        <w:gridCol w:w="1843"/>
      </w:tblGrid>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r w:rsidRPr="00613409">
              <w:rPr>
                <w:color w:val="000000"/>
                <w:sz w:val="24"/>
              </w:rPr>
              <w:t>序号</w:t>
            </w:r>
          </w:p>
        </w:tc>
        <w:tc>
          <w:tcPr>
            <w:tcW w:type="dxa" w:w="3357"/>
            <w:vAlign w:val="center"/>
          </w:tcPr>
          <w:p w:rsidP="00196812" w:rsidR="00EA3F40" w:rsidRDefault="00EA3F40" w:rsidRPr="00613409">
            <w:pPr>
              <w:spacing w:before="29" w:line="360" w:lineRule="auto"/>
              <w:ind w:left="17"/>
              <w:jc w:val="center"/>
              <w:rPr>
                <w:color w:val="000000"/>
                <w:sz w:val="24"/>
              </w:rPr>
            </w:pPr>
            <w:r w:rsidRPr="00613409">
              <w:rPr>
                <w:color w:val="000000"/>
                <w:sz w:val="24"/>
              </w:rPr>
              <w:t>项目</w:t>
            </w:r>
          </w:p>
        </w:tc>
        <w:tc>
          <w:tcPr>
            <w:tcW w:type="dxa" w:w="3119"/>
            <w:vAlign w:val="center"/>
          </w:tcPr>
          <w:p w:rsidP="007C3671" w:rsidR="00EA3F40" w:rsidRDefault="00EA3F40" w:rsidRPr="00613409">
            <w:pPr>
              <w:spacing w:before="29" w:line="360" w:lineRule="auto"/>
              <w:ind w:left="17"/>
              <w:jc w:val="center"/>
              <w:rPr>
                <w:color w:val="000000"/>
                <w:sz w:val="24"/>
              </w:rPr>
            </w:pPr>
            <w:r w:rsidRPr="00613409">
              <w:rPr>
                <w:color w:val="000000"/>
                <w:sz w:val="24"/>
              </w:rPr>
              <w:t>金额</w:t>
            </w:r>
            <w:r w:rsidR="007C3671" w:rsidRPr="00613409">
              <w:rPr>
                <w:color w:val="000000"/>
                <w:sz w:val="24"/>
              </w:rPr>
              <w:t>（元）</w:t>
            </w:r>
          </w:p>
        </w:tc>
        <w:tc>
          <w:tcPr>
            <w:tcW w:type="dxa" w:w="1843"/>
            <w:vAlign w:val="center"/>
          </w:tcPr>
          <w:p w:rsidP="007C3671" w:rsidR="00EA3F40" w:rsidRDefault="00EA3F40" w:rsidRPr="00613409">
            <w:pPr>
              <w:spacing w:before="29" w:line="360" w:lineRule="auto"/>
              <w:ind w:left="17"/>
              <w:jc w:val="center"/>
              <w:rPr>
                <w:color w:val="000000"/>
                <w:sz w:val="24"/>
              </w:rPr>
            </w:pPr>
            <w:r w:rsidRPr="00613409">
              <w:rPr>
                <w:color w:val="000000"/>
                <w:sz w:val="24"/>
              </w:rPr>
              <w:t>占基金总资产的比例</w:t>
            </w:r>
            <w:r w:rsidR="007C3671" w:rsidRPr="00613409">
              <w:rPr>
                <w:color w:val="000000"/>
                <w:sz w:val="24"/>
              </w:rPr>
              <w:t>（</w:t>
            </w:r>
            <w:r w:rsidR="007C3671" w:rsidRPr="00613409">
              <w:rPr>
                <w:color w:val="000000"/>
                <w:sz w:val="24"/>
              </w:rPr>
              <w:t>%</w:t>
            </w:r>
            <w:r w:rsidR="007C3671" w:rsidRPr="00613409">
              <w:rPr>
                <w:color w:val="000000"/>
                <w:sz w:val="24"/>
              </w:rPr>
              <w:t>）</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r w:rsidRPr="00613409">
              <w:rPr>
                <w:color w:val="000000"/>
                <w:sz w:val="24"/>
              </w:rPr>
              <w:t>1</w:t>
            </w:r>
          </w:p>
        </w:tc>
        <w:tc>
          <w:tcPr>
            <w:tcW w:type="dxa" w:w="3357"/>
            <w:vAlign w:val="center"/>
          </w:tcPr>
          <w:p w:rsidP="00196812" w:rsidR="00EA3F40" w:rsidRDefault="00EA3F40" w:rsidRPr="00613409">
            <w:pPr>
              <w:spacing w:before="29" w:line="360" w:lineRule="auto"/>
              <w:ind w:left="17"/>
              <w:jc w:val="left"/>
              <w:rPr>
                <w:sz w:val="24"/>
              </w:rPr>
            </w:pPr>
            <w:r w:rsidRPr="00613409">
              <w:rPr>
                <w:color w:val="000000"/>
                <w:sz w:val="24"/>
              </w:rPr>
              <w:t>固定收益投资</w:t>
            </w:r>
          </w:p>
        </w:tc>
        <w:tc>
          <w:tcPr>
            <w:tcW w:type="dxa" w:w="3119"/>
            <w:vAlign w:val="center"/>
          </w:tcPr>
          <w:p w:rsidP="00196812" w:rsidR="00EA3F40" w:rsidRDefault="00EA3F40" w:rsidRPr="00613409">
            <w:pPr>
              <w:spacing w:before="29" w:line="360" w:lineRule="auto"/>
              <w:ind w:left="17"/>
              <w:jc w:val="right"/>
              <w:rPr>
                <w:color w:val="000000"/>
                <w:sz w:val="24"/>
              </w:rPr>
            </w:pPr>
            <w:r w:rsidRPr="00613409">
              <w:rPr>
                <w:color w:val="000000"/>
                <w:sz w:val="24"/>
              </w:rPr>
              <w:t>11,216,448,986.89</w:t>
            </w:r>
          </w:p>
        </w:tc>
        <w:tc>
          <w:tcPr>
            <w:tcW w:type="dxa" w:w="1843"/>
            <w:vAlign w:val="center"/>
          </w:tcPr>
          <w:p w:rsidP="00196812" w:rsidR="00EA3F40" w:rsidRDefault="00EA3F40" w:rsidRPr="00613409">
            <w:pPr>
              <w:spacing w:before="29" w:line="360" w:lineRule="auto"/>
              <w:ind w:left="17"/>
              <w:jc w:val="right"/>
              <w:rPr>
                <w:color w:val="000000"/>
                <w:sz w:val="24"/>
              </w:rPr>
            </w:pPr>
            <w:r w:rsidRPr="00613409">
              <w:rPr>
                <w:color w:val="000000"/>
                <w:sz w:val="24"/>
              </w:rPr>
              <w:t>42.04</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p>
        </w:tc>
        <w:tc>
          <w:tcPr>
            <w:tcW w:type="dxa" w:w="3357"/>
            <w:vAlign w:val="center"/>
          </w:tcPr>
          <w:p w:rsidP="00196812" w:rsidR="00EA3F40" w:rsidRDefault="00EA3F40" w:rsidRPr="00613409">
            <w:pPr>
              <w:spacing w:before="29" w:line="360" w:lineRule="auto"/>
              <w:ind w:left="17"/>
              <w:jc w:val="left"/>
              <w:rPr>
                <w:sz w:val="24"/>
              </w:rPr>
            </w:pPr>
            <w:r w:rsidRPr="00613409">
              <w:rPr>
                <w:color w:val="000000"/>
                <w:sz w:val="24"/>
              </w:rPr>
              <w:t>其中：债券</w:t>
            </w:r>
          </w:p>
        </w:tc>
        <w:tc>
          <w:tcPr>
            <w:tcW w:type="dxa" w:w="3119"/>
            <w:vAlign w:val="center"/>
          </w:tcPr>
          <w:p w:rsidP="00196812" w:rsidR="00EA3F40" w:rsidRDefault="00EA3F40" w:rsidRPr="00613409">
            <w:pPr>
              <w:spacing w:before="29" w:line="360" w:lineRule="auto"/>
              <w:ind w:left="17"/>
              <w:jc w:val="right"/>
              <w:rPr>
                <w:color w:val="000000"/>
                <w:sz w:val="24"/>
              </w:rPr>
            </w:pPr>
            <w:r w:rsidRPr="00613409">
              <w:rPr>
                <w:color w:val="000000"/>
                <w:sz w:val="24"/>
              </w:rPr>
              <w:t>11,216,448,986.89</w:t>
            </w:r>
          </w:p>
        </w:tc>
        <w:tc>
          <w:tcPr>
            <w:tcW w:type="dxa" w:w="1843"/>
            <w:vAlign w:val="center"/>
          </w:tcPr>
          <w:p w:rsidP="00196812" w:rsidR="00EA3F40" w:rsidRDefault="00EA3F40" w:rsidRPr="00613409">
            <w:pPr>
              <w:spacing w:before="29" w:line="360" w:lineRule="auto"/>
              <w:ind w:left="17"/>
              <w:jc w:val="right"/>
              <w:rPr>
                <w:color w:val="000000"/>
                <w:sz w:val="24"/>
              </w:rPr>
            </w:pPr>
            <w:r w:rsidRPr="00613409">
              <w:rPr>
                <w:color w:val="000000"/>
                <w:sz w:val="24"/>
              </w:rPr>
              <w:t>42.04</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p>
        </w:tc>
        <w:tc>
          <w:tcPr>
            <w:tcW w:type="dxa" w:w="3357"/>
            <w:vAlign w:val="center"/>
          </w:tcPr>
          <w:p w:rsidP="009216A0" w:rsidR="00EA3F40" w:rsidRDefault="00EA3F40" w:rsidRPr="00613409">
            <w:pPr>
              <w:autoSpaceDE w:val="0"/>
              <w:autoSpaceDN w:val="0"/>
              <w:adjustRightInd w:val="0"/>
              <w:spacing w:before="29" w:line="360" w:lineRule="auto"/>
              <w:ind w:firstLine="720" w:firstLineChars="300" w:left="17"/>
              <w:jc w:val="left"/>
              <w:rPr>
                <w:color w:val="000000"/>
                <w:sz w:val="24"/>
              </w:rPr>
            </w:pPr>
            <w:r w:rsidRPr="00613409">
              <w:rPr>
                <w:color w:val="000000"/>
                <w:sz w:val="24"/>
              </w:rPr>
              <w:t>资产支持证券</w:t>
            </w:r>
          </w:p>
        </w:tc>
        <w:tc>
          <w:tcPr>
            <w:tcW w:type="dxa" w:w="3119"/>
            <w:vAlign w:val="center"/>
          </w:tcPr>
          <w:p w:rsidP="00196812" w:rsidR="00EA3F40" w:rsidRDefault="00EA3F40" w:rsidRPr="00613409">
            <w:pPr>
              <w:spacing w:before="29" w:line="360" w:lineRule="auto"/>
              <w:ind w:left="17"/>
              <w:jc w:val="right"/>
              <w:rPr>
                <w:color w:val="000000"/>
                <w:sz w:val="24"/>
              </w:rPr>
            </w:pPr>
            <w:r w:rsidRPr="00613409">
              <w:rPr>
                <w:color w:val="000000"/>
                <w:sz w:val="24"/>
              </w:rPr>
              <w:t>-</w:t>
            </w:r>
          </w:p>
        </w:tc>
        <w:tc>
          <w:tcPr>
            <w:tcW w:type="dxa" w:w="1843"/>
            <w:vAlign w:val="center"/>
          </w:tcPr>
          <w:p w:rsidP="00196812" w:rsidR="00EA3F40" w:rsidRDefault="00EA3F40" w:rsidRPr="00613409">
            <w:pPr>
              <w:spacing w:before="29" w:line="360" w:lineRule="auto"/>
              <w:ind w:left="17"/>
              <w:jc w:val="right"/>
              <w:rPr>
                <w:color w:val="000000"/>
                <w:sz w:val="24"/>
              </w:rPr>
            </w:pPr>
            <w:r w:rsidRPr="00613409">
              <w:rPr>
                <w:color w:val="000000"/>
                <w:sz w:val="24"/>
              </w:rPr>
              <w:t>-</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r w:rsidRPr="00613409">
              <w:rPr>
                <w:color w:val="000000"/>
                <w:sz w:val="24"/>
              </w:rPr>
              <w:t>2</w:t>
            </w:r>
          </w:p>
        </w:tc>
        <w:tc>
          <w:tcPr>
            <w:tcW w:type="dxa" w:w="3357"/>
            <w:vAlign w:val="center"/>
          </w:tcPr>
          <w:p w:rsidP="00196812" w:rsidR="00EA3F40" w:rsidRDefault="00EA3F40" w:rsidRPr="00613409">
            <w:pPr>
              <w:spacing w:before="29" w:line="360" w:lineRule="auto"/>
              <w:ind w:left="17"/>
              <w:jc w:val="left"/>
              <w:rPr>
                <w:sz w:val="24"/>
              </w:rPr>
            </w:pPr>
            <w:r w:rsidRPr="00613409">
              <w:rPr>
                <w:color w:val="000000"/>
                <w:sz w:val="24"/>
              </w:rPr>
              <w:t>买入返售金融资产</w:t>
            </w:r>
          </w:p>
        </w:tc>
        <w:tc>
          <w:tcPr>
            <w:tcW w:type="dxa" w:w="3119"/>
            <w:vAlign w:val="center"/>
          </w:tcPr>
          <w:p w:rsidP="00196812" w:rsidR="00EA3F40" w:rsidRDefault="00EA3F40" w:rsidRPr="00613409">
            <w:pPr>
              <w:spacing w:before="29" w:line="360" w:lineRule="auto"/>
              <w:ind w:left="17"/>
              <w:jc w:val="right"/>
              <w:rPr>
                <w:color w:val="000000"/>
                <w:sz w:val="24"/>
              </w:rPr>
            </w:pPr>
            <w:r w:rsidRPr="00613409">
              <w:rPr>
                <w:color w:val="000000"/>
                <w:sz w:val="24"/>
              </w:rPr>
              <w:t>8,920,000,000.00</w:t>
            </w:r>
          </w:p>
        </w:tc>
        <w:tc>
          <w:tcPr>
            <w:tcW w:type="dxa" w:w="1843"/>
            <w:vAlign w:val="center"/>
          </w:tcPr>
          <w:p w:rsidP="00196812" w:rsidR="00EA3F40" w:rsidRDefault="00EA3F40" w:rsidRPr="00613409">
            <w:pPr>
              <w:spacing w:before="29" w:line="360" w:lineRule="auto"/>
              <w:ind w:left="17"/>
              <w:jc w:val="right"/>
              <w:rPr>
                <w:color w:val="000000"/>
                <w:sz w:val="24"/>
              </w:rPr>
            </w:pPr>
            <w:r w:rsidRPr="00613409">
              <w:rPr>
                <w:color w:val="000000"/>
                <w:sz w:val="24"/>
              </w:rPr>
              <w:t/>
            </w:r>
            <w:r w:rsidRPr="00613409">
              <w:rPr>
                <w:color w:val="000000"/>
                <w:sz w:val="24"/>
              </w:rPr>
              <w:lastRenderedPageBreak/>
              <w:t>33.43</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p>
        </w:tc>
        <w:tc>
          <w:tcPr>
            <w:tcW w:type="dxa" w:w="3357"/>
            <w:vAlign w:val="center"/>
          </w:tcPr>
          <w:p w:rsidP="00196812" w:rsidR="00EA3F40" w:rsidRDefault="00EA3F40" w:rsidRPr="00613409">
            <w:pPr>
              <w:spacing w:before="29" w:line="360" w:lineRule="auto"/>
              <w:ind w:left="17"/>
              <w:jc w:val="left"/>
              <w:rPr>
                <w:sz w:val="24"/>
              </w:rPr>
            </w:pPr>
            <w:r w:rsidRPr="00613409">
              <w:rPr>
                <w:color w:val="000000"/>
                <w:sz w:val="24"/>
              </w:rPr>
              <w:t>其中：买断式回购的买入返售金融资产</w:t>
            </w:r>
          </w:p>
        </w:tc>
        <w:tc>
          <w:tcPr>
            <w:tcW w:type="dxa" w:w="3119"/>
            <w:vAlign w:val="center"/>
          </w:tcPr>
          <w:p w:rsidP="00196812" w:rsidR="00EA3F40" w:rsidRDefault="00EA3F40" w:rsidRPr="00613409">
            <w:pPr>
              <w:spacing w:before="29" w:line="360" w:lineRule="auto"/>
              <w:ind w:left="17"/>
              <w:jc w:val="right"/>
              <w:rPr>
                <w:color w:val="000000"/>
                <w:sz w:val="24"/>
              </w:rPr>
            </w:pPr>
            <w:r w:rsidRPr="00613409">
              <w:rPr>
                <w:color w:val="000000"/>
                <w:sz w:val="24"/>
              </w:rPr>
              <w:t>-</w:t>
            </w:r>
          </w:p>
        </w:tc>
        <w:tc>
          <w:tcPr>
            <w:tcW w:type="dxa" w:w="1843"/>
            <w:vAlign w:val="center"/>
          </w:tcPr>
          <w:p w:rsidP="00196812" w:rsidR="00EA3F40" w:rsidRDefault="00EA3F40" w:rsidRPr="00613409">
            <w:pPr>
              <w:spacing w:before="29" w:line="360" w:lineRule="auto"/>
              <w:ind w:left="17"/>
              <w:jc w:val="right"/>
              <w:rPr>
                <w:color w:val="000000"/>
                <w:sz w:val="24"/>
              </w:rPr>
            </w:pPr>
            <w:r w:rsidRPr="00613409">
              <w:rPr>
                <w:color w:val="000000"/>
                <w:sz w:val="24"/>
              </w:rPr>
              <w:t>-</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r w:rsidRPr="00613409">
              <w:rPr>
                <w:color w:val="000000"/>
                <w:sz w:val="24"/>
              </w:rPr>
              <w:t>3</w:t>
            </w:r>
          </w:p>
        </w:tc>
        <w:tc>
          <w:tcPr>
            <w:tcW w:type="dxa" w:w="3357"/>
            <w:vAlign w:val="center"/>
          </w:tcPr>
          <w:p w:rsidP="00196812" w:rsidR="00EA3F40" w:rsidRDefault="00EA3F40" w:rsidRPr="00613409">
            <w:pPr>
              <w:spacing w:before="29" w:line="360" w:lineRule="auto"/>
              <w:ind w:left="17"/>
              <w:jc w:val="left"/>
              <w:rPr>
                <w:sz w:val="24"/>
              </w:rPr>
            </w:pPr>
            <w:r w:rsidRPr="00613409">
              <w:rPr>
                <w:color w:val="000000"/>
                <w:sz w:val="24"/>
              </w:rPr>
              <w:t>银行存款和结算备付金合计</w:t>
            </w:r>
          </w:p>
        </w:tc>
        <w:tc>
          <w:tcPr>
            <w:tcW w:type="dxa" w:w="3119"/>
            <w:vAlign w:val="center"/>
          </w:tcPr>
          <w:p w:rsidP="00196812" w:rsidR="00EA3F40" w:rsidRDefault="00EA3F40" w:rsidRPr="00613409">
            <w:pPr>
              <w:spacing w:before="29" w:line="360" w:lineRule="auto"/>
              <w:ind w:left="17"/>
              <w:jc w:val="right"/>
              <w:rPr>
                <w:color w:val="000000"/>
                <w:sz w:val="24"/>
              </w:rPr>
            </w:pPr>
            <w:r w:rsidRPr="00613409">
              <w:rPr>
                <w:color w:val="000000"/>
                <w:sz w:val="24"/>
              </w:rPr>
              <w:t>4,633,103,855.07</w:t>
            </w:r>
          </w:p>
        </w:tc>
        <w:tc>
          <w:tcPr>
            <w:tcW w:type="dxa" w:w="1843"/>
            <w:vAlign w:val="center"/>
          </w:tcPr>
          <w:p w:rsidP="00196812" w:rsidR="00EA3F40" w:rsidRDefault="00EA3F40" w:rsidRPr="00613409">
            <w:pPr>
              <w:spacing w:before="29" w:line="360" w:lineRule="auto"/>
              <w:ind w:left="17"/>
              <w:jc w:val="right"/>
              <w:rPr>
                <w:color w:val="000000"/>
                <w:sz w:val="24"/>
              </w:rPr>
            </w:pPr>
            <w:r w:rsidRPr="00613409">
              <w:rPr>
                <w:color w:val="000000"/>
                <w:sz w:val="24"/>
              </w:rPr>
              <w:t>17.37</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r w:rsidRPr="00613409">
              <w:rPr>
                <w:color w:val="000000"/>
                <w:sz w:val="24"/>
              </w:rPr>
              <w:t>4</w:t>
            </w:r>
          </w:p>
        </w:tc>
        <w:tc>
          <w:tcPr>
            <w:tcW w:type="dxa" w:w="3357"/>
            <w:vAlign w:val="center"/>
          </w:tcPr>
          <w:p w:rsidP="00196812" w:rsidR="00EA3F40" w:rsidRDefault="00EA3F40" w:rsidRPr="00613409">
            <w:pPr>
              <w:spacing w:line="360" w:lineRule="auto"/>
              <w:jc w:val="left"/>
              <w:rPr>
                <w:sz w:val="24"/>
              </w:rPr>
            </w:pPr>
            <w:r w:rsidRPr="00613409">
              <w:rPr>
                <w:color w:val="000000"/>
                <w:sz w:val="24"/>
              </w:rPr>
              <w:t>其他资产</w:t>
            </w:r>
          </w:p>
        </w:tc>
        <w:tc>
          <w:tcPr>
            <w:tcW w:type="dxa" w:w="3119"/>
            <w:vAlign w:val="center"/>
          </w:tcPr>
          <w:p w:rsidP="00196812" w:rsidR="00EA3F40" w:rsidRDefault="00EA3F40" w:rsidRPr="00613409">
            <w:pPr>
              <w:spacing w:line="360" w:lineRule="auto"/>
              <w:jc w:val="right"/>
              <w:rPr>
                <w:color w:val="000000"/>
                <w:sz w:val="24"/>
              </w:rPr>
            </w:pPr>
            <w:r w:rsidRPr="00613409">
              <w:rPr>
                <w:color w:val="000000"/>
                <w:sz w:val="24"/>
              </w:rPr>
              <w:t>1,910,450,967.30</w:t>
            </w:r>
          </w:p>
        </w:tc>
        <w:tc>
          <w:tcPr>
            <w:tcW w:type="dxa" w:w="1843"/>
            <w:vAlign w:val="center"/>
          </w:tcPr>
          <w:p w:rsidP="00196812" w:rsidR="00EA3F40" w:rsidRDefault="00EA3F40" w:rsidRPr="00613409">
            <w:pPr>
              <w:spacing w:line="360" w:lineRule="auto"/>
              <w:jc w:val="right"/>
              <w:rPr>
                <w:color w:val="000000"/>
                <w:sz w:val="24"/>
              </w:rPr>
            </w:pPr>
            <w:r w:rsidRPr="00613409">
              <w:rPr>
                <w:color w:val="000000"/>
                <w:sz w:val="24"/>
              </w:rPr>
              <w:t/>
            </w:r>
            <w:r w:rsidRPr="00613409">
              <w:rPr>
                <w:color w:val="000000"/>
                <w:sz w:val="24"/>
              </w:rPr>
              <w:lastRenderedPageBreak/>
              <w:t>7.16</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r w:rsidRPr="00613409">
              <w:rPr>
                <w:color w:val="000000"/>
                <w:sz w:val="24"/>
              </w:rPr>
              <w:lastRenderedPageBreak/>
              <w:t>5</w:t>
            </w:r>
          </w:p>
        </w:tc>
        <w:tc>
          <w:tcPr>
            <w:tcW w:type="dxa" w:w="3357"/>
            <w:vAlign w:val="center"/>
          </w:tcPr>
          <w:p w:rsidP="00196812" w:rsidR="00EA3F40" w:rsidRDefault="00EA3F40" w:rsidRPr="00613409">
            <w:pPr>
              <w:spacing w:line="360" w:lineRule="auto"/>
              <w:jc w:val="left"/>
              <w:rPr>
                <w:sz w:val="24"/>
              </w:rPr>
            </w:pPr>
            <w:r w:rsidRPr="00613409">
              <w:rPr>
                <w:color w:val="000000"/>
                <w:sz w:val="24"/>
              </w:rPr>
              <w:t>合计</w:t>
            </w:r>
          </w:p>
        </w:tc>
        <w:tc>
          <w:tcPr>
            <w:tcW w:type="dxa" w:w="3119"/>
            <w:vAlign w:val="center"/>
          </w:tcPr>
          <w:p w:rsidP="00196812" w:rsidR="00EA3F40" w:rsidRDefault="00EA3F40" w:rsidRPr="00613409">
            <w:pPr>
              <w:spacing w:line="360" w:lineRule="auto"/>
              <w:jc w:val="right"/>
              <w:rPr>
                <w:color w:val="000000"/>
                <w:sz w:val="24"/>
              </w:rPr>
            </w:pPr>
            <w:r w:rsidRPr="00613409">
              <w:rPr>
                <w:color w:val="000000"/>
                <w:sz w:val="24"/>
              </w:rPr>
              <w:t>26,680,003,809.26</w:t>
            </w:r>
          </w:p>
        </w:tc>
        <w:tc>
          <w:tcPr>
            <w:tcW w:type="dxa" w:w="1843"/>
            <w:vAlign w:val="center"/>
          </w:tcPr>
          <w:p w:rsidP="00196812" w:rsidR="00EA3F40" w:rsidRDefault="00EA3F40" w:rsidRPr="00613409">
            <w:pPr>
              <w:spacing w:line="360" w:lineRule="auto"/>
              <w:jc w:val="right"/>
              <w:rPr>
                <w:color w:val="000000"/>
                <w:sz w:val="24"/>
              </w:rPr>
            </w:pPr>
            <w:r w:rsidRPr="00613409">
              <w:rPr>
                <w:color w:val="000000"/>
                <w:sz w:val="24"/>
              </w:rPr>
              <w:t>100.00</w:t>
            </w:r>
          </w:p>
        </w:tc>
      </w:tr>
    </w:tbl>
    <w:p w:rsidP="00196812"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5.2 </w:t>
      </w:r>
      <w:r w:rsidRPr="0097021E">
        <w:rPr>
          <w:rFonts w:ascii="宋体" w:cs="Arial" w:hAnsi="宋体" w:hint="eastAsia"/>
          <w:b/>
          <w:color w:val="000000"/>
          <w:kern w:val="0"/>
          <w:sz w:val="24"/>
        </w:rPr>
        <w:t>报告期债券回购融资情况</w:t>
      </w:r>
    </w:p>
    <w:tbl>
      <w:tblPr>
        <w:tblW w:type="auto" w:w="0"/>
        <w:tblInd w:type="dxa" w:w="108"/>
        <w:tblLayout w:type="fixed"/>
        <w:tblLook w:firstColumn="0" w:firstRow="0" w:lastColumn="0" w:lastRow="0" w:noHBand="0" w:noVBand="0" w:val="0000"/>
      </w:tblPr>
      <w:tblGrid>
        <w:gridCol w:w="861"/>
        <w:gridCol w:w="3108"/>
        <w:gridCol w:w="2977"/>
        <w:gridCol w:w="2126"/>
      </w:tblGrid>
      <w:tr w:rsidR="00EA3F40" w:rsidRPr="0097021E" w:rsidTr="00F11244">
        <w:tc>
          <w:tcPr>
            <w:tcW w:type="dxa" w:w="861"/>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color w:val="000000"/>
                <w:kern w:val="0"/>
                <w:sz w:val="24"/>
              </w:rPr>
            </w:pPr>
            <w:r w:rsidRPr="00613409">
              <w:rPr>
                <w:color w:val="000000"/>
                <w:kern w:val="0"/>
                <w:sz w:val="24"/>
              </w:rPr>
              <w:t>序号</w:t>
            </w:r>
          </w:p>
        </w:tc>
        <w:tc>
          <w:tcPr>
            <w:tcW w:type="dxa" w:w="3108"/>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color w:val="000000"/>
                <w:kern w:val="0"/>
                <w:sz w:val="24"/>
              </w:rPr>
            </w:pPr>
            <w:r w:rsidRPr="00613409">
              <w:rPr>
                <w:color w:val="000000"/>
                <w:kern w:val="0"/>
                <w:sz w:val="24"/>
              </w:rPr>
              <w:t>项目</w:t>
            </w:r>
          </w:p>
        </w:tc>
        <w:tc>
          <w:tcPr>
            <w:tcW w:type="dxa" w:w="5103"/>
            <w:gridSpan w:val="2"/>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color w:val="000000"/>
                <w:kern w:val="0"/>
                <w:sz w:val="24"/>
              </w:rPr>
            </w:pPr>
            <w:r w:rsidRPr="00613409">
              <w:rPr>
                <w:color w:val="000000"/>
                <w:kern w:val="0"/>
                <w:sz w:val="24"/>
              </w:rPr>
              <w:t>占基金资产净值的比例（％）</w:t>
            </w:r>
          </w:p>
        </w:tc>
      </w:tr>
      <w:tr w:rsidR="00EA3F40" w:rsidRPr="0097021E" w:rsidTr="00F11244">
        <w:tc>
          <w:tcPr>
            <w:tcW w:type="dxa" w:w="861"/>
            <w:tcBorders>
              <w:top w:color="000000" w:space="0" w:sz="8" w:val="single"/>
              <w:left w:color="000000" w:space="0" w:sz="8" w:val="single"/>
              <w:right w:color="000000" w:space="0" w:sz="8" w:val="single"/>
            </w:tcBorders>
            <w:vAlign w:val="center"/>
          </w:tcPr>
          <w:p w:rsidP="00196812" w:rsidR="00EA3F40" w:rsidRDefault="00EA3F40" w:rsidRPr="00613409">
            <w:pPr>
              <w:spacing w:line="360" w:lineRule="auto"/>
              <w:rPr>
                <w:color w:val="000000"/>
                <w:kern w:val="0"/>
                <w:sz w:val="24"/>
              </w:rPr>
            </w:pPr>
            <w:r w:rsidRPr="00613409">
              <w:rPr>
                <w:color w:val="000000"/>
                <w:kern w:val="0"/>
                <w:sz w:val="24"/>
              </w:rPr>
              <w:t>1</w:t>
            </w:r>
          </w:p>
        </w:tc>
        <w:tc>
          <w:tcPr>
            <w:tcW w:type="dxa" w:w="3108"/>
            <w:tcBorders>
              <w:top w:color="000000" w:space="0" w:sz="8" w:val="single"/>
              <w:left w:color="000000" w:space="0" w:sz="8" w:val="single"/>
              <w:bottom w:color="000000" w:space="0" w:sz="8" w:val="single"/>
              <w:right w:color="000000" w:space="0" w:sz="8" w:val="single"/>
            </w:tcBorders>
          </w:tcPr>
          <w:p w:rsidP="00196812" w:rsidR="00EA3F40" w:rsidRDefault="00EA3F40" w:rsidRPr="00613409">
            <w:pPr>
              <w:spacing w:line="360" w:lineRule="auto"/>
              <w:rPr>
                <w:sz w:val="24"/>
              </w:rPr>
            </w:pPr>
            <w:r w:rsidRPr="00613409">
              <w:rPr>
                <w:sz w:val="24"/>
              </w:rPr>
              <w:t>报告期内债券回购融资余额</w:t>
            </w:r>
          </w:p>
        </w:tc>
        <w:tc>
          <w:tcPr>
            <w:tcW w:type="dxa" w:w="5103"/>
            <w:gridSpan w:val="2"/>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sz w:val="24"/>
              </w:rPr>
              <w:t>5.44</w:t>
            </w:r>
          </w:p>
        </w:tc>
      </w:tr>
      <w:tr w:rsidR="00EA3F40" w:rsidRPr="0097021E" w:rsidTr="00F11244">
        <w:trPr>
          <w:trHeight w:val="712"/>
        </w:trPr>
        <w:tc>
          <w:tcPr>
            <w:tcW w:type="dxa" w:w="861"/>
            <w:tcBorders>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color w:val="000000"/>
                <w:sz w:val="24"/>
              </w:rPr>
            </w:pPr>
          </w:p>
        </w:tc>
        <w:tc>
          <w:tcPr>
            <w:tcW w:type="dxa" w:w="3108"/>
            <w:tcBorders>
              <w:top w:color="000000" w:space="0" w:sz="8" w:val="single"/>
              <w:left w:color="000000" w:space="0" w:sz="8" w:val="single"/>
              <w:bottom w:color="000000" w:space="0" w:sz="8" w:val="single"/>
              <w:right w:color="000000" w:space="0" w:sz="8" w:val="single"/>
            </w:tcBorders>
          </w:tcPr>
          <w:p w:rsidP="00196812" w:rsidR="00EA3F40" w:rsidRDefault="00EA3F40" w:rsidRPr="00613409">
            <w:pPr>
              <w:spacing w:line="360" w:lineRule="auto"/>
              <w:rPr>
                <w:sz w:val="24"/>
              </w:rPr>
            </w:pPr>
            <w:r w:rsidRPr="00613409">
              <w:rPr>
                <w:sz w:val="24"/>
              </w:rPr>
              <w:t>其中：买断式回购融资</w:t>
            </w:r>
          </w:p>
        </w:tc>
        <w:tc>
          <w:tcPr>
            <w:tcW w:type="dxa" w:w="5103"/>
            <w:gridSpan w:val="2"/>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sz w:val="24"/>
              </w:rPr>
              <w:t>-</w:t>
            </w:r>
          </w:p>
        </w:tc>
      </w:tr>
      <w:tr w:rsidR="00EA3F40" w:rsidRPr="0097021E" w:rsidTr="00F11244">
        <w:tc>
          <w:tcPr>
            <w:tcW w:type="dxa" w:w="861"/>
            <w:tcBorders>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color w:val="000000"/>
                <w:sz w:val="24"/>
              </w:rPr>
            </w:pPr>
            <w:r w:rsidRPr="00613409">
              <w:rPr>
                <w:color w:val="000000"/>
                <w:kern w:val="0"/>
                <w:sz w:val="24"/>
              </w:rPr>
              <w:t>序号</w:t>
            </w:r>
          </w:p>
        </w:tc>
        <w:tc>
          <w:tcPr>
            <w:tcW w:type="dxa" w:w="3108"/>
            <w:tcBorders>
              <w:top w:color="000000" w:space="0" w:sz="8" w:val="single"/>
              <w:left w:color="000000" w:space="0" w:sz="8" w:val="single"/>
              <w:bottom w:color="000000" w:space="0" w:sz="8" w:val="single"/>
              <w:right w:color="000000" w:space="0" w:sz="8" w:val="single"/>
            </w:tcBorders>
          </w:tcPr>
          <w:p w:rsidP="00196812" w:rsidR="00EA3F40" w:rsidRDefault="00EA3F40" w:rsidRPr="00613409">
            <w:pPr>
              <w:spacing w:line="360" w:lineRule="auto"/>
              <w:rPr>
                <w:sz w:val="24"/>
              </w:rPr>
            </w:pPr>
            <w:r w:rsidRPr="00613409">
              <w:rPr>
                <w:sz w:val="24"/>
              </w:rPr>
              <w:t>项目</w:t>
            </w:r>
          </w:p>
        </w:tc>
        <w:tc>
          <w:tcPr>
            <w:tcW w:type="dxa" w:w="2977"/>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sz w:val="24"/>
              </w:rPr>
              <w:t>金额</w:t>
            </w:r>
          </w:p>
        </w:tc>
        <w:tc>
          <w:tcPr>
            <w:tcW w:type="dxa" w:w="2126"/>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color w:val="000000"/>
                <w:kern w:val="0"/>
                <w:sz w:val="24"/>
              </w:rPr>
              <w:t>占基金资产净值的比例（％）</w:t>
            </w:r>
          </w:p>
        </w:tc>
      </w:tr>
      <w:tr w:rsidR="00EA3F40" w:rsidRPr="0097021E" w:rsidTr="00F11244">
        <w:tc>
          <w:tcPr>
            <w:tcW w:type="dxa" w:w="861"/>
            <w:vMerge w:val="restart"/>
            <w:tcBorders>
              <w:top w:color="000000" w:space="0" w:sz="8" w:val="single"/>
              <w:left w:color="000000" w:space="0" w:sz="8" w:val="single"/>
              <w:right w:color="000000" w:space="0" w:sz="8" w:val="single"/>
            </w:tcBorders>
            <w:vAlign w:val="center"/>
          </w:tcPr>
          <w:p w:rsidP="00196812" w:rsidR="00EA3F40" w:rsidRDefault="00EA3F40" w:rsidRPr="00613409">
            <w:pPr>
              <w:spacing w:line="360" w:lineRule="auto"/>
              <w:rPr>
                <w:color w:val="000000"/>
                <w:sz w:val="24"/>
              </w:rPr>
            </w:pPr>
            <w:r w:rsidRPr="00613409">
              <w:rPr>
                <w:color w:val="000000"/>
                <w:sz w:val="24"/>
              </w:rPr>
              <w:t>2</w:t>
            </w:r>
          </w:p>
        </w:tc>
        <w:tc>
          <w:tcPr>
            <w:tcW w:type="dxa" w:w="3108"/>
            <w:tcBorders>
              <w:top w:color="000000" w:space="0" w:sz="8" w:val="single"/>
              <w:left w:color="000000" w:space="0" w:sz="8" w:val="single"/>
              <w:bottom w:color="000000" w:space="0" w:sz="8" w:val="single"/>
              <w:right w:color="000000" w:space="0" w:sz="8" w:val="single"/>
            </w:tcBorders>
          </w:tcPr>
          <w:p w:rsidP="00196812" w:rsidR="00EA3F40" w:rsidRDefault="00EA3F40" w:rsidRPr="00613409">
            <w:pPr>
              <w:spacing w:line="360" w:lineRule="auto"/>
              <w:rPr>
                <w:sz w:val="24"/>
              </w:rPr>
            </w:pPr>
            <w:r w:rsidRPr="00613409">
              <w:rPr>
                <w:sz w:val="24"/>
              </w:rPr>
              <w:t>报告期末债券回购融资余额</w:t>
            </w:r>
          </w:p>
        </w:tc>
        <w:tc>
          <w:tcPr>
            <w:tcW w:type="dxa" w:w="2977"/>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sz w:val="24"/>
              </w:rPr>
              <w:t>1,522,038,598.98</w:t>
            </w:r>
          </w:p>
        </w:tc>
        <w:tc>
          <w:tcPr>
            <w:tcW w:type="dxa" w:w="2126"/>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sz w:val="24"/>
              </w:rPr>
              <w:t>6.44</w:t>
            </w:r>
          </w:p>
        </w:tc>
      </w:tr>
      <w:tr w:rsidR="00EA3F40" w:rsidRPr="0097021E" w:rsidTr="00F11244">
        <w:tc>
          <w:tcPr>
            <w:tcW w:type="dxa" w:w="861"/>
            <w:vMerge/>
            <w:tcBorders>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color w:val="000000"/>
                <w:sz w:val="24"/>
              </w:rPr>
            </w:pPr>
          </w:p>
        </w:tc>
        <w:tc>
          <w:tcPr>
            <w:tcW w:type="dxa" w:w="3108"/>
            <w:tcBorders>
              <w:top w:color="000000" w:space="0" w:sz="8" w:val="single"/>
              <w:left w:color="000000" w:space="0" w:sz="8" w:val="single"/>
              <w:bottom w:color="000000" w:space="0" w:sz="8" w:val="single"/>
              <w:right w:color="000000" w:space="0" w:sz="8" w:val="single"/>
            </w:tcBorders>
          </w:tcPr>
          <w:p w:rsidP="00196812" w:rsidR="00EA3F40" w:rsidRDefault="00EA3F40" w:rsidRPr="00613409">
            <w:pPr>
              <w:spacing w:line="360" w:lineRule="auto"/>
              <w:rPr>
                <w:sz w:val="24"/>
              </w:rPr>
            </w:pPr>
            <w:r w:rsidRPr="00613409">
              <w:rPr>
                <w:sz w:val="24"/>
              </w:rPr>
              <w:t>其中：买断式回购融资</w:t>
            </w:r>
          </w:p>
        </w:tc>
        <w:tc>
          <w:tcPr>
            <w:tcW w:type="dxa" w:w="2977"/>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sz w:val="24"/>
              </w:rPr>
              <w:t>-</w:t>
            </w:r>
          </w:p>
        </w:tc>
        <w:tc>
          <w:tcPr>
            <w:tcW w:type="dxa" w:w="2126"/>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sz w:val="24"/>
              </w:rPr>
              <w:t>-</w:t>
            </w:r>
          </w:p>
        </w:tc>
      </w:tr>
    </w:tbl>
    <w:p w:rsidP="00613409" w:rsidR="00EA3F40" w:rsidRDefault="00EA3F40" w:rsidRPr="00613409">
      <w:pPr>
        <w:adjustRightInd w:val="0"/>
        <w:spacing w:line="360" w:lineRule="auto"/>
        <w:ind w:firstLine="480" w:firstLineChars="200"/>
        <w:rPr>
          <w:color w:val="000000"/>
          <w:sz w:val="24"/>
        </w:rPr>
      </w:pPr>
      <w:r w:rsidRPr="001752C7">
        <w:rPr>
          <w:color w:val="000000"/>
          <w:sz w:val="24"/>
        </w:rPr>
        <w:t>注：上表中报告期内债券回购融资余额占基金资产净值的比例为报告期内每个交易日融资余额占基金资产净值比例的简单平均值。</w:t>
      </w:r>
    </w:p>
    <w:p w:rsidP="00196812" w:rsidR="00EA3F40" w:rsidRDefault="00EA3F40" w:rsidRPr="003A0EC1">
      <w:pPr>
        <w:spacing w:line="360" w:lineRule="auto"/>
        <w:rPr>
          <w:rFonts w:ascii="宋体" w:cs="Arial"/>
          <w:b/>
          <w:color w:val="000000"/>
          <w:kern w:val="0"/>
          <w:sz w:val="24"/>
        </w:rPr>
      </w:pPr>
      <w:r w:rsidRPr="003A0EC1">
        <w:rPr>
          <w:rFonts w:ascii="宋体" w:cs="Arial"/>
          <w:b/>
          <w:color w:val="000000"/>
          <w:kern w:val="0"/>
          <w:sz w:val="24"/>
        </w:rPr>
        <w:t/>
      </w:r>
      <w:r w:rsidRPr="003A0EC1">
        <w:rPr>
          <w:rFonts w:ascii="宋体" w:cs="Arial" w:hAnsi="宋体"/>
          <w:b/>
          <w:color w:val="000000"/>
          <w:kern w:val="0"/>
          <w:sz w:val="24"/>
        </w:rPr>
        <w:t/>
      </w:r>
      <w:r w:rsidRPr="003A0EC1">
        <w:rPr>
          <w:rFonts w:ascii="宋体" w:cs="Arial" w:hAnsi="宋体" w:hint="eastAsia"/>
          <w:b/>
          <w:color w:val="000000"/>
          <w:kern w:val="0"/>
          <w:sz w:val="24"/>
        </w:rPr>
        <w:t>债券正回购的资金余额超过基金资产净值的</w:t>
      </w:r>
      <w:r w:rsidRPr="003A0EC1">
        <w:rPr>
          <w:rFonts w:ascii="宋体" w:cs="Arial" w:hAnsi="宋体"/>
          <w:b/>
          <w:color w:val="000000"/>
          <w:kern w:val="0"/>
          <w:sz w:val="24"/>
        </w:rPr>
        <w:t>20</w:t>
      </w:r>
      <w:r w:rsidRPr="003A0EC1">
        <w:rPr>
          <w:rFonts w:ascii="宋体" w:cs="Arial" w:hAnsi="宋体" w:hint="eastAsia"/>
          <w:b/>
          <w:color w:val="000000"/>
          <w:kern w:val="0"/>
          <w:sz w:val="24"/>
        </w:rPr>
        <w:t>％的说明</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在本报告期内本货币市场基金债券正回购的资金余额未超过资产净值的20%。</w:t>
      </w:r>
    </w:p>
    <w:p w:rsidP="00196812"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5.3 </w:t>
      </w:r>
      <w:r w:rsidRPr="0097021E">
        <w:rPr>
          <w:rFonts w:ascii="宋体" w:cs="Arial" w:hAnsi="宋体" w:hint="eastAsia"/>
          <w:b/>
          <w:color w:val="000000"/>
          <w:kern w:val="0"/>
          <w:sz w:val="24"/>
        </w:rPr>
        <w:t>基金投资组合平均剩余期限</w:t>
      </w:r>
    </w:p>
    <w:p w:rsidP="00196812"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5.3.1 </w:t>
      </w:r>
      <w:r w:rsidRPr="0097021E">
        <w:rPr>
          <w:rFonts w:ascii="宋体" w:cs="Arial" w:hAnsi="宋体" w:hint="eastAsia"/>
          <w:b/>
          <w:color w:val="000000"/>
          <w:kern w:val="0"/>
          <w:sz w:val="24"/>
        </w:rPr>
        <w:t>投资组合平均剩余期限基本情况</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056"/>
        <w:gridCol w:w="5016"/>
      </w:tblGrid>
      <w:tr w:rsidR="00EA3F40" w:rsidRPr="0097021E" w:rsidTr="00C526E2">
        <w:tc>
          <w:tcPr>
            <w:tcW w:type="dxa" w:w="4056"/>
            <w:vAlign w:val="center"/>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项目</w:t>
            </w:r>
            <w:r w:rsidRPr="00613409">
              <w:rPr>
                <w:color w:val="000000"/>
                <w:kern w:val="0"/>
                <w:sz w:val="24"/>
              </w:rPr>
              <w:t/>
            </w:r>
          </w:p>
        </w:tc>
        <w:tc>
          <w:tcPr>
            <w:tcW w:type="dxa" w:w="5016"/>
            <w:vAlign w:val="center"/>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天数</w:t>
            </w:r>
          </w:p>
        </w:tc>
      </w:tr>
      <w:tr w:rsidR="00EA3F40" w:rsidRPr="0097021E" w:rsidTr="00C526E2">
        <w:tc>
          <w:tcPr>
            <w:tcW w:type="dxa" w:w="4056"/>
            <w:vAlign w:val="center"/>
          </w:tcPr>
          <w:p w:rsidP="0019681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报告期末投资组合平均剩余期限</w:t>
            </w:r>
          </w:p>
        </w:tc>
        <w:tc>
          <w:tcPr>
            <w:tcW w:type="dxa" w:w="5016"/>
            <w:vAlign w:val="center"/>
          </w:tcPr>
          <w:p w:rsidP="00196812" w:rsidR="00EA3F40" w:rsidRDefault="00EA3F40" w:rsidRPr="00613409">
            <w:pPr>
              <w:spacing w:line="360" w:lineRule="auto"/>
              <w:ind w:right="120"/>
              <w:jc w:val="right"/>
              <w:rPr>
                <w:sz w:val="24"/>
              </w:rPr>
            </w:pPr>
            <w:r w:rsidRPr="00613409">
              <w:rPr>
                <w:color w:val="000000"/>
                <w:sz w:val="24"/>
              </w:rPr>
              <w:t/>
            </w:r>
            <w:r w:rsidRPr="00613409">
              <w:rPr>
                <w:sz w:val="24"/>
              </w:rPr>
              <w:t>58</w:t>
            </w:r>
          </w:p>
        </w:tc>
      </w:tr>
      <w:tr w:rsidR="00EA3F40" w:rsidRPr="0097021E" w:rsidTr="00C526E2">
        <w:tc>
          <w:tcPr>
            <w:tcW w:type="dxa" w:w="4056"/>
            <w:vAlign w:val="center"/>
          </w:tcPr>
          <w:p w:rsidP="0019681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报告期内投资组合平均剩余期限最高值</w:t>
            </w:r>
          </w:p>
        </w:tc>
        <w:tc>
          <w:tcPr>
            <w:tcW w:type="dxa" w:w="5016"/>
            <w:vAlign w:val="center"/>
          </w:tcPr>
          <w:p w:rsidP="00196812" w:rsidR="00EA3F40" w:rsidRDefault="00EA3F40" w:rsidRPr="00613409">
            <w:pPr>
              <w:spacing w:line="360" w:lineRule="auto"/>
              <w:jc w:val="right"/>
              <w:rPr>
                <w:sz w:val="24"/>
              </w:rPr>
            </w:pPr>
            <w:r w:rsidRPr="00613409">
              <w:rPr>
                <w:color w:val="000000"/>
                <w:sz w:val="24"/>
              </w:rPr>
              <w:t/>
            </w:r>
            <w:r w:rsidRPr="00613409">
              <w:rPr>
                <w:sz w:val="24"/>
              </w:rPr>
              <w:t>71</w:t>
            </w:r>
          </w:p>
        </w:tc>
      </w:tr>
      <w:tr w:rsidR="00EA3F40" w:rsidRPr="0097021E" w:rsidTr="00C526E2">
        <w:tc>
          <w:tcPr>
            <w:tcW w:type="dxa" w:w="4056"/>
            <w:vAlign w:val="center"/>
          </w:tcPr>
          <w:p w:rsidP="0019681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报告期内投资组合平均剩余期限最低值</w:t>
            </w:r>
          </w:p>
        </w:tc>
        <w:tc>
          <w:tcPr>
            <w:tcW w:type="dxa" w:w="5016"/>
            <w:vAlign w:val="center"/>
          </w:tcPr>
          <w:p w:rsidP="00196812" w:rsidR="00EA3F40" w:rsidRDefault="00EA3F40" w:rsidRPr="00613409">
            <w:pPr>
              <w:spacing w:line="360" w:lineRule="auto"/>
              <w:ind w:right="120"/>
              <w:jc w:val="right"/>
              <w:rPr>
                <w:sz w:val="24"/>
              </w:rPr>
            </w:pPr>
            <w:r w:rsidRPr="00613409">
              <w:rPr>
                <w:color w:val="000000"/>
                <w:sz w:val="24"/>
              </w:rPr>
              <w:t/>
            </w:r>
            <w:r w:rsidRPr="00613409">
              <w:rPr>
                <w:sz w:val="24"/>
              </w:rPr>
              <w:t>30</w:t>
            </w:r>
          </w:p>
        </w:tc>
      </w:tr>
    </w:tbl>
    <w:p w:rsidP="00546492" w:rsidR="00546492" w:rsidRDefault="00546492" w:rsidRPr="00546492">
      <w:pPr>
        <w:spacing w:line="360" w:lineRule="auto"/>
        <w:rPr>
          <w:rFonts w:ascii="宋体" w:cs="Arial" w:hAnsi="宋体"/>
          <w:b/>
          <w:color w:val="000000"/>
          <w:kern w:val="0"/>
          <w:sz w:val="24"/>
        </w:rPr>
      </w:pPr>
      <w:r w:rsidRPr="00546492">
        <w:rPr>
          <w:rFonts w:ascii="宋体" w:cs="Arial" w:hAnsi="宋体" w:hint="eastAsia"/>
          <w:b/>
          <w:color w:val="000000"/>
          <w:kern w:val="0"/>
          <w:sz w:val="24"/>
        </w:rPr>
        <w:t>报告期内投资组合平均剩余期限超过</w:t>
      </w:r>
      <w:r w:rsidRPr="00546492">
        <w:rPr>
          <w:rFonts w:ascii="宋体" w:cs="Arial" w:hAnsi="宋体"/>
          <w:b/>
          <w:color w:val="000000"/>
          <w:kern w:val="0"/>
          <w:sz w:val="24"/>
        </w:rPr>
        <w:t>1</w:t>
      </w:r>
      <w:r w:rsidRPr="00546492">
        <w:rPr>
          <w:rFonts w:ascii="宋体" w:cs="Arial" w:hAnsi="宋体" w:hint="eastAsia"/>
          <w:b/>
          <w:color w:val="000000"/>
          <w:kern w:val="0"/>
          <w:sz w:val="24"/>
        </w:rPr>
        <w:t>20天情况说明</w:t>
      </w:r>
    </w:p>
    <w:p w:rsidP="00613409" w:rsidR="00546492" w:rsidRDefault="00546492" w:rsidRPr="00546492">
      <w:pPr>
        <w:adjustRightInd w:val="0"/>
        <w:spacing w:line="360" w:lineRule="auto"/>
        <w:ind w:firstLine="480" w:firstLineChars="200"/>
        <w:rPr>
          <w:color w:val="000000"/>
          <w:sz w:val="24"/>
        </w:rPr>
      </w:pPr>
      <w:r w:rsidRPr="00546492">
        <w:rPr>
          <w:color w:val="000000"/>
          <w:sz w:val="24"/>
        </w:rPr>
        <w:lastRenderedPageBreak/>
        <w:t>本报告期内本货币市场基金投资组合平均剩余期限未超过120天。</w:t>
      </w:r>
    </w:p>
    <w:p w:rsidP="00196812"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5.3.2 </w:t>
      </w:r>
      <w:r w:rsidRPr="0097021E">
        <w:rPr>
          <w:rFonts w:ascii="宋体" w:cs="Arial" w:hAnsi="宋体" w:hint="eastAsia"/>
          <w:b/>
          <w:color w:val="000000"/>
          <w:kern w:val="0"/>
          <w:sz w:val="24"/>
        </w:rPr>
        <w:t>报告期末投资组合平均剩余期限分布比例</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851"/>
        <w:gridCol w:w="3351"/>
        <w:gridCol w:w="2529"/>
        <w:gridCol w:w="2431"/>
      </w:tblGrid>
      <w:tr w:rsidR="00EA3F40" w:rsidRPr="0097021E" w:rsidTr="00C526E2">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kern w:val="0"/>
                <w:sz w:val="24"/>
              </w:rPr>
            </w:pPr>
            <w:r w:rsidRPr="007A1ACF">
              <w:rPr>
                <w:color w:val="000000"/>
                <w:kern w:val="0"/>
                <w:sz w:val="24"/>
              </w:rPr>
              <w:t>序号</w:t>
            </w:r>
          </w:p>
        </w:tc>
        <w:tc>
          <w:tcPr>
            <w:tcW w:type="dxa" w:w="3351"/>
            <w:vAlign w:val="center"/>
          </w:tcPr>
          <w:p w:rsidP="00196812" w:rsidR="00EA3F40" w:rsidRDefault="00EA3F40" w:rsidRPr="007A1ACF">
            <w:pPr>
              <w:autoSpaceDE w:val="0"/>
              <w:autoSpaceDN w:val="0"/>
              <w:adjustRightInd w:val="0"/>
              <w:spacing w:before="29" w:line="360" w:lineRule="auto"/>
              <w:ind w:left="15"/>
              <w:jc w:val="center"/>
              <w:rPr>
                <w:color w:val="000000"/>
                <w:kern w:val="0"/>
                <w:sz w:val="24"/>
              </w:rPr>
            </w:pPr>
            <w:r w:rsidRPr="007A1ACF">
              <w:rPr>
                <w:color w:val="000000"/>
                <w:kern w:val="0"/>
                <w:sz w:val="24"/>
              </w:rPr>
              <w:t>平均剩余期限</w:t>
            </w:r>
            <w:r w:rsidRPr="007A1ACF">
              <w:rPr>
                <w:color w:val="000000"/>
                <w:kern w:val="0"/>
                <w:sz w:val="24"/>
              </w:rPr>
              <w:t/>
            </w:r>
          </w:p>
        </w:tc>
        <w:tc>
          <w:tcPr>
            <w:tcW w:type="dxa" w:w="2529"/>
            <w:vAlign w:val="center"/>
          </w:tcPr>
          <w:p w:rsidP="00196812" w:rsidR="00EA3F40" w:rsidRDefault="00EA3F40" w:rsidRPr="007A1ACF">
            <w:pPr>
              <w:autoSpaceDE w:val="0"/>
              <w:autoSpaceDN w:val="0"/>
              <w:adjustRightInd w:val="0"/>
              <w:spacing w:before="29" w:line="360" w:lineRule="auto"/>
              <w:ind w:left="15"/>
              <w:jc w:val="center"/>
              <w:rPr>
                <w:color w:val="000000"/>
                <w:kern w:val="0"/>
                <w:sz w:val="24"/>
              </w:rPr>
            </w:pPr>
            <w:r w:rsidRPr="007A1ACF">
              <w:rPr>
                <w:color w:val="000000"/>
                <w:kern w:val="0"/>
                <w:sz w:val="24"/>
              </w:rPr>
              <w:t>各期限资产占基金资产净值的比例（</w:t>
            </w:r>
            <w:r w:rsidRPr="007A1ACF">
              <w:rPr>
                <w:color w:val="000000"/>
                <w:kern w:val="0"/>
                <w:sz w:val="24"/>
              </w:rPr>
              <w:t>%</w:t>
            </w:r>
            <w:r w:rsidRPr="007A1ACF">
              <w:rPr>
                <w:color w:val="000000"/>
                <w:kern w:val="0"/>
                <w:sz w:val="24"/>
              </w:rPr>
              <w:t>）</w:t>
            </w:r>
          </w:p>
        </w:tc>
        <w:tc>
          <w:tcPr>
            <w:tcW w:type="dxa" w:w="2431"/>
            <w:vAlign w:val="center"/>
          </w:tcPr>
          <w:p w:rsidP="00196812" w:rsidR="00EA3F40" w:rsidRDefault="00EA3F40" w:rsidRPr="007A1ACF">
            <w:pPr>
              <w:autoSpaceDE w:val="0"/>
              <w:autoSpaceDN w:val="0"/>
              <w:adjustRightInd w:val="0"/>
              <w:spacing w:before="29" w:line="360" w:lineRule="auto"/>
              <w:ind w:left="15"/>
              <w:jc w:val="center"/>
              <w:rPr>
                <w:color w:val="000000"/>
                <w:kern w:val="0"/>
                <w:sz w:val="24"/>
              </w:rPr>
            </w:pPr>
            <w:r w:rsidRPr="007A1ACF">
              <w:rPr>
                <w:color w:val="000000"/>
                <w:kern w:val="0"/>
                <w:sz w:val="24"/>
              </w:rPr>
              <w:t>各期限负债占基金资产净值的比例（％）</w:t>
            </w:r>
          </w:p>
        </w:tc>
      </w:tr>
      <w:tr w:rsidR="00EA3F40" w:rsidRPr="0097021E" w:rsidTr="00C526E2">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kern w:val="0"/>
                <w:sz w:val="24"/>
              </w:rPr>
            </w:pPr>
            <w:r w:rsidRPr="007A1ACF">
              <w:rPr>
                <w:color w:val="000000"/>
                <w:sz w:val="24"/>
              </w:rPr>
              <w:t>1</w:t>
            </w:r>
          </w:p>
        </w:tc>
        <w:tc>
          <w:tcPr>
            <w:tcW w:type="dxa" w:w="3351"/>
            <w:vAlign w:val="center"/>
          </w:tcPr>
          <w:p w:rsidP="00196812" w:rsidR="00EA3F40" w:rsidRDefault="00EA3F40" w:rsidRPr="007A1ACF">
            <w:pPr>
              <w:autoSpaceDE w:val="0"/>
              <w:autoSpaceDN w:val="0"/>
              <w:adjustRightInd w:val="0"/>
              <w:spacing w:before="29" w:line="360" w:lineRule="auto"/>
              <w:ind w:left="15"/>
              <w:jc w:val="left"/>
              <w:rPr>
                <w:color w:val="000000"/>
                <w:kern w:val="0"/>
                <w:sz w:val="24"/>
              </w:rPr>
            </w:pPr>
            <w:r w:rsidRPr="007A1ACF">
              <w:rPr>
                <w:color w:val="000000"/>
                <w:sz w:val="24"/>
              </w:rPr>
              <w:t>30</w:t>
            </w:r>
            <w:r w:rsidRPr="007A1ACF">
              <w:rPr>
                <w:color w:val="000000"/>
                <w:sz w:val="24"/>
              </w:rPr>
              <w:t>天以内</w:t>
            </w:r>
          </w:p>
        </w:tc>
        <w:tc>
          <w:tcPr>
            <w:tcW w:type="dxa" w:w="2529"/>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65.59</w:t>
            </w:r>
          </w:p>
        </w:tc>
        <w:tc>
          <w:tcPr>
            <w:tcW w:type="dxa" w:w="2431"/>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12.44</w:t>
            </w:r>
          </w:p>
        </w:tc>
      </w:tr>
      <w:tr w:rsidR="00EA3F40" w:rsidRPr="0097021E" w:rsidTr="00C526E2">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sz w:val="24"/>
              </w:rPr>
            </w:pPr>
          </w:p>
        </w:tc>
        <w:tc>
          <w:tcPr>
            <w:tcW w:type="dxa" w:w="3351"/>
            <w:vAlign w:val="center"/>
          </w:tcPr>
          <w:p w:rsidP="00196812" w:rsidR="00EA3F40" w:rsidRDefault="00EA3F40" w:rsidRPr="007A1ACF">
            <w:pPr>
              <w:autoSpaceDE w:val="0"/>
              <w:autoSpaceDN w:val="0"/>
              <w:adjustRightInd w:val="0"/>
              <w:spacing w:before="29" w:line="360" w:lineRule="auto"/>
              <w:ind w:left="15"/>
              <w:jc w:val="left"/>
              <w:rPr>
                <w:color w:val="000000"/>
                <w:kern w:val="0"/>
                <w:sz w:val="24"/>
              </w:rPr>
            </w:pPr>
            <w:r w:rsidRPr="007A1ACF">
              <w:rPr>
                <w:color w:val="000000"/>
                <w:sz w:val="24"/>
              </w:rPr>
              <w:t>其中：剩余存续期超过</w:t>
            </w:r>
            <w:r w:rsidRPr="007A1ACF">
              <w:rPr>
                <w:color w:val="000000"/>
                <w:sz w:val="24"/>
              </w:rPr>
              <w:t>397</w:t>
            </w:r>
            <w:r w:rsidRPr="007A1ACF">
              <w:rPr>
                <w:color w:val="000000"/>
                <w:sz w:val="24"/>
              </w:rPr>
              <w:t>天的浮动利率债</w:t>
            </w:r>
          </w:p>
        </w:tc>
        <w:tc>
          <w:tcPr>
            <w:tcW w:type="dxa" w:w="2529"/>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
            </w:r>
            <w:r w:rsidRPr="007A1ACF">
              <w:rPr>
                <w:color w:val="000000"/>
                <w:sz w:val="24"/>
              </w:rPr>
              <w:lastRenderedPageBreak/>
              <w:t>-</w:t>
            </w:r>
          </w:p>
        </w:tc>
        <w:tc>
          <w:tcPr>
            <w:tcW w:type="dxa" w:w="2431"/>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lastRenderedPageBreak/>
              <w:t/>
            </w:r>
            <w:r w:rsidRPr="007A1ACF">
              <w:rPr>
                <w:color w:val="000000"/>
                <w:sz w:val="24"/>
              </w:rPr>
              <w:lastRenderedPageBreak/>
              <w:t>-</w:t>
            </w:r>
          </w:p>
        </w:tc>
      </w:tr>
      <w:tr w:rsidR="00EA3F40" w:rsidRPr="0097021E" w:rsidTr="00C526E2">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sz w:val="24"/>
              </w:rPr>
            </w:pPr>
            <w:r w:rsidRPr="007A1ACF">
              <w:rPr>
                <w:color w:val="000000"/>
                <w:sz w:val="24"/>
              </w:rPr>
              <w:lastRenderedPageBreak/>
              <w:t>2</w:t>
            </w:r>
          </w:p>
        </w:tc>
        <w:tc>
          <w:tcPr>
            <w:tcW w:type="dxa" w:w="3351"/>
            <w:vAlign w:val="center"/>
          </w:tcPr>
          <w:p w:rsidP="00196812" w:rsidR="00EA3F40" w:rsidRDefault="00EA3F40" w:rsidRPr="007A1ACF">
            <w:pPr>
              <w:autoSpaceDE w:val="0"/>
              <w:autoSpaceDN w:val="0"/>
              <w:adjustRightInd w:val="0"/>
              <w:spacing w:before="29" w:line="360" w:lineRule="auto"/>
              <w:ind w:left="15"/>
              <w:jc w:val="left"/>
              <w:rPr>
                <w:color w:val="000000"/>
                <w:kern w:val="0"/>
                <w:sz w:val="24"/>
              </w:rPr>
            </w:pPr>
            <w:r w:rsidRPr="007A1ACF">
              <w:rPr>
                <w:color w:val="000000"/>
                <w:sz w:val="24"/>
              </w:rPr>
              <w:t>30</w:t>
            </w:r>
            <w:r w:rsidRPr="007A1ACF">
              <w:rPr>
                <w:color w:val="000000"/>
                <w:sz w:val="24"/>
              </w:rPr>
              <w:t>天（含）</w:t>
            </w:r>
            <w:r w:rsidRPr="007A1ACF">
              <w:rPr>
                <w:color w:val="000000"/>
                <w:sz w:val="24"/>
              </w:rPr>
              <w:t>—60</w:t>
            </w:r>
            <w:r w:rsidRPr="007A1ACF">
              <w:rPr>
                <w:color w:val="000000"/>
                <w:sz w:val="24"/>
              </w:rPr>
              <w:t>天</w:t>
            </w:r>
          </w:p>
        </w:tc>
        <w:tc>
          <w:tcPr>
            <w:tcW w:type="dxa" w:w="2529"/>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3.79</w:t>
            </w:r>
          </w:p>
        </w:tc>
        <w:tc>
          <w:tcPr>
            <w:tcW w:type="dxa" w:w="2431"/>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r>
      <w:tr w:rsidR="00EA3F40" w:rsidRPr="0097021E" w:rsidTr="00C526E2">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sz w:val="24"/>
              </w:rPr>
            </w:pPr>
          </w:p>
        </w:tc>
        <w:tc>
          <w:tcPr>
            <w:tcW w:type="dxa" w:w="3351"/>
            <w:vAlign w:val="center"/>
          </w:tcPr>
          <w:p w:rsidP="00196812" w:rsidR="00EA3F40" w:rsidRDefault="00EA3F40" w:rsidRPr="007A1ACF">
            <w:pPr>
              <w:autoSpaceDE w:val="0"/>
              <w:autoSpaceDN w:val="0"/>
              <w:adjustRightInd w:val="0"/>
              <w:spacing w:before="29" w:line="360" w:lineRule="auto"/>
              <w:ind w:left="15"/>
              <w:jc w:val="left"/>
              <w:rPr>
                <w:color w:val="000000"/>
                <w:kern w:val="0"/>
                <w:sz w:val="24"/>
              </w:rPr>
            </w:pPr>
            <w:r w:rsidRPr="007A1ACF">
              <w:rPr>
                <w:color w:val="000000"/>
                <w:sz w:val="24"/>
              </w:rPr>
              <w:t>其中：剩余存续期超过</w:t>
            </w:r>
            <w:r w:rsidRPr="007A1ACF">
              <w:rPr>
                <w:color w:val="000000"/>
                <w:sz w:val="24"/>
              </w:rPr>
              <w:t>397</w:t>
            </w:r>
            <w:r w:rsidRPr="007A1ACF">
              <w:rPr>
                <w:color w:val="000000"/>
                <w:sz w:val="24"/>
              </w:rPr>
              <w:t>天的浮动利率债</w:t>
            </w:r>
          </w:p>
        </w:tc>
        <w:tc>
          <w:tcPr>
            <w:tcW w:type="dxa" w:w="2529"/>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c>
          <w:tcPr>
            <w:tcW w:type="dxa" w:w="2431"/>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r>
      <w:tr w:rsidR="00EA3F40" w:rsidRPr="0097021E" w:rsidTr="00C526E2">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sz w:val="24"/>
              </w:rPr>
            </w:pPr>
            <w:r w:rsidRPr="007A1ACF">
              <w:rPr>
                <w:color w:val="000000"/>
                <w:sz w:val="24"/>
              </w:rPr>
              <w:t>3</w:t>
            </w:r>
          </w:p>
        </w:tc>
        <w:tc>
          <w:tcPr>
            <w:tcW w:type="dxa" w:w="3351"/>
            <w:vAlign w:val="center"/>
          </w:tcPr>
          <w:p w:rsidP="00196812" w:rsidR="00EA3F40" w:rsidRDefault="00EA3F40" w:rsidRPr="007A1ACF">
            <w:pPr>
              <w:autoSpaceDE w:val="0"/>
              <w:autoSpaceDN w:val="0"/>
              <w:adjustRightInd w:val="0"/>
              <w:spacing w:before="29" w:line="360" w:lineRule="auto"/>
              <w:ind w:left="15"/>
              <w:jc w:val="left"/>
              <w:rPr>
                <w:color w:val="000000"/>
                <w:sz w:val="24"/>
              </w:rPr>
            </w:pPr>
            <w:r w:rsidRPr="007A1ACF">
              <w:rPr>
                <w:color w:val="000000"/>
                <w:sz w:val="24"/>
              </w:rPr>
              <w:t>60</w:t>
            </w:r>
            <w:r w:rsidRPr="007A1ACF">
              <w:rPr>
                <w:color w:val="000000"/>
                <w:sz w:val="24"/>
              </w:rPr>
              <w:t>天（含）</w:t>
            </w:r>
            <w:r w:rsidRPr="007A1ACF">
              <w:rPr>
                <w:color w:val="000000"/>
                <w:sz w:val="24"/>
              </w:rPr>
              <w:t>—90</w:t>
            </w:r>
            <w:r w:rsidRPr="007A1ACF">
              <w:rPr>
                <w:color w:val="000000"/>
                <w:sz w:val="24"/>
              </w:rPr>
              <w:t>天</w:t>
            </w:r>
          </w:p>
        </w:tc>
        <w:tc>
          <w:tcPr>
            <w:tcW w:type="dxa" w:w="2529"/>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9.32</w:t>
            </w:r>
          </w:p>
        </w:tc>
        <w:tc>
          <w:tcPr>
            <w:tcW w:type="dxa" w:w="2431"/>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r>
      <w:tr w:rsidR="00EA3F40" w:rsidRPr="0097021E" w:rsidTr="00C526E2">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sz w:val="24"/>
              </w:rPr>
            </w:pPr>
          </w:p>
        </w:tc>
        <w:tc>
          <w:tcPr>
            <w:tcW w:type="dxa" w:w="3351"/>
            <w:vAlign w:val="center"/>
          </w:tcPr>
          <w:p w:rsidP="00196812" w:rsidR="00EA3F40" w:rsidRDefault="00EA3F40" w:rsidRPr="007A1ACF">
            <w:pPr>
              <w:autoSpaceDE w:val="0"/>
              <w:autoSpaceDN w:val="0"/>
              <w:adjustRightInd w:val="0"/>
              <w:spacing w:before="29" w:line="360" w:lineRule="auto"/>
              <w:ind w:left="15"/>
              <w:jc w:val="left"/>
              <w:rPr>
                <w:color w:val="000000"/>
                <w:sz w:val="24"/>
              </w:rPr>
            </w:pPr>
            <w:r w:rsidRPr="007A1ACF">
              <w:rPr>
                <w:color w:val="000000"/>
                <w:sz w:val="24"/>
              </w:rPr>
              <w:t>其中：剩余存续期超过</w:t>
            </w:r>
            <w:r w:rsidRPr="007A1ACF">
              <w:rPr>
                <w:color w:val="000000"/>
                <w:sz w:val="24"/>
              </w:rPr>
              <w:t>397</w:t>
            </w:r>
            <w:r w:rsidRPr="007A1ACF">
              <w:rPr>
                <w:color w:val="000000"/>
                <w:sz w:val="24"/>
              </w:rPr>
              <w:t>天的浮动利率债</w:t>
            </w:r>
          </w:p>
        </w:tc>
        <w:tc>
          <w:tcPr>
            <w:tcW w:type="dxa" w:w="2529"/>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c>
          <w:tcPr>
            <w:tcW w:type="dxa" w:w="2431"/>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r>
      <w:tr w:rsidR="00546492" w:rsidRPr="0097021E" w:rsidTr="00C526E2">
        <w:tc>
          <w:tcPr>
            <w:tcW w:type="dxa" w:w="851"/>
            <w:vAlign w:val="center"/>
          </w:tcPr>
          <w:p w:rsidP="00196812" w:rsidR="00546492" w:rsidRDefault="00546492" w:rsidRPr="007A1ACF">
            <w:pPr>
              <w:autoSpaceDE w:val="0"/>
              <w:autoSpaceDN w:val="0"/>
              <w:adjustRightInd w:val="0"/>
              <w:spacing w:before="29" w:line="360" w:lineRule="auto"/>
              <w:ind w:left="15"/>
              <w:jc w:val="center"/>
              <w:rPr>
                <w:color w:val="000000"/>
                <w:sz w:val="24"/>
              </w:rPr>
            </w:pPr>
            <w:r w:rsidRPr="007A1ACF">
              <w:rPr>
                <w:color w:val="000000"/>
                <w:sz w:val="24"/>
              </w:rPr>
              <w:t>4</w:t>
            </w:r>
          </w:p>
        </w:tc>
        <w:tc>
          <w:tcPr>
            <w:tcW w:type="dxa" w:w="3351"/>
            <w:vAlign w:val="center"/>
          </w:tcPr>
          <w:p w:rsidP="00546492" w:rsidR="00546492" w:rsidRDefault="00546492" w:rsidRPr="009F2322">
            <w:pPr>
              <w:autoSpaceDE w:val="0"/>
              <w:autoSpaceDN w:val="0"/>
              <w:adjustRightInd w:val="0"/>
              <w:spacing w:before="29" w:line="360" w:lineRule="auto"/>
              <w:ind w:left="15"/>
              <w:jc w:val="left"/>
              <w:rPr>
                <w:color w:val="000000"/>
                <w:sz w:val="24"/>
              </w:rPr>
            </w:pPr>
            <w:r w:rsidRPr="009F2322">
              <w:rPr>
                <w:color w:val="000000"/>
                <w:sz w:val="24"/>
              </w:rPr>
              <w:t>90</w:t>
            </w:r>
            <w:r w:rsidRPr="009F2322">
              <w:rPr>
                <w:color w:val="000000"/>
                <w:sz w:val="24"/>
              </w:rPr>
              <w:t>天（含）</w:t>
            </w:r>
            <w:r w:rsidRPr="009F2322">
              <w:rPr>
                <w:color w:val="000000"/>
                <w:sz w:val="24"/>
              </w:rPr>
              <w:t>—120</w:t>
            </w:r>
            <w:r w:rsidRPr="009F2322">
              <w:rPr>
                <w:color w:val="000000"/>
                <w:sz w:val="24"/>
              </w:rPr>
              <w:t>天</w:t>
            </w:r>
          </w:p>
        </w:tc>
        <w:tc>
          <w:tcPr>
            <w:tcW w:type="dxa" w:w="2529"/>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9.51</w:t>
            </w:r>
          </w:p>
        </w:tc>
        <w:tc>
          <w:tcPr>
            <w:tcW w:type="dxa" w:w="2431"/>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w:t>
            </w:r>
          </w:p>
        </w:tc>
      </w:tr>
      <w:tr w:rsidR="00546492" w:rsidRPr="0097021E" w:rsidTr="00C526E2">
        <w:tc>
          <w:tcPr>
            <w:tcW w:type="dxa" w:w="851"/>
            <w:vAlign w:val="center"/>
          </w:tcPr>
          <w:p w:rsidP="00196812" w:rsidR="00546492" w:rsidRDefault="00546492" w:rsidRPr="007A1ACF">
            <w:pPr>
              <w:autoSpaceDE w:val="0"/>
              <w:autoSpaceDN w:val="0"/>
              <w:adjustRightInd w:val="0"/>
              <w:spacing w:before="29" w:line="360" w:lineRule="auto"/>
              <w:ind w:left="15"/>
              <w:jc w:val="center"/>
              <w:rPr>
                <w:color w:val="000000"/>
                <w:sz w:val="24"/>
              </w:rPr>
            </w:pPr>
          </w:p>
        </w:tc>
        <w:tc>
          <w:tcPr>
            <w:tcW w:type="dxa" w:w="3351"/>
            <w:vAlign w:val="center"/>
          </w:tcPr>
          <w:p w:rsidP="00546492" w:rsidR="00546492" w:rsidRDefault="00546492" w:rsidRPr="009F2322">
            <w:pPr>
              <w:autoSpaceDE w:val="0"/>
              <w:autoSpaceDN w:val="0"/>
              <w:adjustRightInd w:val="0"/>
              <w:spacing w:before="29" w:line="360" w:lineRule="auto"/>
              <w:ind w:left="15"/>
              <w:jc w:val="left"/>
              <w:rPr>
                <w:color w:val="000000"/>
                <w:sz w:val="24"/>
              </w:rPr>
            </w:pPr>
            <w:r w:rsidRPr="009F2322">
              <w:rPr>
                <w:color w:val="000000"/>
                <w:sz w:val="24"/>
              </w:rPr>
              <w:t>其中：剩余存续期超过</w:t>
            </w:r>
            <w:r w:rsidRPr="009F2322">
              <w:rPr>
                <w:color w:val="000000"/>
                <w:sz w:val="24"/>
              </w:rPr>
              <w:t>397</w:t>
            </w:r>
            <w:r w:rsidRPr="009F2322">
              <w:rPr>
                <w:color w:val="000000"/>
                <w:sz w:val="24"/>
              </w:rPr>
              <w:t>天的浮动利率债</w:t>
            </w:r>
          </w:p>
        </w:tc>
        <w:tc>
          <w:tcPr>
            <w:tcW w:type="dxa" w:w="2529"/>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
            </w:r>
            <w:r w:rsidRPr="009F2322">
              <w:rPr>
                <w:color w:val="000000"/>
                <w:sz w:val="24"/>
              </w:rPr>
              <w:lastRenderedPageBreak/>
              <w:t>-</w:t>
            </w:r>
          </w:p>
        </w:tc>
        <w:tc>
          <w:tcPr>
            <w:tcW w:type="dxa" w:w="2431"/>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lastRenderedPageBreak/>
              <w:t/>
            </w:r>
            <w:r w:rsidRPr="009F2322">
              <w:rPr>
                <w:color w:val="000000"/>
                <w:sz w:val="24"/>
              </w:rPr>
              <w:lastRenderedPageBreak/>
              <w:t>-</w:t>
            </w:r>
          </w:p>
        </w:tc>
      </w:tr>
      <w:tr w:rsidR="00546492" w:rsidRPr="0097021E" w:rsidTr="00C526E2">
        <w:tc>
          <w:tcPr>
            <w:tcW w:type="dxa" w:w="851"/>
            <w:vAlign w:val="center"/>
          </w:tcPr>
          <w:p w:rsidP="00196812" w:rsidR="00546492" w:rsidRDefault="00546492" w:rsidRPr="007A1ACF">
            <w:pPr>
              <w:autoSpaceDE w:val="0"/>
              <w:autoSpaceDN w:val="0"/>
              <w:adjustRightInd w:val="0"/>
              <w:spacing w:before="29" w:line="360" w:lineRule="auto"/>
              <w:ind w:left="15"/>
              <w:jc w:val="center"/>
              <w:rPr>
                <w:color w:val="000000"/>
                <w:sz w:val="24"/>
              </w:rPr>
            </w:pPr>
            <w:r w:rsidRPr="007A1ACF">
              <w:rPr>
                <w:color w:val="000000"/>
                <w:sz w:val="24"/>
              </w:rPr>
              <w:lastRenderedPageBreak/>
              <w:t>5</w:t>
            </w:r>
          </w:p>
        </w:tc>
        <w:tc>
          <w:tcPr>
            <w:tcW w:type="dxa" w:w="3351"/>
            <w:vAlign w:val="center"/>
          </w:tcPr>
          <w:p w:rsidP="00546492" w:rsidR="00546492" w:rsidRDefault="00546492" w:rsidRPr="009F2322">
            <w:pPr>
              <w:autoSpaceDE w:val="0"/>
              <w:autoSpaceDN w:val="0"/>
              <w:adjustRightInd w:val="0"/>
              <w:spacing w:before="29" w:line="360" w:lineRule="auto"/>
              <w:ind w:left="15"/>
              <w:jc w:val="left"/>
              <w:rPr>
                <w:color w:val="000000"/>
                <w:sz w:val="24"/>
              </w:rPr>
            </w:pPr>
            <w:r w:rsidRPr="009F2322">
              <w:rPr>
                <w:color w:val="000000"/>
                <w:sz w:val="24"/>
              </w:rPr>
              <w:t>120</w:t>
            </w:r>
            <w:r w:rsidRPr="009F2322">
              <w:rPr>
                <w:color w:val="000000"/>
                <w:sz w:val="24"/>
              </w:rPr>
              <w:t>天（含）</w:t>
            </w:r>
            <w:r w:rsidRPr="009F2322">
              <w:rPr>
                <w:color w:val="000000"/>
                <w:sz w:val="24"/>
              </w:rPr>
              <w:t>—397</w:t>
            </w:r>
            <w:r w:rsidRPr="009F2322">
              <w:rPr>
                <w:color w:val="000000"/>
                <w:sz w:val="24"/>
              </w:rPr>
              <w:t>天（含）</w:t>
            </w:r>
          </w:p>
        </w:tc>
        <w:tc>
          <w:tcPr>
            <w:tcW w:type="dxa" w:w="2529"/>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23.64</w:t>
            </w:r>
          </w:p>
        </w:tc>
        <w:tc>
          <w:tcPr>
            <w:tcW w:type="dxa" w:w="2431"/>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w:t>
            </w:r>
          </w:p>
        </w:tc>
      </w:tr>
      <w:tr w:rsidR="00546492" w:rsidRPr="0097021E" w:rsidTr="00C526E2">
        <w:tc>
          <w:tcPr>
            <w:tcW w:type="dxa" w:w="851"/>
            <w:vAlign w:val="center"/>
          </w:tcPr>
          <w:p w:rsidP="00196812" w:rsidR="00546492" w:rsidRDefault="00546492" w:rsidRPr="007A1ACF">
            <w:pPr>
              <w:autoSpaceDE w:val="0"/>
              <w:autoSpaceDN w:val="0"/>
              <w:adjustRightInd w:val="0"/>
              <w:spacing w:before="29" w:line="360" w:lineRule="auto"/>
              <w:ind w:left="15"/>
              <w:jc w:val="center"/>
              <w:rPr>
                <w:color w:val="000000"/>
                <w:sz w:val="24"/>
              </w:rPr>
            </w:pPr>
          </w:p>
        </w:tc>
        <w:tc>
          <w:tcPr>
            <w:tcW w:type="dxa" w:w="3351"/>
            <w:vAlign w:val="center"/>
          </w:tcPr>
          <w:p w:rsidP="00546492" w:rsidR="00546492" w:rsidRDefault="00546492" w:rsidRPr="009F2322">
            <w:pPr>
              <w:autoSpaceDE w:val="0"/>
              <w:autoSpaceDN w:val="0"/>
              <w:adjustRightInd w:val="0"/>
              <w:spacing w:before="29" w:line="360" w:lineRule="auto"/>
              <w:ind w:left="15"/>
              <w:jc w:val="left"/>
              <w:rPr>
                <w:color w:val="000000"/>
                <w:sz w:val="24"/>
              </w:rPr>
            </w:pPr>
            <w:r w:rsidRPr="009F2322">
              <w:rPr>
                <w:color w:val="000000"/>
                <w:sz w:val="24"/>
              </w:rPr>
              <w:t>其中：剩余存续期超过</w:t>
            </w:r>
            <w:r w:rsidRPr="009F2322">
              <w:rPr>
                <w:color w:val="000000"/>
                <w:sz w:val="24"/>
              </w:rPr>
              <w:t>397</w:t>
            </w:r>
            <w:r w:rsidRPr="009F2322">
              <w:rPr>
                <w:color w:val="000000"/>
                <w:sz w:val="24"/>
              </w:rPr>
              <w:t>天的浮动利率债</w:t>
            </w:r>
          </w:p>
        </w:tc>
        <w:tc>
          <w:tcPr>
            <w:tcW w:type="dxa" w:w="2529"/>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w:t>
            </w:r>
          </w:p>
        </w:tc>
        <w:tc>
          <w:tcPr>
            <w:tcW w:type="dxa" w:w="2431"/>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w:t>
            </w:r>
          </w:p>
        </w:tc>
      </w:tr>
      <w:tr w:rsidR="00546492" w:rsidRPr="0097021E" w:rsidTr="00C526E2">
        <w:tc>
          <w:tcPr>
            <w:tcW w:type="dxa" w:w="4202"/>
            <w:gridSpan w:val="2"/>
            <w:vAlign w:val="center"/>
          </w:tcPr>
          <w:p w:rsidP="00196812" w:rsidR="00546492" w:rsidRDefault="00546492" w:rsidRPr="007A1ACF">
            <w:pPr>
              <w:autoSpaceDE w:val="0"/>
              <w:autoSpaceDN w:val="0"/>
              <w:adjustRightInd w:val="0"/>
              <w:spacing w:before="29" w:line="360" w:lineRule="auto"/>
              <w:ind w:left="15"/>
              <w:jc w:val="center"/>
              <w:rPr>
                <w:color w:val="000000"/>
                <w:sz w:val="24"/>
              </w:rPr>
            </w:pPr>
            <w:r w:rsidRPr="007A1ACF">
              <w:rPr>
                <w:color w:val="000000"/>
                <w:sz w:val="24"/>
              </w:rPr>
              <w:t>合计</w:t>
            </w:r>
          </w:p>
        </w:tc>
        <w:tc>
          <w:tcPr>
            <w:tcW w:type="dxa" w:w="2529"/>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111.84</w:t>
            </w:r>
          </w:p>
        </w:tc>
        <w:tc>
          <w:tcPr>
            <w:tcW w:type="dxa" w:w="2431"/>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12.44</w:t>
            </w:r>
          </w:p>
        </w:tc>
      </w:tr>
    </w:tbl>
    <w:p w:rsidP="007A1ACF" w:rsidR="007A1ACF" w:rsidRDefault="007A1ACF" w:rsidRPr="007A1ACF">
      <w:pPr>
        <w:spacing w:line="360" w:lineRule="auto"/>
        <w:rPr>
          <w:rFonts w:ascii="宋体" w:cs="Arial" w:hAnsi="宋体"/>
          <w:b/>
          <w:color w:val="000000"/>
          <w:kern w:val="0"/>
          <w:sz w:val="24"/>
        </w:rPr>
      </w:pPr>
      <w:r w:rsidRPr="007A1ACF">
        <w:rPr>
          <w:rFonts w:ascii="宋体" w:cs="Arial" w:hAnsi="宋体" w:hint="eastAsia"/>
          <w:b/>
          <w:color w:val="000000"/>
          <w:kern w:val="0"/>
          <w:sz w:val="24"/>
        </w:rPr>
        <w:t>5.4</w:t>
      </w:r>
      <w:r>
        <w:rPr>
          <w:rFonts w:ascii="宋体" w:hAnsi="宋体" w:hint="eastAsia"/>
          <w:b/>
          <w:color w:val="000000"/>
          <w:sz w:val="24"/>
        </w:rPr>
        <w:t>报告期内投资组合平均剩余存续期超过240天情况说明</w:t>
      </w:r>
    </w:p>
    <w:p w:rsidP="00613409" w:rsidR="007A1ACF" w:rsidRDefault="007A1ACF" w:rsidRPr="007A1ACF">
      <w:pPr>
        <w:adjustRightInd w:val="0"/>
        <w:spacing w:line="360" w:lineRule="auto"/>
        <w:ind w:firstLine="480" w:firstLineChars="200"/>
        <w:rPr>
          <w:color w:val="000000"/>
          <w:sz w:val="24"/>
        </w:rPr>
      </w:pPr>
      <w:r w:rsidRPr="007A1ACF">
        <w:rPr>
          <w:color w:val="000000"/>
          <w:sz w:val="24"/>
        </w:rPr>
        <w:t>本报告期内本货币市场基金投资组合平均剩余存续期未超过240天。</w:t>
      </w:r>
    </w:p>
    <w:p w:rsidP="00710B11" w:rsidR="00710B11" w:rsidRDefault="00EA3F40" w:rsidRPr="00675D72">
      <w:pPr>
        <w:spacing w:line="360" w:lineRule="auto"/>
        <w:rPr>
          <w:b/>
          <w:color w:val="000000"/>
          <w:kern w:val="0"/>
          <w:sz w:val="24"/>
        </w:rPr>
      </w:pPr>
      <w:r w:rsidRPr="0097021E">
        <w:rPr>
          <w:rFonts w:ascii="宋体" w:cs="Arial" w:hAnsi="宋体"/>
          <w:b/>
          <w:color w:val="000000"/>
          <w:kern w:val="0"/>
          <w:sz w:val="24"/>
        </w:rPr>
        <w:lastRenderedPageBreak/>
        <w:t>5.</w:t>
      </w:r>
      <w:r w:rsidR="007A1ACF">
        <w:rPr>
          <w:rFonts w:ascii="宋体" w:cs="Arial" w:hAnsi="宋体" w:hint="eastAsia"/>
          <w:b/>
          <w:color w:val="000000"/>
          <w:kern w:val="0"/>
          <w:sz w:val="24"/>
        </w:rPr>
        <w:t>5</w:t>
      </w:r>
      <w:r w:rsidRPr="0097021E">
        <w:rPr>
          <w:rFonts w:ascii="宋体" w:cs="Arial" w:hAnsi="宋体"/>
          <w:b/>
          <w:color w:val="000000"/>
          <w:kern w:val="0"/>
          <w:sz w:val="24"/>
        </w:rPr>
        <w:t xml:space="preserve"> </w:t>
      </w:r>
      <w:r w:rsidRPr="0097021E">
        <w:rPr>
          <w:rFonts w:ascii="宋体" w:cs="Arial" w:hAnsi="宋体" w:hint="eastAsia"/>
          <w:b/>
          <w:color w:val="000000"/>
          <w:kern w:val="0"/>
          <w:sz w:val="24"/>
        </w:rPr>
        <w:t>报告期末按债券品种分类的债券投资组合</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3119"/>
        <w:gridCol w:w="1984"/>
      </w:tblGrid>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序号</w:t>
            </w:r>
          </w:p>
        </w:tc>
        <w:tc>
          <w:tcPr>
            <w:tcW w:type="dxa" w:w="3260"/>
            <w:vAlign w:val="center"/>
          </w:tcPr>
          <w:p w:rsidP="00546492" w:rsidR="00710B11" w:rsidRDefault="00710B11" w:rsidRPr="00675D72">
            <w:pPr>
              <w:spacing w:before="29" w:line="360" w:lineRule="auto"/>
              <w:ind w:left="17"/>
              <w:jc w:val="center"/>
              <w:rPr>
                <w:color w:val="000000"/>
                <w:sz w:val="24"/>
              </w:rPr>
            </w:pPr>
            <w:r w:rsidRPr="00675D72">
              <w:rPr>
                <w:color w:val="000000"/>
                <w:sz w:val="24"/>
              </w:rPr>
              <w:t>债券品种</w:t>
            </w:r>
            <w:r w:rsidRPr="00675D72">
              <w:rPr>
                <w:color w:val="000000"/>
                <w:sz w:val="24"/>
              </w:rPr>
              <w:t/>
            </w:r>
          </w:p>
        </w:tc>
        <w:tc>
          <w:tcPr>
            <w:tcW w:type="dxa" w:w="3119"/>
            <w:vAlign w:val="center"/>
          </w:tcPr>
          <w:p w:rsidP="00546492" w:rsidR="00710B11" w:rsidRDefault="00710B11" w:rsidRPr="00675D72">
            <w:pPr>
              <w:spacing w:before="29" w:line="360" w:lineRule="auto"/>
              <w:ind w:left="17"/>
              <w:jc w:val="center"/>
              <w:rPr>
                <w:color w:val="000000"/>
                <w:sz w:val="24"/>
              </w:rPr>
            </w:pPr>
            <w:r w:rsidRPr="00675D72">
              <w:rPr>
                <w:color w:val="000000"/>
                <w:sz w:val="24"/>
              </w:rPr>
              <w:t>摊余成本（元）</w:t>
            </w:r>
          </w:p>
        </w:tc>
        <w:tc>
          <w:tcPr>
            <w:tcW w:type="dxa" w:w="1984"/>
            <w:vAlign w:val="center"/>
          </w:tcPr>
          <w:p w:rsidP="00546492" w:rsidR="00710B11" w:rsidRDefault="00710B11" w:rsidRPr="00675D72">
            <w:pPr>
              <w:spacing w:before="29" w:line="360" w:lineRule="auto"/>
              <w:ind w:left="17"/>
              <w:jc w:val="center"/>
              <w:rPr>
                <w:color w:val="000000"/>
                <w:sz w:val="24"/>
              </w:rPr>
            </w:pPr>
            <w:r w:rsidRPr="00675D72">
              <w:rPr>
                <w:color w:val="000000"/>
                <w:sz w:val="24"/>
              </w:rPr>
              <w:t>占基金资产净值比例</w:t>
            </w:r>
            <w:r w:rsidRPr="00675D72">
              <w:rPr>
                <w:color w:val="000000"/>
                <w:sz w:val="24"/>
              </w:rPr>
              <w:t>(</w:t>
            </w:r>
            <w:r w:rsidRPr="00675D72">
              <w:rPr>
                <w:color w:val="000000"/>
                <w:sz w:val="24"/>
              </w:rPr>
              <w:t>％</w:t>
            </w:r>
            <w:r w:rsidRPr="00675D72">
              <w:rPr>
                <w:color w:val="000000"/>
                <w:sz w:val="24"/>
              </w:rPr>
              <w:t>)</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1</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国家债券</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1,351,636,587.72</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5.72</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2</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央行票据</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3</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金融债券</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413,768,324.66</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1.75</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其中：政策性金融债</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413,768,324.66</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1.75</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4</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企业债券</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
            </w:r>
            <w:r w:rsidRPr="00675D72">
              <w:rPr>
                <w:color w:val="000000"/>
                <w:sz w:val="24"/>
              </w:rPr>
              <w:lastRenderedPageBreak/>
              <w:t>-</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lastRenderedPageBreak/>
              <w:t>5</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企业短期融资券</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6</w:t>
            </w:r>
          </w:p>
        </w:tc>
        <w:tc>
          <w:tcPr>
            <w:tcW w:type="dxa" w:w="3260"/>
            <w:vAlign w:val="center"/>
          </w:tcPr>
          <w:p w:rsidP="00C91200" w:rsidR="00710B11" w:rsidRDefault="00710B11" w:rsidRPr="00675D72">
            <w:pPr>
              <w:spacing w:before="29" w:line="360" w:lineRule="auto"/>
              <w:ind w:left="17"/>
              <w:jc w:val="left"/>
              <w:rPr>
                <w:color w:val="000000"/>
                <w:sz w:val="24"/>
              </w:rPr>
            </w:pPr>
            <w:r w:rsidRPr="00675D72">
              <w:rPr>
                <w:color w:val="000000"/>
                <w:sz w:val="24"/>
              </w:rPr>
              <w:t>中期票据</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7</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同业存单</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9,451,044,074.51</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39.97</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8</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其他</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lastRenderedPageBreak/>
              <w:t>9</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合计</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11,216,448,986.89</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47.44</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10</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剩余存续期超过</w:t>
            </w:r>
            <w:r w:rsidRPr="00675D72">
              <w:rPr>
                <w:color w:val="000000"/>
                <w:sz w:val="24"/>
              </w:rPr>
              <w:t>397</w:t>
            </w:r>
            <w:r w:rsidRPr="00675D72">
              <w:rPr>
                <w:color w:val="000000"/>
                <w:sz w:val="24"/>
              </w:rPr>
              <w:t>天的浮动利率债券</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r>
    </w:tbl>
    <w:p w:rsidP="00196812"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5.</w:t>
      </w:r>
      <w:r w:rsidR="007A1ACF">
        <w:rPr>
          <w:rFonts w:ascii="宋体" w:cs="Arial" w:hAnsi="宋体" w:hint="eastAsia"/>
          <w:b/>
          <w:color w:val="000000"/>
          <w:kern w:val="0"/>
          <w:sz w:val="24"/>
        </w:rPr>
        <w:t>6</w:t>
      </w:r>
      <w:r w:rsidRPr="0097021E">
        <w:rPr>
          <w:rFonts w:ascii="宋体" w:cs="Arial" w:hAnsi="宋体"/>
          <w:b/>
          <w:color w:val="000000"/>
          <w:kern w:val="0"/>
          <w:sz w:val="24"/>
        </w:rPr>
        <w:t xml:space="preserve"> </w:t>
      </w:r>
      <w:r w:rsidR="00AD6777">
        <w:rPr>
          <w:rFonts w:ascii="宋体" w:cs="Arial" w:hAnsi="宋体" w:hint="eastAsia"/>
          <w:b/>
          <w:color w:val="000000"/>
          <w:kern w:val="0"/>
          <w:sz w:val="24"/>
        </w:rPr>
        <w:t>报告期末按摊余成本占基金资产净值比例大小排名</w:t>
      </w:r>
      <w:r w:rsidRPr="0097021E">
        <w:rPr>
          <w:rFonts w:ascii="宋体" w:cs="Arial" w:hAnsi="宋体" w:hint="eastAsia"/>
          <w:b/>
          <w:color w:val="000000"/>
          <w:kern w:val="0"/>
          <w:sz w:val="24"/>
        </w:rPr>
        <w:t>的前十名债券投资明细</w:t>
      </w:r>
    </w:p>
    <w:tbl>
      <w:tblPr>
        <w:tblW w:type="auto" w:w="0"/>
        <w:tblInd w:type="dxa" w:w="15"/>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ook w:firstColumn="1" w:firstRow="1" w:lastColumn="0" w:lastRow="0" w:noHBand="0" w:noVBand="0" w:val="00A0"/>
      </w:tblPr>
      <w:tblGrid>
        <w:gridCol w:w="1227"/>
        <w:gridCol w:w="1226"/>
        <w:gridCol w:w="1226"/>
        <w:gridCol w:w="2047"/>
        <w:gridCol w:w="1840"/>
        <w:gridCol w:w="1721"/>
      </w:tblGrid>
      <w:tr w:rsidR="00EA3F40" w:rsidRPr="0097021E" w:rsidTr="00053472">
        <w:tc>
          <w:tcPr>
            <w:tcW w:type="dxa" w:w="1262"/>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序号</w:t>
            </w:r>
          </w:p>
        </w:tc>
        <w:tc>
          <w:tcPr>
            <w:tcW w:type="dxa" w:w="1262"/>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债券代码</w:t>
            </w:r>
          </w:p>
        </w:tc>
        <w:tc>
          <w:tcPr>
            <w:tcW w:type="dxa" w:w="1262"/>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债券名称</w:t>
            </w:r>
          </w:p>
        </w:tc>
        <w:tc>
          <w:tcPr>
            <w:tcW w:type="dxa" w:w="2119"/>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债券数量</w:t>
            </w:r>
          </w:p>
          <w:p w:rsidP="007C3671" w:rsidR="00EA3F40" w:rsidRDefault="007C3671"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（张）</w:t>
            </w:r>
          </w:p>
        </w:tc>
        <w:tc>
          <w:tcPr>
            <w:tcW w:type="dxa" w:w="1787"/>
            <w:vAlign w:val="center"/>
          </w:tcPr>
          <w:p w:rsidP="007C3671"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摊余成本</w:t>
            </w:r>
            <w:r w:rsidR="007C3671" w:rsidRPr="00613409">
              <w:rPr>
                <w:color w:val="000000"/>
                <w:kern w:val="0"/>
                <w:sz w:val="24"/>
              </w:rPr>
              <w:t>（元）</w:t>
            </w:r>
          </w:p>
        </w:tc>
        <w:tc>
          <w:tcPr>
            <w:tcW w:type="dxa" w:w="1595"/>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190012</w:t>
            </w:r>
          </w:p>
        </w:tc>
        <w:tc>
          <w:tcPr>
            <w:vAlign w:val="center"/>
          </w:tcPr>
          <w:p>
            <w:pPr>
              <w:jc w:val="center"/>
            </w:pPr>
            <w:r>
              <w:rPr>
                <w:color w:val="000000"/>
                <w:sz w:val="24"/>
              </w:rPr>
              <w:t>19附息国债12</w:t>
            </w:r>
          </w:p>
        </w:tc>
        <w:tc>
          <w:tcPr>
            <w:vAlign w:val="center"/>
          </w:tcPr>
          <w:p>
            <w:pPr>
              <w:jc w:val="right"/>
            </w:pPr>
            <w:r>
              <w:rPr>
                <w:color w:val="000000"/>
                <w:sz w:val="24"/>
              </w:rPr>
              <w:t>7,800,000</w:t>
            </w:r>
          </w:p>
        </w:tc>
        <w:tc>
          <w:tcPr>
            <w:vAlign w:val="center"/>
          </w:tcPr>
          <w:p>
            <w:pPr>
              <w:jc w:val="right"/>
            </w:pPr>
            <w:r>
              <w:rPr>
                <w:color w:val="000000"/>
                <w:sz w:val="24"/>
              </w:rPr>
              <w:t>782,389,957.94</w:t>
            </w:r>
          </w:p>
        </w:tc>
        <w:tc>
          <w:tcPr>
            <w:vAlign w:val="center"/>
          </w:tcPr>
          <w:p>
            <w:pPr>
              <w:jc w:val="right"/>
            </w:pPr>
            <w:r>
              <w:rPr>
                <w:color w:val="000000"/>
                <w:sz w:val="24"/>
              </w:rPr>
              <w:t>3.31</w:t>
            </w:r>
          </w:p>
        </w:tc>
      </w:tr>
      <w:tr>
        <w:tc>
          <w:tcPr>
            <w:vAlign w:val="center"/>
          </w:tcPr>
          <w:p>
            <w:pPr>
              <w:jc w:val="center"/>
            </w:pPr>
            <w:r>
              <w:rPr>
                <w:color w:val="000000"/>
                <w:sz w:val="24"/>
              </w:rPr>
              <w:t>2</w:t>
            </w:r>
          </w:p>
        </w:tc>
        <w:tc>
          <w:tcPr>
            <w:vAlign w:val="center"/>
          </w:tcPr>
          <w:p>
            <w:pPr>
              <w:jc w:val="center"/>
            </w:pPr>
            <w:r>
              <w:rPr>
                <w:color w:val="000000"/>
                <w:sz w:val="24"/>
              </w:rPr>
              <w:t>111907159</w:t>
            </w:r>
          </w:p>
        </w:tc>
        <w:tc>
          <w:tcPr>
            <w:vAlign w:val="center"/>
          </w:tcPr>
          <w:p>
            <w:pPr>
              <w:jc w:val="center"/>
            </w:pPr>
            <w:r>
              <w:rPr>
                <w:color w:val="000000"/>
                <w:sz w:val="24"/>
              </w:rPr>
              <w:t>19招商银行CD159</w:t>
            </w:r>
          </w:p>
        </w:tc>
        <w:tc>
          <w:tcPr>
            <w:vAlign w:val="center"/>
          </w:tcPr>
          <w:p>
            <w:pPr>
              <w:jc w:val="right"/>
            </w:pPr>
            <w:r>
              <w:rPr>
                <w:color w:val="000000"/>
                <w:sz w:val="24"/>
              </w:rPr>
              <w:t>5,000,000</w:t>
            </w:r>
          </w:p>
        </w:tc>
        <w:tc>
          <w:tcPr>
            <w:vAlign w:val="center"/>
          </w:tcPr>
          <w:p>
            <w:pPr>
              <w:jc w:val="right"/>
            </w:pPr>
            <w:r>
              <w:rPr>
                <w:color w:val="000000"/>
                <w:sz w:val="24"/>
              </w:rPr>
              <w:t>496,938,459.26</w:t>
            </w:r>
          </w:p>
        </w:tc>
        <w:tc>
          <w:tcPr>
            <w:vAlign w:val="center"/>
          </w:tcPr>
          <w:p>
            <w:pPr>
              <w:jc w:val="right"/>
            </w:pPr>
            <w:r>
              <w:rPr>
                <w:color w:val="000000"/>
                <w:sz w:val="24"/>
              </w:rPr>
              <w:t>2.10</w:t>
            </w:r>
          </w:p>
        </w:tc>
      </w:tr>
      <w:tr>
        <w:tc>
          <w:tcPr>
            <w:vAlign w:val="center"/>
          </w:tcPr>
          <w:p>
            <w:pPr>
              <w:jc w:val="center"/>
            </w:pPr>
            <w:r>
              <w:rPr>
                <w:color w:val="000000"/>
                <w:sz w:val="24"/>
              </w:rPr>
              <w:t>3</w:t>
            </w:r>
          </w:p>
        </w:tc>
        <w:tc>
          <w:tcPr>
            <w:vAlign w:val="center"/>
          </w:tcPr>
          <w:p>
            <w:pPr>
              <w:jc w:val="center"/>
            </w:pPr>
            <w:r>
              <w:rPr>
                <w:color w:val="000000"/>
                <w:sz w:val="24"/>
              </w:rPr>
              <w:t>111915448</w:t>
            </w:r>
          </w:p>
        </w:tc>
        <w:tc>
          <w:tcPr>
            <w:vAlign w:val="center"/>
          </w:tcPr>
          <w:p>
            <w:pPr>
              <w:jc w:val="center"/>
            </w:pPr>
            <w:r>
              <w:rPr>
                <w:color w:val="000000"/>
                <w:sz w:val="24"/>
              </w:rPr>
              <w:t>19民生银行CD448</w:t>
            </w:r>
          </w:p>
        </w:tc>
        <w:tc>
          <w:tcPr>
            <w:vAlign w:val="center"/>
          </w:tcPr>
          <w:p>
            <w:pPr>
              <w:jc w:val="right"/>
            </w:pPr>
            <w:r>
              <w:rPr>
                <w:color w:val="000000"/>
                <w:sz w:val="24"/>
              </w:rPr>
              <w:t>5,000,000</w:t>
            </w:r>
          </w:p>
        </w:tc>
        <w:tc>
          <w:tcPr>
            <w:vAlign w:val="center"/>
          </w:tcPr>
          <w:p>
            <w:pPr>
              <w:jc w:val="right"/>
            </w:pPr>
            <w:r>
              <w:rPr>
                <w:color w:val="000000"/>
                <w:sz w:val="24"/>
              </w:rPr>
              <w:t>495,549,229.17</w:t>
            </w:r>
          </w:p>
        </w:tc>
        <w:tc>
          <w:tcPr>
            <w:vAlign w:val="center"/>
          </w:tcPr>
          <w:p>
            <w:pPr>
              <w:jc w:val="right"/>
            </w:pPr>
            <w:r>
              <w:rPr>
                <w:color w:val="000000"/>
                <w:sz w:val="24"/>
              </w:rPr>
              <w:t>2.10</w:t>
            </w:r>
          </w:p>
        </w:tc>
      </w:tr>
      <w:tr>
        <w:tc>
          <w:tcPr>
            <w:vAlign w:val="center"/>
          </w:tcPr>
          <w:p>
            <w:pPr>
              <w:jc w:val="center"/>
            </w:pPr>
            <w:r>
              <w:rPr>
                <w:color w:val="000000"/>
                <w:sz w:val="24"/>
              </w:rPr>
              <w:t>4</w:t>
            </w:r>
          </w:p>
        </w:tc>
        <w:tc>
          <w:tcPr>
            <w:vAlign w:val="center"/>
          </w:tcPr>
          <w:p>
            <w:pPr>
              <w:jc w:val="center"/>
            </w:pPr>
            <w:r>
              <w:rPr>
                <w:color w:val="000000"/>
                <w:sz w:val="24"/>
              </w:rPr>
              <w:t>112009043</w:t>
            </w:r>
          </w:p>
        </w:tc>
        <w:tc>
          <w:tcPr>
            <w:vAlign w:val="center"/>
          </w:tcPr>
          <w:p>
            <w:pPr>
              <w:jc w:val="center"/>
            </w:pPr>
            <w:r>
              <w:rPr>
                <w:color w:val="000000"/>
                <w:sz w:val="24"/>
              </w:rPr>
              <w:t>20浦发银行CD043</w:t>
            </w:r>
          </w:p>
        </w:tc>
        <w:tc>
          <w:tcPr>
            <w:vAlign w:val="center"/>
          </w:tcPr>
          <w:p>
            <w:pPr>
              <w:jc w:val="right"/>
            </w:pPr>
            <w:r>
              <w:rPr>
                <w:color w:val="000000"/>
                <w:sz w:val="24"/>
              </w:rPr>
              <w:t>5,000,000</w:t>
            </w:r>
          </w:p>
        </w:tc>
        <w:tc>
          <w:tcPr>
            <w:vAlign w:val="center"/>
          </w:tcPr>
          <w:p>
            <w:pPr>
              <w:jc w:val="right"/>
            </w:pPr>
            <w:r>
              <w:rPr>
                <w:color w:val="000000"/>
                <w:sz w:val="24"/>
              </w:rPr>
              <w:t>493,088,705.26</w:t>
            </w:r>
          </w:p>
        </w:tc>
        <w:tc>
          <w:tcPr>
            <w:vAlign w:val="center"/>
          </w:tcPr>
          <w:p>
            <w:pPr>
              <w:jc w:val="right"/>
            </w:pPr>
            <w:r>
              <w:rPr>
                <w:color w:val="000000"/>
                <w:sz w:val="24"/>
              </w:rPr>
              <w:t>2.09</w:t>
            </w:r>
          </w:p>
        </w:tc>
      </w:tr>
      <w:tr>
        <w:tc>
          <w:tcPr>
            <w:vAlign w:val="center"/>
          </w:tcPr>
          <w:p>
            <w:pPr>
              <w:jc w:val="center"/>
            </w:pPr>
            <w:r>
              <w:rPr>
                <w:color w:val="000000"/>
                <w:sz w:val="24"/>
              </w:rPr>
              <w:t>5</w:t>
            </w:r>
          </w:p>
        </w:tc>
        <w:tc>
          <w:tcPr>
            <w:vAlign w:val="center"/>
          </w:tcPr>
          <w:p>
            <w:pPr>
              <w:jc w:val="center"/>
            </w:pPr>
            <w:r>
              <w:rPr>
                <w:color w:val="000000"/>
                <w:sz w:val="24"/>
              </w:rPr>
              <w:t>111905119</w:t>
            </w:r>
          </w:p>
        </w:tc>
        <w:tc>
          <w:tcPr>
            <w:vAlign w:val="center"/>
          </w:tcPr>
          <w:p>
            <w:pPr>
              <w:jc w:val="center"/>
            </w:pPr>
            <w:r>
              <w:rPr>
                <w:color w:val="000000"/>
                <w:sz w:val="24"/>
              </w:rPr>
              <w:t>19建设银行CD119</w:t>
            </w:r>
          </w:p>
        </w:tc>
        <w:tc>
          <w:tcPr>
            <w:vAlign w:val="center"/>
          </w:tcPr>
          <w:p>
            <w:pPr>
              <w:jc w:val="right"/>
            </w:pPr>
            <w:r>
              <w:rPr>
                <w:color w:val="000000"/>
                <w:sz w:val="24"/>
              </w:rPr>
              <w:t>4,000,000</w:t>
            </w:r>
          </w:p>
        </w:tc>
        <w:tc>
          <w:tcPr>
            <w:vAlign w:val="center"/>
          </w:tcPr>
          <w:p>
            <w:pPr>
              <w:jc w:val="right"/>
            </w:pPr>
            <w:r>
              <w:rPr>
                <w:color w:val="000000"/>
                <w:sz w:val="24"/>
              </w:rPr>
              <w:t>397,882,480.52</w:t>
            </w:r>
          </w:p>
        </w:tc>
        <w:tc>
          <w:tcPr>
            <w:vAlign w:val="center"/>
          </w:tcPr>
          <w:p>
            <w:pPr>
              <w:jc w:val="right"/>
            </w:pPr>
            <w:r>
              <w:rPr>
                <w:color w:val="000000"/>
                <w:sz w:val="24"/>
              </w:rPr>
              <w:t>1.68</w:t>
            </w:r>
          </w:p>
        </w:tc>
      </w:tr>
      <w:tr>
        <w:tc>
          <w:tcPr>
            <w:vAlign w:val="center"/>
          </w:tcPr>
          <w:p>
            <w:pPr>
              <w:jc w:val="center"/>
            </w:pPr>
            <w:r>
              <w:rPr>
                <w:color w:val="000000"/>
                <w:sz w:val="24"/>
              </w:rPr>
              <w:t>6</w:t>
            </w:r>
          </w:p>
        </w:tc>
        <w:tc>
          <w:tcPr>
            <w:vAlign w:val="center"/>
          </w:tcPr>
          <w:p>
            <w:pPr>
              <w:jc w:val="center"/>
            </w:pPr>
            <w:r>
              <w:rPr>
                <w:color w:val="000000"/>
                <w:sz w:val="24"/>
              </w:rPr>
              <w:t>111918384</w:t>
            </w:r>
          </w:p>
        </w:tc>
        <w:tc>
          <w:tcPr>
            <w:vAlign w:val="center"/>
          </w:tcPr>
          <w:p>
            <w:pPr>
              <w:jc w:val="center"/>
            </w:pPr>
            <w:r>
              <w:rPr>
                <w:color w:val="000000"/>
                <w:sz w:val="24"/>
              </w:rPr>
              <w:t>19华夏银行CD384</w:t>
            </w:r>
          </w:p>
        </w:tc>
        <w:tc>
          <w:tcPr>
            <w:vAlign w:val="center"/>
          </w:tcPr>
          <w:p>
            <w:pPr>
              <w:jc w:val="right"/>
            </w:pPr>
            <w:r>
              <w:rPr>
                <w:color w:val="000000"/>
                <w:sz w:val="24"/>
              </w:rPr>
              <w:t>4,000,000</w:t>
            </w:r>
          </w:p>
        </w:tc>
        <w:tc>
          <w:tcPr>
            <w:vAlign w:val="center"/>
          </w:tcPr>
          <w:p>
            <w:pPr>
              <w:jc w:val="right"/>
            </w:pPr>
            <w:r>
              <w:rPr>
                <w:color w:val="000000"/>
                <w:sz w:val="24"/>
              </w:rPr>
              <w:t>396,291,492.11</w:t>
            </w:r>
          </w:p>
        </w:tc>
        <w:tc>
          <w:tcPr>
            <w:vAlign w:val="center"/>
          </w:tcPr>
          <w:p>
            <w:pPr>
              <w:jc w:val="right"/>
            </w:pPr>
            <w:r>
              <w:rPr>
                <w:color w:val="000000"/>
                <w:sz w:val="24"/>
              </w:rPr>
              <w:t>1.68</w:t>
            </w:r>
          </w:p>
        </w:tc>
      </w:tr>
      <w:tr>
        <w:tc>
          <w:tcPr>
            <w:vAlign w:val="center"/>
          </w:tcPr>
          <w:p>
            <w:pPr>
              <w:jc w:val="center"/>
            </w:pPr>
            <w:r>
              <w:rPr>
                <w:color w:val="000000"/>
                <w:sz w:val="24"/>
              </w:rPr>
              <w:t>7</w:t>
            </w:r>
          </w:p>
        </w:tc>
        <w:tc>
          <w:tcPr>
            <w:vAlign w:val="center"/>
          </w:tcPr>
          <w:p>
            <w:pPr>
              <w:jc w:val="center"/>
            </w:pPr>
            <w:r>
              <w:rPr>
                <w:color w:val="000000"/>
                <w:sz w:val="24"/>
              </w:rPr>
              <w:t>111908205</w:t>
            </w:r>
          </w:p>
        </w:tc>
        <w:tc>
          <w:tcPr>
            <w:vAlign w:val="center"/>
          </w:tcPr>
          <w:p>
            <w:pPr>
              <w:jc w:val="center"/>
            </w:pPr>
            <w:r>
              <w:rPr>
                <w:color w:val="000000"/>
                <w:sz w:val="24"/>
              </w:rPr>
              <w:t>19中信银行CD205</w:t>
            </w:r>
          </w:p>
        </w:tc>
        <w:tc>
          <w:tcPr>
            <w:vAlign w:val="center"/>
          </w:tcPr>
          <w:p>
            <w:pPr>
              <w:jc w:val="right"/>
            </w:pPr>
            <w:r>
              <w:rPr>
                <w:color w:val="000000"/>
                <w:sz w:val="24"/>
              </w:rPr>
              <w:t>3,500,000</w:t>
            </w:r>
          </w:p>
        </w:tc>
        <w:tc>
          <w:tcPr>
            <w:vAlign w:val="center"/>
          </w:tcPr>
          <w:p>
            <w:pPr>
              <w:jc w:val="right"/>
            </w:pPr>
            <w:r>
              <w:rPr>
                <w:color w:val="000000"/>
                <w:sz w:val="24"/>
              </w:rPr>
              <w:t>346,518,268.18</w:t>
            </w:r>
          </w:p>
        </w:tc>
        <w:tc>
          <w:tcPr>
            <w:vAlign w:val="center"/>
          </w:tcPr>
          <w:p>
            <w:pPr>
              <w:jc w:val="right"/>
            </w:pPr>
            <w:r>
              <w:rPr>
                <w:color w:val="000000"/>
                <w:sz w:val="24"/>
              </w:rPr>
              <w:t>1.47</w:t>
            </w:r>
          </w:p>
        </w:tc>
      </w:tr>
      <w:tr>
        <w:tc>
          <w:tcPr>
            <w:vAlign w:val="center"/>
          </w:tcPr>
          <w:p>
            <w:pPr>
              <w:jc w:val="center"/>
            </w:pPr>
            <w:r>
              <w:rPr>
                <w:color w:val="000000"/>
                <w:sz w:val="24"/>
              </w:rPr>
              <w:t>8</w:t>
            </w:r>
          </w:p>
        </w:tc>
        <w:tc>
          <w:tcPr>
            <w:vAlign w:val="center"/>
          </w:tcPr>
          <w:p>
            <w:pPr>
              <w:jc w:val="center"/>
            </w:pPr>
            <w:r>
              <w:rPr>
                <w:color w:val="000000"/>
                <w:sz w:val="24"/>
              </w:rPr>
              <w:t>112017093</w:t>
            </w:r>
          </w:p>
        </w:tc>
        <w:tc>
          <w:tcPr>
            <w:vAlign w:val="center"/>
          </w:tcPr>
          <w:p>
            <w:pPr>
              <w:jc w:val="center"/>
            </w:pPr>
            <w:r>
              <w:rPr>
                <w:color w:val="000000"/>
                <w:sz w:val="24"/>
              </w:rPr>
              <w:t>20光大银行CD093</w:t>
            </w:r>
          </w:p>
        </w:tc>
        <w:tc>
          <w:tcPr>
            <w:vAlign w:val="center"/>
          </w:tcPr>
          <w:p>
            <w:pPr>
              <w:jc w:val="right"/>
            </w:pPr>
            <w:r>
              <w:rPr>
                <w:color w:val="000000"/>
                <w:sz w:val="24"/>
              </w:rPr>
              <w:t>3,000,000</w:t>
            </w:r>
          </w:p>
        </w:tc>
        <w:tc>
          <w:tcPr>
            <w:vAlign w:val="center"/>
          </w:tcPr>
          <w:p>
            <w:pPr>
              <w:jc w:val="right"/>
            </w:pPr>
            <w:r>
              <w:rPr>
                <w:color w:val="000000"/>
                <w:sz w:val="24"/>
              </w:rPr>
              <w:t>296,738,455.14</w:t>
            </w:r>
          </w:p>
        </w:tc>
        <w:tc>
          <w:tcPr>
            <w:vAlign w:val="center"/>
          </w:tcPr>
          <w:p>
            <w:pPr>
              <w:jc w:val="right"/>
            </w:pPr>
            <w:r>
              <w:rPr>
                <w:color w:val="000000"/>
                <w:sz w:val="24"/>
              </w:rPr>
              <w:t>1.26</w:t>
            </w:r>
          </w:p>
        </w:tc>
      </w:tr>
      <w:tr>
        <w:tc>
          <w:tcPr>
            <w:vAlign w:val="center"/>
          </w:tcPr>
          <w:p>
            <w:pPr>
              <w:jc w:val="center"/>
            </w:pPr>
            <w:r>
              <w:rPr>
                <w:color w:val="000000"/>
                <w:sz w:val="24"/>
              </w:rPr>
              <w:t>9</w:t>
            </w:r>
          </w:p>
        </w:tc>
        <w:tc>
          <w:tcPr>
            <w:vAlign w:val="center"/>
          </w:tcPr>
          <w:p>
            <w:pPr>
              <w:jc w:val="center"/>
            </w:pPr>
            <w:r>
              <w:rPr>
                <w:color w:val="000000"/>
                <w:sz w:val="24"/>
              </w:rPr>
              <w:t>112008010</w:t>
            </w:r>
          </w:p>
        </w:tc>
        <w:tc>
          <w:tcPr>
            <w:vAlign w:val="center"/>
          </w:tcPr>
          <w:p>
            <w:pPr>
              <w:jc w:val="center"/>
            </w:pPr>
            <w:r>
              <w:rPr>
                <w:color w:val="000000"/>
                <w:sz w:val="24"/>
              </w:rPr>
              <w:t>20中信银行CD010</w:t>
            </w:r>
          </w:p>
        </w:tc>
        <w:tc>
          <w:tcPr>
            <w:vAlign w:val="center"/>
          </w:tcPr>
          <w:p>
            <w:pPr>
              <w:jc w:val="right"/>
            </w:pPr>
            <w:r>
              <w:rPr>
                <w:color w:val="000000"/>
                <w:sz w:val="24"/>
              </w:rPr>
              <w:t>3,000,000</w:t>
            </w:r>
          </w:p>
        </w:tc>
        <w:tc>
          <w:tcPr>
            <w:vAlign w:val="center"/>
          </w:tcPr>
          <w:p>
            <w:pPr>
              <w:jc w:val="right"/>
            </w:pPr>
            <w:r>
              <w:rPr>
                <w:color w:val="000000"/>
                <w:sz w:val="24"/>
              </w:rPr>
              <w:t>295,794,952.70</w:t>
            </w:r>
          </w:p>
        </w:tc>
        <w:tc>
          <w:tcPr>
            <w:vAlign w:val="center"/>
          </w:tcPr>
          <w:p>
            <w:pPr>
              <w:jc w:val="right"/>
            </w:pPr>
            <w:r>
              <w:rPr>
                <w:color w:val="000000"/>
                <w:sz w:val="24"/>
              </w:rPr>
              <w:t>1.25</w:t>
            </w:r>
          </w:p>
        </w:tc>
      </w:tr>
      <w:tr>
        <w:tc>
          <w:tcPr>
            <w:vAlign w:val="center"/>
          </w:tcPr>
          <w:p>
            <w:pPr>
              <w:jc w:val="center"/>
            </w:pPr>
            <w:r>
              <w:rPr>
                <w:color w:val="000000"/>
                <w:sz w:val="24"/>
              </w:rPr>
              <w:t>10</w:t>
            </w:r>
          </w:p>
        </w:tc>
        <w:tc>
          <w:tcPr>
            <w:vAlign w:val="center"/>
          </w:tcPr>
          <w:p>
            <w:pPr>
              <w:jc w:val="center"/>
            </w:pPr>
            <w:r>
              <w:rPr>
                <w:color w:val="000000"/>
                <w:sz w:val="24"/>
              </w:rPr>
              <w:t>112003019</w:t>
            </w:r>
          </w:p>
        </w:tc>
        <w:tc>
          <w:tcPr>
            <w:vAlign w:val="center"/>
          </w:tcPr>
          <w:p>
            <w:pPr>
              <w:jc w:val="center"/>
            </w:pPr>
            <w:r>
              <w:rPr>
                <w:color w:val="000000"/>
                <w:sz w:val="24"/>
              </w:rPr>
              <w:t>20农业银行CD019</w:t>
            </w:r>
          </w:p>
        </w:tc>
        <w:tc>
          <w:tcPr>
            <w:vAlign w:val="center"/>
          </w:tcPr>
          <w:p>
            <w:pPr>
              <w:jc w:val="right"/>
            </w:pPr>
            <w:r>
              <w:rPr>
                <w:color w:val="000000"/>
                <w:sz w:val="24"/>
              </w:rPr>
              <w:t>3,000,000</w:t>
            </w:r>
          </w:p>
        </w:tc>
        <w:tc>
          <w:tcPr>
            <w:vAlign w:val="center"/>
          </w:tcPr>
          <w:p>
            <w:pPr>
              <w:jc w:val="right"/>
            </w:pPr>
            <w:r>
              <w:rPr>
                <w:color w:val="000000"/>
                <w:sz w:val="24"/>
              </w:rPr>
              <w:t>294,202,723.30</w:t>
            </w:r>
          </w:p>
        </w:tc>
        <w:tc>
          <w:tcPr>
            <w:vAlign w:val="center"/>
          </w:tcPr>
          <w:p>
            <w:pPr>
              <w:jc w:val="right"/>
            </w:pPr>
            <w:r>
              <w:rPr>
                <w:color w:val="000000"/>
                <w:sz w:val="24"/>
              </w:rPr>
              <w:t>1.24</w:t>
            </w:r>
          </w:p>
        </w:tc>
      </w:tr>
    </w:tbl>
    <w:p w:rsidP="003A0EC1"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5.</w:t>
      </w:r>
      <w:r w:rsidR="007A1ACF">
        <w:rPr>
          <w:rFonts w:ascii="宋体" w:cs="Arial" w:hAnsi="宋体" w:hint="eastAsia"/>
          <w:b/>
          <w:color w:val="000000"/>
          <w:kern w:val="0"/>
          <w:sz w:val="24"/>
        </w:rPr>
        <w:t>7</w:t>
      </w:r>
      <w:r w:rsidRPr="0097021E">
        <w:rPr>
          <w:rFonts w:ascii="宋体" w:cs="Arial" w:hAnsi="宋体" w:hint="eastAsia"/>
          <w:b/>
          <w:color w:val="000000"/>
          <w:kern w:val="0"/>
          <w:sz w:val="24"/>
        </w:rPr>
        <w:t>“影子定价”与“摊余成本法”确定的基金资产净值的偏离</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5812"/>
        <w:gridCol w:w="3382"/>
      </w:tblGrid>
      <w:tr w:rsidR="00EA3F40" w:rsidRPr="0097021E" w:rsidTr="00C526E2">
        <w:tc>
          <w:tcPr>
            <w:tcW w:type="dxa" w:w="5812"/>
            <w:vAlign w:val="center"/>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项目</w:t>
            </w:r>
            <w:r w:rsidRPr="00613409">
              <w:rPr>
                <w:color w:val="000000"/>
                <w:kern w:val="0"/>
                <w:sz w:val="24"/>
              </w:rPr>
              <w:t/>
            </w:r>
          </w:p>
        </w:tc>
        <w:tc>
          <w:tcPr>
            <w:tcW w:type="dxa" w:w="3382"/>
            <w:vAlign w:val="center"/>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偏离情况</w:t>
            </w:r>
          </w:p>
        </w:tc>
      </w:tr>
      <w:tr w:rsidR="00EA3F40" w:rsidRPr="0097021E" w:rsidTr="00C526E2">
        <w:tc>
          <w:tcPr>
            <w:tcW w:type="dxa" w:w="5812"/>
            <w:vAlign w:val="center"/>
          </w:tcPr>
          <w:p w:rsidP="0019681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报告期内偏离度的绝对值在</w:t>
            </w:r>
            <w:r w:rsidRPr="00613409">
              <w:rPr>
                <w:color w:val="000000"/>
                <w:kern w:val="0"/>
                <w:sz w:val="24"/>
              </w:rPr>
              <w:t>0.25(</w:t>
            </w:r>
            <w:r w:rsidRPr="00613409">
              <w:rPr>
                <w:color w:val="000000"/>
                <w:kern w:val="0"/>
                <w:sz w:val="24"/>
              </w:rPr>
              <w:t>含</w:t>
            </w:r>
            <w:r w:rsidRPr="00613409">
              <w:rPr>
                <w:color w:val="000000"/>
                <w:kern w:val="0"/>
                <w:sz w:val="24"/>
              </w:rPr>
              <w:t>)-0.5%</w:t>
            </w:r>
            <w:r w:rsidRPr="00613409">
              <w:rPr>
                <w:color w:val="000000"/>
                <w:kern w:val="0"/>
                <w:sz w:val="24"/>
              </w:rPr>
              <w:t>间的次数</w:t>
            </w:r>
          </w:p>
        </w:tc>
        <w:tc>
          <w:tcPr>
            <w:tcW w:type="dxa" w:w="3382"/>
            <w:vAlign w:val="bottom"/>
          </w:tcPr>
          <w:p w:rsidP="00196812" w:rsidR="00EA3F40" w:rsidRDefault="00EA3F40" w:rsidRPr="00613409">
            <w:pPr>
              <w:spacing w:line="360" w:lineRule="auto"/>
              <w:jc w:val="right"/>
              <w:rPr>
                <w:sz w:val="24"/>
              </w:rPr>
            </w:pPr>
            <w:r w:rsidRPr="00613409">
              <w:rPr>
                <w:color w:val="000000"/>
                <w:sz w:val="24"/>
              </w:rPr>
              <w:t/>
            </w:r>
            <w:r w:rsidRPr="00613409">
              <w:rPr>
                <w:color w:val="000000"/>
                <w:sz w:val="24"/>
              </w:rPr>
              <w:lastRenderedPageBreak/>
              <w:t>1</w:t>
            </w:r>
            <w:r w:rsidRPr="00613409">
              <w:rPr>
                <w:color w:val="000000"/>
                <w:sz w:val="24"/>
              </w:rPr>
              <w:t>次</w:t>
            </w:r>
          </w:p>
        </w:tc>
      </w:tr>
      <w:tr w:rsidR="00EA3F40" w:rsidRPr="0097021E" w:rsidTr="00C526E2">
        <w:tc>
          <w:tcPr>
            <w:tcW w:type="dxa" w:w="5812"/>
            <w:vAlign w:val="center"/>
          </w:tcPr>
          <w:p w:rsidP="0019681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lastRenderedPageBreak/>
              <w:t>报告期内偏离度的最高值</w:t>
            </w:r>
          </w:p>
        </w:tc>
        <w:tc>
          <w:tcPr>
            <w:tcW w:type="dxa" w:w="3382"/>
            <w:vAlign w:val="bottom"/>
          </w:tcPr>
          <w:p w:rsidP="00196812" w:rsidR="00EA3F40" w:rsidRDefault="00EA3F40" w:rsidRPr="00613409">
            <w:pPr>
              <w:spacing w:line="360" w:lineRule="auto"/>
              <w:jc w:val="right"/>
              <w:rPr>
                <w:sz w:val="24"/>
              </w:rPr>
            </w:pPr>
            <w:r w:rsidRPr="00613409">
              <w:rPr>
                <w:color w:val="000000"/>
                <w:sz w:val="24"/>
              </w:rPr>
              <w:t>0.2620%</w:t>
            </w:r>
          </w:p>
        </w:tc>
      </w:tr>
      <w:tr w:rsidR="00EA3F40" w:rsidRPr="0097021E" w:rsidTr="00C526E2">
        <w:tc>
          <w:tcPr>
            <w:tcW w:type="dxa" w:w="5812"/>
            <w:vAlign w:val="center"/>
          </w:tcPr>
          <w:p w:rsidP="0019681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报告期内偏离度的最低值</w:t>
            </w:r>
          </w:p>
        </w:tc>
        <w:tc>
          <w:tcPr>
            <w:tcW w:type="dxa" w:w="3382"/>
            <w:vAlign w:val="bottom"/>
          </w:tcPr>
          <w:p w:rsidP="00196812" w:rsidR="00EA3F40" w:rsidRDefault="00EA3F40" w:rsidRPr="00613409">
            <w:pPr>
              <w:spacing w:line="360" w:lineRule="auto"/>
              <w:jc w:val="right"/>
              <w:rPr>
                <w:sz w:val="24"/>
              </w:rPr>
            </w:pPr>
            <w:r w:rsidRPr="00613409">
              <w:rPr>
                <w:color w:val="000000"/>
                <w:sz w:val="24"/>
              </w:rPr>
              <w:t>0.1054%</w:t>
            </w:r>
          </w:p>
        </w:tc>
      </w:tr>
      <w:tr w:rsidR="00EA3F40" w:rsidRPr="0097021E" w:rsidTr="00C526E2">
        <w:tc>
          <w:tcPr>
            <w:tcW w:type="dxa" w:w="5812"/>
            <w:vAlign w:val="center"/>
          </w:tcPr>
          <w:p w:rsidP="00BD0F36"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报告期内每个工作日偏离度的绝对值的简单平均值</w:t>
            </w:r>
          </w:p>
        </w:tc>
        <w:tc>
          <w:tcPr>
            <w:tcW w:type="dxa" w:w="3382"/>
            <w:vAlign w:val="bottom"/>
          </w:tcPr>
          <w:p w:rsidP="00196812" w:rsidR="00EA3F40" w:rsidRDefault="00EA3F40" w:rsidRPr="00613409">
            <w:pPr>
              <w:spacing w:line="360" w:lineRule="auto"/>
              <w:jc w:val="right"/>
              <w:rPr>
                <w:sz w:val="24"/>
              </w:rPr>
            </w:pPr>
            <w:r w:rsidRPr="00613409">
              <w:rPr>
                <w:color w:val="000000"/>
                <w:sz w:val="24"/>
              </w:rPr>
              <w:t>0.1688%</w:t>
            </w:r>
          </w:p>
        </w:tc>
      </w:tr>
    </w:tbl>
    <w:p w:rsidP="007A1ACF" w:rsidR="007A1ACF" w:rsidRDefault="007A1ACF" w:rsidRPr="007A1ACF">
      <w:pPr>
        <w:spacing w:line="360" w:lineRule="auto"/>
        <w:rPr>
          <w:b/>
          <w:color w:val="000000"/>
          <w:kern w:val="0"/>
          <w:sz w:val="24"/>
        </w:rPr>
      </w:pPr>
      <w:r w:rsidRPr="007A1ACF">
        <w:rPr>
          <w:b/>
          <w:color w:val="000000"/>
          <w:sz w:val="24"/>
        </w:rPr>
        <w:t>报告期内负偏离度的绝对值达到</w:t>
      </w:r>
      <w:r w:rsidRPr="007A1ACF">
        <w:rPr>
          <w:b/>
          <w:color w:val="000000"/>
          <w:sz w:val="24"/>
        </w:rPr>
        <w:t>0.25%</w:t>
      </w:r>
      <w:r w:rsidRPr="007A1ACF">
        <w:rPr>
          <w:b/>
          <w:color w:val="000000"/>
          <w:sz w:val="24"/>
        </w:rPr>
        <w:t>情况说明</w:t>
      </w:r>
    </w:p>
    <w:p w:rsidP="007A1ACF" w:rsidR="007A1ACF" w:rsidRDefault="007A1ACF" w:rsidRPr="007A1ACF">
      <w:pPr>
        <w:adjustRightInd w:val="0"/>
        <w:spacing w:line="360" w:lineRule="auto"/>
        <w:ind w:firstLine="480" w:firstLineChars="200"/>
        <w:rPr>
          <w:color w:val="000000"/>
          <w:sz w:val="24"/>
        </w:rPr>
      </w:pPr>
      <w:r w:rsidRPr="007A1ACF">
        <w:rPr>
          <w:color w:val="000000"/>
          <w:sz w:val="24"/>
        </w:rPr>
        <w:t/>
      </w:r>
      <w:r w:rsidRPr="007A1ACF">
        <w:rPr>
          <w:color w:val="000000"/>
          <w:sz w:val="24"/>
        </w:rPr>
        <w:lastRenderedPageBreak/>
        <w:t>本基金本报告期内不存在负偏离度的绝对值达到0.25%的情况。</w:t>
      </w:r>
    </w:p>
    <w:p w:rsidP="007A1ACF" w:rsidR="007A1ACF" w:rsidRDefault="007A1ACF" w:rsidRPr="007A1ACF">
      <w:pPr>
        <w:spacing w:line="360" w:lineRule="auto"/>
        <w:rPr>
          <w:b/>
          <w:color w:val="000000"/>
          <w:kern w:val="0"/>
          <w:sz w:val="24"/>
        </w:rPr>
      </w:pPr>
      <w:r w:rsidRPr="007A1ACF">
        <w:rPr>
          <w:b/>
          <w:color w:val="000000"/>
          <w:sz w:val="24"/>
        </w:rPr>
        <w:t>报告期内正偏离度的绝对值达到</w:t>
      </w:r>
      <w:r w:rsidRPr="007A1ACF">
        <w:rPr>
          <w:b/>
          <w:color w:val="000000"/>
          <w:sz w:val="24"/>
        </w:rPr>
        <w:t>0.5%</w:t>
      </w:r>
      <w:r w:rsidRPr="007A1ACF">
        <w:rPr>
          <w:b/>
          <w:color w:val="000000"/>
          <w:sz w:val="24"/>
        </w:rPr>
        <w:t>情况说明</w:t>
      </w:r>
    </w:p>
    <w:p w:rsidP="00613409" w:rsidR="007A1ACF" w:rsidRDefault="007A1ACF" w:rsidRPr="007A1ACF">
      <w:pPr>
        <w:adjustRightInd w:val="0"/>
        <w:spacing w:line="360" w:lineRule="auto"/>
        <w:ind w:firstLine="480" w:firstLineChars="200"/>
        <w:rPr>
          <w:color w:val="000000"/>
          <w:sz w:val="24"/>
        </w:rPr>
      </w:pPr>
      <w:r w:rsidRPr="007A1ACF">
        <w:rPr>
          <w:color w:val="000000"/>
          <w:sz w:val="24"/>
        </w:rPr>
        <w:t>本基金本报告期内不存在正偏离度的绝对值达到0.5%的情况。</w:t>
      </w:r>
    </w:p>
    <w:p w:rsidP="00196812"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5.</w:t>
      </w:r>
      <w:r w:rsidR="007A1ACF">
        <w:rPr>
          <w:rFonts w:ascii="宋体" w:cs="Arial" w:hAnsi="宋体" w:hint="eastAsia"/>
          <w:b/>
          <w:color w:val="000000"/>
          <w:kern w:val="0"/>
          <w:sz w:val="24"/>
        </w:rPr>
        <w:t>8</w:t>
      </w:r>
      <w:r w:rsidR="00AD6777">
        <w:rPr>
          <w:rFonts w:ascii="宋体" w:cs="Arial" w:hAnsi="宋体" w:hint="eastAsia"/>
          <w:b/>
          <w:color w:val="000000"/>
          <w:kern w:val="0"/>
          <w:sz w:val="24"/>
        </w:rPr>
        <w:t>报告期末按公允价值占基金资产净值比例大小排名</w:t>
      </w:r>
      <w:r w:rsidRPr="0097021E">
        <w:rPr>
          <w:rFonts w:ascii="宋体" w:cs="Arial" w:hAnsi="宋体" w:hint="eastAsia"/>
          <w:b/>
          <w:color w:val="000000"/>
          <w:kern w:val="0"/>
          <w:sz w:val="24"/>
        </w:rPr>
        <w:t>的前十名资产支持证券投资明细</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lastRenderedPageBreak/>
        <w:t>本基金本报告期末未持有资产支持证券。</w:t>
      </w:r>
    </w:p>
    <w:p w:rsidP="00976A1A" w:rsidR="00EA3F40" w:rsidRDefault="00EA3F40" w:rsidRPr="006662B2">
      <w:pPr>
        <w:spacing w:line="360" w:lineRule="auto"/>
        <w:rPr>
          <w:rFonts w:ascii="宋体" w:cs="Arial"/>
          <w:b/>
          <w:color w:val="000000"/>
          <w:kern w:val="0"/>
          <w:sz w:val="24"/>
        </w:rPr>
      </w:pPr>
      <w:r>
        <w:rPr>
          <w:rFonts w:ascii="宋体" w:cs="Arial"/>
          <w:b/>
          <w:color w:val="000000"/>
          <w:kern w:val="0"/>
          <w:sz w:val="24"/>
        </w:rPr>
        <w:t/>
      </w:r>
      <w:r>
        <w:rPr>
          <w:rFonts w:ascii="宋体" w:cs="Arial" w:hAnsi="宋体"/>
          <w:b/>
          <w:color w:val="000000"/>
          <w:kern w:val="0"/>
          <w:sz w:val="24"/>
        </w:rPr>
        <w:t>5</w:t>
      </w:r>
      <w:r w:rsidRPr="006662B2">
        <w:rPr>
          <w:rFonts w:ascii="宋体" w:cs="Arial" w:hAnsi="宋体"/>
          <w:b/>
          <w:color w:val="000000"/>
          <w:kern w:val="0"/>
          <w:sz w:val="24"/>
        </w:rPr>
        <w:t>.</w:t>
      </w:r>
      <w:r>
        <w:rPr>
          <w:rFonts w:ascii="宋体" w:cs="Arial"/>
          <w:b/>
          <w:color w:val="000000"/>
          <w:kern w:val="0"/>
          <w:sz w:val="24"/>
        </w:rPr>
        <w:t/>
      </w:r>
      <w:r>
        <w:rPr>
          <w:rFonts w:ascii="宋体" w:cs="Arial" w:hAnsi="宋体"/>
          <w:b/>
          <w:color w:val="000000"/>
          <w:kern w:val="0"/>
          <w:sz w:val="24"/>
        </w:rPr>
        <w:t/>
      </w:r>
      <w:r w:rsidR="007A1ACF">
        <w:rPr>
          <w:rFonts w:ascii="宋体" w:cs="Arial" w:hAnsi="宋体" w:hint="eastAsia"/>
          <w:b/>
          <w:color w:val="000000"/>
          <w:kern w:val="0"/>
          <w:sz w:val="24"/>
        </w:rPr>
        <w:t/>
      </w:r>
      <w:r>
        <w:rPr>
          <w:rFonts w:ascii="宋体" w:cs="Arial" w:hAnsi="宋体"/>
          <w:b/>
          <w:color w:val="000000"/>
          <w:kern w:val="0"/>
          <w:sz w:val="24"/>
        </w:rPr>
        <w:t>9</w:t>
      </w:r>
      <w:r w:rsidRPr="006662B2">
        <w:rPr>
          <w:rFonts w:ascii="宋体" w:cs="Arial" w:hAnsi="宋体"/>
          <w:b/>
          <w:color w:val="000000"/>
          <w:kern w:val="0"/>
          <w:sz w:val="24"/>
        </w:rPr>
        <w:t xml:space="preserve"> </w:t>
      </w:r>
      <w:r w:rsidRPr="006662B2">
        <w:rPr>
          <w:rFonts w:ascii="宋体" w:cs="Arial" w:hAnsi="宋体" w:hint="eastAsia"/>
          <w:b/>
          <w:color w:val="000000"/>
          <w:kern w:val="0"/>
          <w:sz w:val="24"/>
        </w:rPr>
        <w:t>投资组合报告附注</w:t>
      </w:r>
    </w:p>
    <w:p w:rsidP="007A1ACF" w:rsidR="007A1ACF" w:rsidRDefault="007A1ACF" w:rsidRPr="007A1ACF">
      <w:pPr>
        <w:spacing w:line="360" w:lineRule="auto"/>
        <w:rPr>
          <w:color w:val="000000"/>
          <w:sz w:val="24"/>
        </w:rPr>
      </w:pPr>
      <w:r w:rsidRPr="007A1ACF">
        <w:rPr>
          <w:color w:val="000000"/>
          <w:sz w:val="24"/>
        </w:rPr>
        <w:t>5.9.1</w:t>
      </w:r>
      <w:r w:rsidRPr="007A1ACF">
        <w:rPr>
          <w:color w:val="000000"/>
          <w:sz w:val="24"/>
        </w:rPr>
        <w:t>基金计价方法说明</w:t>
      </w:r>
    </w:p>
    <w:p>
      <w:pPr>
        <w:spacing w:line="360" w:lineRule="auto"/>
        <w:ind w:firstLine="480" w:firstLineChars="200"/>
        <w:rPr>
          <w:color w:val="000000"/>
          <w:sz w:val="24"/>
        </w:rPr>
      </w:pPr>
      <w:r>
        <w:rPr>
          <w:color w:val="000000"/>
          <w:sz w:val="24"/>
        </w:rPr>
        <w:t>本基金目前投资工具的估值方法如下：</w:t>
      </w:r>
    </w:p>
    <w:p>
      <w:pPr>
        <w:spacing w:line="360" w:lineRule="auto"/>
        <w:ind w:firstLine="480" w:firstLineChars="200"/>
        <w:rPr>
          <w:color w:val="000000"/>
          <w:sz w:val="24"/>
        </w:rPr>
      </w:pPr>
      <w:r>
        <w:rPr>
          <w:color w:val="000000"/>
          <w:sz w:val="24"/>
        </w:rPr>
        <w:t>（1）基金持有的债券（包括票据）购买时采用实际支付价款（包含交易费用）确定初始成本，按实际利率计算其摊余成本及各期利息收入，每日计提收益；</w:t>
      </w:r>
    </w:p>
    <w:p>
      <w:pPr>
        <w:spacing w:line="360" w:lineRule="auto"/>
        <w:ind w:firstLine="480" w:firstLineChars="200"/>
        <w:rPr>
          <w:color w:val="000000"/>
          <w:sz w:val="24"/>
        </w:rPr>
      </w:pPr>
      <w:r>
        <w:rPr>
          <w:color w:val="000000"/>
          <w:sz w:val="24"/>
        </w:rPr>
        <w:t>（2）基金持有的回购以成本列示，按实际利率在实际持有期间内逐日计提利息；合同利率与实际利率差异较小的，也可采用合同利率计算确定利息收入；</w:t>
      </w:r>
    </w:p>
    <w:p>
      <w:pPr>
        <w:spacing w:line="360" w:lineRule="auto"/>
        <w:ind w:firstLine="480" w:firstLineChars="200"/>
        <w:rPr>
          <w:color w:val="000000"/>
          <w:sz w:val="24"/>
        </w:rPr>
      </w:pPr>
      <w:r>
        <w:rPr>
          <w:color w:val="000000"/>
          <w:sz w:val="24"/>
        </w:rPr>
        <w:t>（3）基金持有的银行存款以本金列示，按实际协议利率逐日计提利息。</w:t>
      </w:r>
    </w:p>
    <w:p>
      <w:pPr>
        <w:spacing w:line="360" w:lineRule="auto"/>
        <w:ind w:firstLine="480" w:firstLineChars="200"/>
        <w:rPr>
          <w:color w:val="000000"/>
          <w:sz w:val="24"/>
        </w:rPr>
      </w:pPr>
      <w:r>
        <w:rPr>
          <w:color w:val="000000"/>
          <w:sz w:val="24"/>
        </w:rPr>
        <w:t>如有确凿证据表明按上述方法进行估值不能客观反映其公允价值的，基金管理人可根据具体情况与基金托管人商定后，按最能反映公允价值的方法估值。</w:t>
      </w:r>
    </w:p>
    <w:p w:rsidP="007A1ACF" w:rsidR="007A1ACF" w:rsidRDefault="007A1ACF" w:rsidRPr="007A1ACF">
      <w:pPr>
        <w:spacing w:line="360" w:lineRule="auto"/>
        <w:ind w:firstLine="480" w:firstLineChars="200"/>
        <w:rPr>
          <w:color w:val="000000"/>
          <w:sz w:val="24"/>
        </w:rPr>
      </w:pPr>
      <w:r w:rsidRPr="007A1ACF">
        <w:rPr>
          <w:color w:val="000000"/>
          <w:sz w:val="24"/>
        </w:rPr>
        <w:t>如有新增事项，按国家最新规定估值。</w:t>
      </w:r>
    </w:p>
    <w:p w:rsidP="00613409" w:rsidR="00EA3F40" w:rsidRDefault="007A1ACF" w:rsidRPr="007A1ACF">
      <w:pPr>
        <w:widowControl/>
        <w:spacing w:line="360" w:lineRule="auto"/>
        <w:rPr>
          <w:color w:val="000000"/>
          <w:sz w:val="24"/>
        </w:rPr>
      </w:pPr>
      <w:r w:rsidRPr="007A1ACF">
        <w:rPr>
          <w:color w:val="000000"/>
          <w:sz w:val="24"/>
        </w:rPr>
        <w:t>5.9.2</w:t>
      </w:r>
      <w:r w:rsidR="00D568AA">
        <w:rPr>
          <w:rFonts w:hint="eastAsia"/>
          <w:color w:val="000000"/>
          <w:sz w:val="24"/>
        </w:rPr>
        <w:t xml:space="preserve"> </w:t>
      </w:r>
      <w:r w:rsidRPr="007A1ACF">
        <w:rPr>
          <w:color w:val="000000"/>
          <w:sz w:val="24"/>
        </w:rPr>
        <w:t>2019年7月8日，中国银行保险监督管理委员会上海监管局针对招商银行股份有限公司信用卡中心在为部分客户办理信用卡业务时未遵守总授信额度管理制度的行为，对招商银行股份有限公司处以责令改正，并处罚款20万元。</w:t>
      </w:r>
    </w:p>
    <w:p>
      <w:pPr>
        <w:widowControl/>
        <w:spacing w:line="360" w:lineRule="auto"/>
        <w:rPr>
          <w:color w:val="000000"/>
          <w:sz w:val="24"/>
        </w:rPr>
      </w:pPr>
      <w:r>
        <w:rPr>
          <w:color w:val="000000"/>
          <w:sz w:val="24"/>
        </w:rPr>
        <w:t>2019年12月14日，中国银行保险监督管理委员会北京监管局对中国民生银行股份有限公司如下违法违规行为作出“责令改正，并给予合计700万元罚款的行政处罚”的决定：1、总行同业票据业务管理失控；2、总行违反内控指引要求计量转贴现卖断业务信用风险加权资产；3、总行案件风险信息报送管理不到位；4、总行未有效管理承兑业务；5、总行办理无真实贸易背景承兑业务；6、总行承兑业务质押资金来源为本行贷款；7、银川分行为已注销法人公司办理票据贴现业务；8、杭州分行为票据中介办理票据贴现业务；9、上海自贸区分行为票据中介办理票据贴现业务；10、福州分行、苏州分行、郑州分行转贴现卖断业务担保情况数据严重失实。2020年2月10日，中国人民银行对中国民生银行股份有限公司的如下违法违规行为作出“罚款2360万元”的行政处罚决定：1.未按规定履行客户身份识别义务；2.未按规定保存客户身份资料和交易记录；3.未按规定报送大额交易报告和可疑交易报告；4.与身份不明的客户进行交易。</w:t>
      </w:r>
    </w:p>
    <w:p>
      <w:pPr>
        <w:widowControl/>
        <w:spacing w:line="360" w:lineRule="auto"/>
        <w:rPr>
          <w:color w:val="000000"/>
          <w:sz w:val="24"/>
        </w:rPr>
      </w:pPr>
      <w:r>
        <w:rPr>
          <w:color w:val="000000"/>
          <w:sz w:val="24"/>
        </w:rPr>
        <w:t>2019年7月8日，中国银行保险监督管理委员会上海监管局对上海浦东发展银行股份有限公司信用卡中心的如下违法违规行为作出“责令改正，并处罚款30万元”的行政处罚决定：2015年至2018年6月，该中心在为部分客户办理信用卡业务时，对申请人收入核定严重不审慎。2019年12月3日中国银行保险监督管理委员会上海监管局对上海浦东发展银行股份有限公司信用卡中心2019年1月信用卡催收外包管理严重违反审慎经营规则的违法违规事实，作出“责令改正，并处罚款50万元”的行政处罚决定。</w:t>
      </w:r>
    </w:p>
    <w:p>
      <w:pPr>
        <w:widowControl/>
        <w:spacing w:line="360" w:lineRule="auto"/>
        <w:rPr>
          <w:color w:val="000000"/>
          <w:sz w:val="24"/>
        </w:rPr>
      </w:pPr>
      <w:r>
        <w:rPr>
          <w:color w:val="000000"/>
          <w:sz w:val="24"/>
        </w:rPr>
        <w:t>2019年7月8日，中国银行保险监督管理委员会上海监管局针对中国建设银行股份有限公司信用卡中心的如下违法违规行为作出“责令改正，并处罚款30万元”的行政处罚决定：1、2017年5月在为部分客户办理信用卡业务时，未遵守总授信额度管理制度；2、2017年9月、10月对部分信用卡申请人资信水平调查严重不尽职。2019年12月27日，中国银行保险监督管理委员会对中国建设银行股份有限公司的如下违法违规行为作出“罚款80万元”的行政处罚决定：1、用于风险缓释的保证金管理存在漏洞；2、国别风险管理不完善。2020年4月20日，中国银行保险监督管理委员会对中国建设银行股份有限公司的如下违法违规行为作出“罚款230万元”的行政处罚决定：建设银行监管标准化数据（EAST）系统数据质量及数据报送存在（一）资金交易信息漏报严重；（二）信贷资产转让业务漏报；（三）银行承兑汇票业务漏报；（四）贸易融资业务漏报和错报；（五）分户账明细记录应报未报；（六）分户账账户数据应报未报；（七）关键且应报字段漏报或填报错误。</w:t>
      </w:r>
    </w:p>
    <w:p>
      <w:pPr>
        <w:widowControl/>
        <w:spacing w:line="360" w:lineRule="auto"/>
        <w:rPr>
          <w:color w:val="000000"/>
          <w:sz w:val="24"/>
        </w:rPr>
      </w:pPr>
      <w:r>
        <w:rPr>
          <w:color w:val="000000"/>
          <w:sz w:val="24"/>
        </w:rPr>
        <w:t>2019年7月3日，中国银行保险监督管理委员会针对中信银行股份有限公司的如下违法违规行为，作出“没收违法所得33.6677万元，罚款2190万元，合计2223.6677万元”的行政处罚决定：（一）未按规定提供报表且逾期未改正;（二）错报、漏报银行业监管统计资料；（三）未向监管部门报告重要信息系统运营中断事件;（四）信息系统控制存在较大安全漏洞，未做到有效的安全控制;（五）未按企业划型标准将多家企业划分为小微型企业，报送监管数据不真实;（六）向关系人发放信用贷款、向关系人发放担保贷款的条件优于其他借款人同类贷款条件;（七）重大关联交易未按规定审查审批且未向监管部门报告;（八）贷后管理不到位导致贷款资金被挪用;（九）以流动资金贷款名义发放房地产开发贷款;（十）未将房地产企业贷款计入房地产开发贷款科目;（十一）投资同一家银行机构同期非保本理财产品采用风险权重不一致;（十二）购买非保本理财产品签订可提前赎回协议，未准确计量风险加权资产;（十三）未按规定计提资产支持证券业务的风险加权资产。2020年2月20日，北京银保监局对中信银行股份有限公司的如下违法违规行为，作出“责令中信银行股份有限公司改正，并给予合计2020万元罚款”的行政处罚决定：中信银行股份有限公司违规发放土地储备贷款；受托支付不符合监管规定；信托消费贷款业务开展不审慎；流动资金贷款被挪用于股权投资；信贷资金被挪用流入房地产开发公司；个人经营性贷款资金被挪用于购房；非真实转让不良信贷资产；未对融资人交易材料合理性进行必要的审查，资金被用于缴纳土地竞买保证金；违规为房地产开发企业发放流动资金性质融资；签署抽屉协议互投涉房信贷资产腾挪信贷规模；卖出回购信贷资产收益权，实现信贷规模阶段性出表；理财资金违规投向未上市房地产企业股权；理财资金被挪用于支付土地出让价款；违规向资本金不足的房地产开发项目提供融资；并购贷款真实性审核不足，借款人变相用于置换项目公司缴纳的土地出让价款；协助合作机构签署抽屉协议，规避相关监管规定；理财资金实际用于置换项目前期股东支付的土地出让金；违规为房地产企业支付土地购置费用提供融资；违规向四证不全的商业性房地产开发项目提供融资。2020年4月20日，中国银行保险监督管理委员会对中信银行股份有限公司的如下违法违规行为作出罚款160万元的行政处罚决定：中信银行监管标准化数据（EAST）系统数据质量及数据报送存在（一）理财产品数量漏报；（二）信贷资产转让业务漏报；（三）贸易融资业务漏报；（四）分户账明细记录应报未报；（五）分户账账户数据应报未报；（六）关键且应报字段漏报或填报错误。</w:t>
      </w:r>
    </w:p>
    <w:p>
      <w:pPr>
        <w:widowControl/>
        <w:spacing w:line="360" w:lineRule="auto"/>
        <w:rPr>
          <w:color w:val="000000"/>
          <w:sz w:val="24"/>
        </w:rPr>
      </w:pPr>
      <w:r>
        <w:rPr>
          <w:color w:val="000000"/>
          <w:sz w:val="24"/>
        </w:rPr>
        <w:t>2019年12月27日，中国银行保险监督管理委员会对中国光大银行股份有限公司的如下违法违规行为作出“罚款180万元”的行政处罚决定：1、授信审批不审慎；2、为还款来源不清晰的项目办理业务；3、总行对分支机构管控不力承担管理责任。2020年2月10日，中国人民银行对中国光大银行股份有限公司的如下违法违规行为作出“罚款1820万元”的行政处罚决定：1.未按规定履行客户身份识别义务；2.未按规定保存客户身份资料和交易记录；3.未按规定报送大额交易报告和可疑交易报告；4.与身份不明的客户进行交易。2020年4月20日，中国银行保险监督管理委员会对中国光大银行股份有限公司的如下违法违规行为作出“罚款160万元”的行政处罚决定：光大银行监管标准化数据（EAST）系统数据质量及数据报送（一）分户账明细记录应报未报；（二）关键且应报字段漏报或填报错误；（三）向检查组提供与事实不符的材料；（四）账户设置不能如实反映业务实际。</w:t>
      </w:r>
    </w:p>
    <w:p>
      <w:pPr>
        <w:widowControl/>
        <w:spacing w:line="360" w:lineRule="auto"/>
        <w:rPr>
          <w:color w:val="000000"/>
          <w:sz w:val="24"/>
        </w:rPr>
      </w:pPr>
      <w:r>
        <w:rPr>
          <w:color w:val="000000"/>
          <w:sz w:val="24"/>
        </w:rPr>
        <w:t>2019年7月25日，中国银行保险监督管理委员会上海监管局针对中国农业银行股份有限公司信用卡中心的如下违法违规行为作出“责令改正，并处罚款20万元”的行政处罚决定：2017年5月至2018年6月在办理部分客户信用卡业务时未遵守总授信额度管理制度的违法违规事实。2020年1月19日，国家税务总局北京市海淀区税务局对中国农业银行股份有限公司未按照规定期限办理纳税申报和报送纳税资料的违法违规事实，作出罚款50万元的行政处罚决定。2020年3月9日，中国银行保险监督管理委员会对中国农业银行股份有限公司的如下违法违规行为作出罚款50万元的行政处罚决定：可回溯制度执行不到位、可回溯基础管理不到位、部分可回溯视频质检结果未反馈给保险公司、可回溯资料不符合监管规定。2020年4月22日，中国银行保险监督管理委员会对中国农业银行股份有限公司的如下违法违规行为作出罚款230万元的行政处罚决定：农业银行监管标准化数据（EAST）系统数据质量及数据报送（一）资金交易信息漏报严重；（二）信贷资产转让业务漏报；（三）贸易融资业务漏报；（四）分户账明细记录应报未报；（五）分户账账户数据应报未报；（六）关键且应报字段漏报或填报错误。2020年4月22日，中国银行保险监督管理委员会对中国农业银行股份有限公司的如下违法违规行为作出罚款200万元的行政处罚决定：（一）“两会一层”境外机构管理履职不到位；（二）国别风险管理不满足监管要求；（三）信贷资金被挪用作保证金；（四）未将集团成员纳入集团客户统一授信管理。</w:t>
      </w:r>
    </w:p>
    <w:p>
      <w:pPr>
        <w:widowControl/>
        <w:spacing w:line="360" w:lineRule="auto"/>
        <w:rPr>
          <w:color w:val="000000"/>
          <w:sz w:val="24"/>
        </w:rPr>
      </w:pPr>
      <w:r>
        <w:rPr>
          <w:color w:val="000000"/>
          <w:sz w:val="24"/>
        </w:rPr>
        <w:t>本基金投资19招商银行CD159、19民生银行CD448、20浦发银行CD043、19建设银行CD119、19中信银行CD205、20光大银行CD093、20中信银行CD010、20农业银行CD019的投资决策程序符合公司投资制度的规定。</w:t>
      </w:r>
    </w:p>
    <w:p>
      <w:pPr>
        <w:widowControl/>
        <w:spacing w:line="360" w:lineRule="auto"/>
        <w:rPr>
          <w:color w:val="000000"/>
          <w:sz w:val="24"/>
        </w:rPr>
      </w:pPr>
      <w:r>
        <w:rPr>
          <w:color w:val="000000"/>
          <w:sz w:val="24"/>
        </w:rPr>
        <w:t>除19招商银行CD159、19民生银行CD448、20浦发银行CD043、19建设银行CD119、19中信银行CD205、20光大银行CD093、20中信银行CD010、20农业银行CD019外，本基金投资的前十名证券的发行主体本期没有出现被监管部门立案调查，或在报告编制日前一年内受到公开谴责、处罚的情形。</w:t>
      </w:r>
    </w:p>
    <w:p w:rsidP="00976A1A" w:rsidR="00EA3F40" w:rsidRDefault="00EA3F40" w:rsidRPr="007A1ACF">
      <w:pPr>
        <w:spacing w:line="360" w:lineRule="auto"/>
        <w:rPr>
          <w:bCs/>
          <w:sz w:val="24"/>
        </w:rPr>
      </w:pPr>
      <w:r w:rsidRPr="007A1ACF">
        <w:rPr>
          <w:sz w:val="24"/>
        </w:rPr>
        <w:t>5.9.3</w:t>
      </w:r>
      <w:r w:rsidR="00B261EB">
        <w:rPr>
          <w:sz w:val="24"/>
        </w:rPr>
        <w:t>其他</w:t>
      </w:r>
      <w:bookmarkStart w:id="2" w:name="_GoBack"/>
      <w:bookmarkEnd w:id="2"/>
      <w:r w:rsidRPr="007A1ACF">
        <w:rPr>
          <w:sz w:val="24"/>
        </w:rPr>
        <w:t>资产构成</w:t>
      </w:r>
    </w:p>
    <w:tbl>
      <w:tblPr>
        <w:tblW w:type="auto" w:w="0"/>
        <w:tblInd w:type="dxa" w:w="1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0" w:val="00A0"/>
      </w:tblPr>
      <w:tblGrid>
        <w:gridCol w:w="942"/>
        <w:gridCol w:w="3535"/>
        <w:gridCol w:w="4808"/>
      </w:tblGrid>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7"/>
              <w:jc w:val="center"/>
              <w:rPr>
                <w:color w:val="000000"/>
                <w:kern w:val="0"/>
                <w:sz w:val="24"/>
              </w:rPr>
            </w:pPr>
            <w:r w:rsidRPr="00613409">
              <w:rPr>
                <w:color w:val="000000"/>
                <w:kern w:val="0"/>
                <w:sz w:val="24"/>
              </w:rPr>
              <w:t>序号</w:t>
            </w:r>
          </w:p>
        </w:tc>
        <w:tc>
          <w:tcPr>
            <w:tcW w:type="dxa" w:w="3535"/>
            <w:vAlign w:val="center"/>
          </w:tcPr>
          <w:p w:rsidP="00841A22" w:rsidR="00EA3F40" w:rsidRDefault="00EA3F40" w:rsidRPr="00613409">
            <w:pPr>
              <w:autoSpaceDE w:val="0"/>
              <w:autoSpaceDN w:val="0"/>
              <w:adjustRightInd w:val="0"/>
              <w:spacing w:before="29" w:line="360" w:lineRule="auto"/>
              <w:ind w:left="17"/>
              <w:jc w:val="center"/>
              <w:rPr>
                <w:color w:val="000000"/>
                <w:kern w:val="0"/>
                <w:sz w:val="24"/>
              </w:rPr>
            </w:pPr>
            <w:r w:rsidRPr="00613409">
              <w:rPr>
                <w:color w:val="000000"/>
                <w:kern w:val="0"/>
                <w:sz w:val="24"/>
              </w:rPr>
              <w:t>名称</w:t>
            </w:r>
          </w:p>
        </w:tc>
        <w:tc>
          <w:tcPr>
            <w:tcW w:type="dxa" w:w="4808"/>
            <w:vAlign w:val="center"/>
          </w:tcPr>
          <w:p w:rsidP="007C3671" w:rsidR="00EA3F40" w:rsidRDefault="00EA3F40" w:rsidRPr="00613409">
            <w:pPr>
              <w:autoSpaceDE w:val="0"/>
              <w:autoSpaceDN w:val="0"/>
              <w:adjustRightInd w:val="0"/>
              <w:spacing w:before="29" w:line="360" w:lineRule="auto"/>
              <w:ind w:left="17"/>
              <w:jc w:val="center"/>
              <w:rPr>
                <w:color w:val="000000"/>
                <w:kern w:val="0"/>
                <w:sz w:val="24"/>
              </w:rPr>
            </w:pPr>
            <w:r w:rsidRPr="00613409">
              <w:rPr>
                <w:color w:val="000000"/>
                <w:kern w:val="0"/>
                <w:sz w:val="24"/>
              </w:rPr>
              <w:t>金额</w:t>
            </w:r>
            <w:r w:rsidR="007C3671" w:rsidRPr="00613409">
              <w:rPr>
                <w:color w:val="000000"/>
                <w:kern w:val="0"/>
                <w:sz w:val="24"/>
              </w:rPr>
              <w:t>（元）</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sz w:val="24"/>
              </w:rPr>
              <w:t>1</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存出保证金</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37,328.32</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2</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应收证券清算款</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1,673,994,584.42</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3</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应收利息</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39,428,324.69</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4</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应收申购款</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196,978,229.87</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5</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其他应收款</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12,500.00</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6</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待摊费用</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7</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其他</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8</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合计</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1,910,450,967.30</w:t>
            </w:r>
          </w:p>
        </w:tc>
      </w:tr>
    </w:tbl>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lastRenderedPageBreak/>
        <w:t>§</w:t>
      </w:r>
      <w:r w:rsidRPr="0097021E">
        <w:rPr>
          <w:rFonts w:ascii="宋体" w:cs="Arial" w:hAnsi="宋体"/>
          <w:color w:val="000000"/>
          <w:kern w:val="0"/>
          <w:sz w:val="24"/>
          <w:szCs w:val="24"/>
        </w:rPr>
        <w:t xml:space="preserve">6  </w:t>
      </w:r>
      <w:r w:rsidRPr="0097021E">
        <w:rPr>
          <w:rFonts w:ascii="宋体" w:cs="Arial" w:hAnsi="宋体" w:hint="eastAsia"/>
          <w:color w:val="000000"/>
          <w:kern w:val="0"/>
          <w:sz w:val="24"/>
          <w:szCs w:val="24"/>
        </w:rPr>
        <w:t>开放式基金份额变动</w:t>
      </w:r>
    </w:p>
    <w:p w:rsidP="00196812" w:rsidR="00EA3F40" w:rsidRDefault="00EA3F40" w:rsidRPr="0097021E">
      <w:pPr>
        <w:autoSpaceDE w:val="0"/>
        <w:autoSpaceDN w:val="0"/>
        <w:adjustRightInd w:val="0"/>
        <w:spacing w:before="29" w:line="360" w:lineRule="auto"/>
        <w:ind w:left="15"/>
        <w:jc w:val="right"/>
        <w:rPr>
          <w:rFonts w:ascii="宋体" w:cs="Arial"/>
          <w:color w:val="000000"/>
          <w:kern w:val="0"/>
          <w:sz w:val="24"/>
        </w:rPr>
      </w:pPr>
      <w:r w:rsidRPr="0097021E">
        <w:rPr>
          <w:rFonts w:ascii="宋体" w:cs="Arial" w:hAnsi="宋体" w:hint="eastAsia"/>
          <w:color w:val="000000"/>
          <w:kern w:val="0"/>
          <w:sz w:val="24"/>
        </w:rPr>
        <w:t>单位：份</w:t>
      </w:r>
    </w:p>
    <w:tbl>
      <w:tblPr>
        <w:tblW w:type="dxa" w:w="10084"/>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3279"/>
        <w:gridCol w:w="2268"/>
        <w:gridCol w:w="2268"/>
        <w:gridCol w:w="2269"/>
      </w:tblGrid>
      <w:tr w:rsidR="00EA3F40" w:rsidRPr="0097021E" w:rsidTr="00102307">
        <w:trPr>
          <w:jc w:val="center"/>
        </w:trPr>
        <w:tc>
          <w:tcPr>
            <w:tcW w:type="dxa" w:w="3279"/>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项目</w:t>
            </w:r>
          </w:p>
        </w:tc>
        <w:tc>
          <w:tcPr>
            <w:tcW w:type="dxa" w:w="2268"/>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
            </w:r>
            <w:r w:rsidRPr="00613409">
              <w:rPr>
                <w:sz w:val="24"/>
              </w:rPr>
              <w:t>易方达货币A</w:t>
            </w:r>
          </w:p>
        </w:tc>
        <w:tc>
          <w:tcPr>
            <w:tcW w:type="dxa" w:w="2268"/>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
            </w:r>
            <w:r w:rsidRPr="00613409">
              <w:rPr>
                <w:sz w:val="24"/>
              </w:rPr>
              <w:t>易方达货币B</w:t>
            </w:r>
          </w:p>
        </w:tc>
        <w:tc>
          <w:tcPr>
            <w:tcW w:type="dxa" w:w="2269"/>
          </w:tcPr>
          <w:p w:rsidP="003451F3"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
            </w:r>
            <w:r w:rsidRPr="00613409">
              <w:rPr>
                <w:sz w:val="24"/>
              </w:rPr>
              <w:t>易方达货币E</w:t>
            </w:r>
          </w:p>
        </w:tc>
      </w:tr>
      <w:tr w:rsidR="00EA3F40" w:rsidRPr="0097021E" w:rsidTr="00F56FBC">
        <w:trPr>
          <w:jc w:val="center"/>
        </w:trPr>
        <w:tc>
          <w:tcPr>
            <w:tcW w:type="dxa" w:w="3279"/>
            <w:vAlign w:val="center"/>
          </w:tcPr>
          <w:p w:rsidP="00587524" w:rsidR="00EA3F40" w:rsidRDefault="00EA3F40" w:rsidRPr="00613409">
            <w:pPr>
              <w:autoSpaceDE w:val="0"/>
              <w:autoSpaceDN w:val="0"/>
              <w:adjustRightInd w:val="0"/>
              <w:spacing w:before="29" w:line="360" w:lineRule="auto"/>
              <w:ind w:left="17"/>
              <w:jc w:val="left"/>
              <w:rPr>
                <w:color w:val="000000"/>
                <w:kern w:val="0"/>
                <w:sz w:val="24"/>
              </w:rPr>
            </w:pPr>
            <w:r w:rsidRPr="00613409">
              <w:rPr>
                <w:color w:val="000000"/>
                <w:kern w:val="0"/>
                <w:sz w:val="24"/>
              </w:rPr>
              <w:t>报告期期初基金份额总额</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1,380,961,373.09</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36,435,096,022.57</w:t>
            </w:r>
          </w:p>
        </w:tc>
        <w:tc>
          <w:tcPr>
            <w:tcW w:type="dxa" w:w="2269"/>
            <w:vAlign w:val="center"/>
          </w:tcPr>
          <w:p w:rsidP="003A1E1E"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504,142,503.76</w:t>
            </w:r>
          </w:p>
        </w:tc>
      </w:tr>
      <w:tr w:rsidR="00EA3F40" w:rsidRPr="0097021E" w:rsidTr="00F56FBC">
        <w:trPr>
          <w:jc w:val="center"/>
        </w:trPr>
        <w:tc>
          <w:tcPr>
            <w:tcW w:type="dxa" w:w="3279"/>
          </w:tcPr>
          <w:p w:rsidP="006B56E1" w:rsidR="00EA3F40" w:rsidRDefault="00EA3F40" w:rsidRPr="00613409">
            <w:pPr>
              <w:adjustRightInd w:val="0"/>
              <w:snapToGrid w:val="0"/>
              <w:spacing w:line="340" w:lineRule="exact"/>
              <w:rPr>
                <w:color w:val="000000"/>
                <w:sz w:val="24"/>
              </w:rPr>
            </w:pPr>
            <w:r w:rsidRPr="00613409">
              <w:rPr>
                <w:color w:val="000000"/>
                <w:kern w:val="0"/>
                <w:sz w:val="24"/>
              </w:rPr>
              <w:t>报告期</w:t>
            </w:r>
            <w:r w:rsidRPr="00613409">
              <w:rPr>
                <w:color w:val="000000"/>
                <w:sz w:val="24"/>
              </w:rPr>
              <w:t>基金总申购份额</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5,781,171,401.65</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81,508,082,816.33</w:t>
            </w:r>
          </w:p>
        </w:tc>
        <w:tc>
          <w:tcPr>
            <w:tcW w:type="dxa" w:w="2269"/>
            <w:vAlign w:val="center"/>
          </w:tcPr>
          <w:p w:rsidP="003A1E1E"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46,268,261.76</w:t>
            </w:r>
          </w:p>
        </w:tc>
      </w:tr>
      <w:tr w:rsidR="00EA3F40" w:rsidRPr="0097021E" w:rsidTr="00F56FBC">
        <w:trPr>
          <w:jc w:val="center"/>
        </w:trPr>
        <w:tc>
          <w:tcPr>
            <w:tcW w:type="dxa" w:w="3279"/>
          </w:tcPr>
          <w:p w:rsidP="006B56E1" w:rsidR="00EA3F40" w:rsidRDefault="00EA3F40" w:rsidRPr="00613409">
            <w:pPr>
              <w:adjustRightInd w:val="0"/>
              <w:snapToGrid w:val="0"/>
              <w:spacing w:line="340" w:lineRule="exact"/>
              <w:rPr>
                <w:color w:val="000000"/>
                <w:sz w:val="24"/>
              </w:rPr>
            </w:pPr>
            <w:r w:rsidRPr="00613409">
              <w:rPr>
                <w:color w:val="000000"/>
                <w:kern w:val="0"/>
                <w:sz w:val="24"/>
              </w:rPr>
              <w:t>报告期</w:t>
            </w:r>
            <w:r w:rsidRPr="00613409">
              <w:rPr>
                <w:color w:val="000000"/>
                <w:sz w:val="24"/>
              </w:rPr>
              <w:t>基金总赎回份额</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5,760,435,302.01</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95,996,582,497.98</w:t>
            </w:r>
          </w:p>
        </w:tc>
        <w:tc>
          <w:tcPr>
            <w:tcW w:type="dxa" w:w="2269"/>
            <w:vAlign w:val="center"/>
          </w:tcPr>
          <w:p w:rsidP="003A1E1E"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255,472,887.87</w:t>
            </w:r>
          </w:p>
        </w:tc>
      </w:tr>
      <w:tr w:rsidR="00EA3F40" w:rsidRPr="0097021E" w:rsidTr="00A40052">
        <w:trPr>
          <w:jc w:val="center"/>
        </w:trPr>
        <w:tc>
          <w:tcPr>
            <w:tcW w:type="dxa" w:w="3279"/>
          </w:tcPr>
          <w:p w:rsidP="00587524" w:rsidR="00EA3F40" w:rsidRDefault="00EA3F40" w:rsidRPr="00613409">
            <w:pPr>
              <w:adjustRightInd w:val="0"/>
              <w:snapToGrid w:val="0"/>
              <w:spacing w:line="340" w:lineRule="exact"/>
              <w:rPr>
                <w:color w:val="000000"/>
                <w:sz w:val="24"/>
              </w:rPr>
            </w:pPr>
            <w:r w:rsidRPr="00613409">
              <w:rPr>
                <w:color w:val="000000"/>
                <w:sz w:val="24"/>
              </w:rPr>
              <w:t>报告期期末基金份额总额</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1,401,697,472.73</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21,946,596,340.92</w:t>
            </w:r>
          </w:p>
        </w:tc>
        <w:tc>
          <w:tcPr>
            <w:tcW w:type="dxa" w:w="2269"/>
            <w:vAlign w:val="center"/>
          </w:tcPr>
          <w:p w:rsidP="003A1E1E"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294,937,877.65</w:t>
            </w:r>
          </w:p>
        </w:tc>
      </w:tr>
    </w:tbl>
    <w:p w:rsidP="001752C7" w:rsidR="00EA3F40" w:rsidRDefault="00EA3F40" w:rsidRPr="001752C7">
      <w:pPr>
        <w:adjustRightInd w:val="0"/>
        <w:spacing w:line="360" w:lineRule="auto"/>
        <w:ind w:firstLine="480" w:firstLineChars="200"/>
        <w:rPr>
          <w:color w:val="000000"/>
          <w:sz w:val="24"/>
        </w:rPr>
      </w:pPr>
      <w:r w:rsidRPr="001752C7">
        <w:rPr>
          <w:color w:val="000000"/>
          <w:sz w:val="24"/>
        </w:rPr>
        <w:t>注：A类和B类总申购份额含因份额升降级等原因导致的强制调增份额, 总赎回份额含因份额升降级等原因导致的强制调减份额。</w:t>
      </w:r>
    </w:p>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color w:val="000000"/>
          <w:kern w:val="0"/>
          <w:sz w:val="24"/>
          <w:szCs w:val="24"/>
        </w:rPr>
        <w:t/>
      </w:r>
      <w:r w:rsidRPr="0097021E">
        <w:rPr>
          <w:rFonts w:ascii="宋体" w:cs="Arial" w:hAnsi="宋体"/>
          <w:color w:val="000000"/>
          <w:kern w:val="0"/>
          <w:sz w:val="24"/>
          <w:szCs w:val="24"/>
        </w:rPr>
        <w:t/>
      </w:r>
      <w:r w:rsidRPr="0097021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Pr="0097021E">
        <w:rPr>
          <w:rFonts w:ascii="宋体" w:cs="Arial"/>
          <w:color w:val="000000"/>
          <w:kern w:val="0"/>
          <w:sz w:val="24"/>
          <w:szCs w:val="24"/>
        </w:rPr>
        <w:t>7</w:t>
      </w:r>
      <w:r w:rsidRPr="0097021E">
        <w:rPr>
          <w:rFonts w:ascii="宋体" w:cs="Arial" w:hAnsi="宋体"/>
          <w:color w:val="000000"/>
          <w:kern w:val="0"/>
          <w:sz w:val="24"/>
          <w:szCs w:val="24"/>
        </w:rPr>
        <w:t xml:space="preserve">  </w:t>
      </w:r>
      <w:r w:rsidRPr="00877329">
        <w:rPr>
          <w:rFonts w:ascii="宋体" w:cs="Arial" w:hAnsi="宋体" w:hint="eastAsia"/>
          <w:color w:val="000000"/>
          <w:kern w:val="0"/>
          <w:sz w:val="24"/>
          <w:szCs w:val="24"/>
        </w:rPr>
        <w:t>基金管理人运用固有资金投资本基金交易明细</w:t>
      </w:r>
    </w:p>
    <w:p w:rsidP="001752C7" w:rsidR="00EA3F40" w:rsidRDefault="00EA3F40" w:rsidRPr="001752C7">
      <w:pPr>
        <w:adjustRightInd w:val="0"/>
        <w:spacing w:line="360" w:lineRule="auto"/>
        <w:ind w:firstLine="480" w:firstLineChars="200"/>
        <w:rPr>
          <w:color w:val="000000"/>
          <w:sz w:val="24"/>
        </w:rPr>
      </w:pPr>
      <w:r w:rsidRPr="001752C7">
        <w:rPr>
          <w:color w:val="000000"/>
          <w:sz w:val="24"/>
        </w:rPr>
        <w:t xml:space="preserve">本报告期内基金管理人未运用固有资金申购、赎回、买卖本基金份额。 </w:t>
      </w:r>
    </w:p>
    <w:p w:rsidP="00A74DD3" w:rsidR="00A74DD3" w:rsidRDefault="00A74DD3" w:rsidRPr="004B7A92">
      <w:pPr>
        <w:pStyle w:val="1"/>
        <w:spacing w:after="312" w:afterLines="100" w:before="312" w:beforeLines="100" w:line="360" w:lineRule="auto"/>
        <w:jc w:val="center"/>
        <w:rPr>
          <w:rFonts w:ascii="宋体" w:hAnsi="宋体"/>
          <w:color w:val="000000"/>
          <w:kern w:val="0"/>
          <w:sz w:val="24"/>
          <w:szCs w:val="24"/>
        </w:rPr>
      </w:pPr>
      <w:r w:rsidRPr="004B7A92">
        <w:rPr>
          <w:rFonts w:ascii="宋体" w:hAnsi="宋体"/>
          <w:color w:val="000000"/>
          <w:kern w:val="0"/>
          <w:sz w:val="24"/>
          <w:szCs w:val="24"/>
        </w:rPr>
        <w:t>§8</w:t>
      </w:r>
      <w:r w:rsidR="004F459B" w:rsidRPr="0097021E">
        <w:rPr>
          <w:rFonts w:ascii="宋体" w:cs="Arial" w:hAnsi="宋体"/>
          <w:color w:val="000000"/>
          <w:kern w:val="0"/>
          <w:sz w:val="24"/>
          <w:szCs w:val="24"/>
        </w:rPr>
        <w:t xml:space="preserve">  </w:t>
      </w:r>
      <w:r w:rsidRPr="004B7A92">
        <w:rPr>
          <w:rFonts w:ascii="宋体" w:hAnsi="宋体"/>
          <w:color w:val="000000"/>
          <w:kern w:val="0"/>
          <w:sz w:val="24"/>
          <w:szCs w:val="24"/>
        </w:rPr>
        <w:t>影响投资者决策的其他重要信息</w:t>
      </w:r>
    </w:p>
    <w:p w:rsidP="0053782E" w:rsidR="0053782E" w:rsidRDefault="0053782E" w:rsidRPr="001F5F5D">
      <w:pPr>
        <w:autoSpaceDE w:val="0"/>
        <w:autoSpaceDN w:val="0"/>
        <w:adjustRightInd w:val="0"/>
        <w:spacing w:line="360" w:lineRule="auto"/>
        <w:jc w:val="left"/>
        <w:rPr>
          <w:rFonts w:ascii="宋体"/>
          <w:b/>
          <w:bCs/>
          <w:color w:val="000000"/>
          <w:kern w:val="0"/>
          <w:sz w:val="24"/>
        </w:rPr>
      </w:pPr>
      <w:r w:rsidRPr="001F5F5D">
        <w:rPr>
          <w:rFonts w:ascii="宋体"/>
          <w:b/>
          <w:bCs/>
          <w:color w:val="000000"/>
          <w:kern w:val="0"/>
          <w:sz w:val="24"/>
        </w:rPr>
        <w:t>8.1 报告期内单一投资者持有基金份额比例达到或超过20%的情况</w:t>
      </w:r>
    </w:p>
    <w:tbl>
      <w:tblPr>
        <w:tblW w:type="dxa" w:w="9640"/>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1" w:val="04A0"/>
      </w:tblPr>
      <w:tblGrid>
        <w:gridCol w:w="709"/>
        <w:gridCol w:w="709"/>
        <w:gridCol w:w="2126"/>
        <w:gridCol w:w="1276"/>
        <w:gridCol w:w="1276"/>
        <w:gridCol w:w="1276"/>
        <w:gridCol w:w="1417"/>
        <w:gridCol w:w="851"/>
      </w:tblGrid>
      <w:tr w:rsidR="00086731" w:rsidRPr="00FC0759" w:rsidTr="00086731">
        <w:trPr>
          <w:jc w:val="center"/>
        </w:trPr>
        <w:tc>
          <w:tcPr>
            <w:tcW w:type="dxa" w:w="709"/>
            <w:vMerge w:val="restart"/>
            <w:shd w:color="auto" w:fill="auto" w:val="clear"/>
            <w:vAlign w:val="center"/>
          </w:tcPr>
          <w:p w:rsidP="00086731" w:rsidR="0053782E" w:rsidRDefault="0053782E" w:rsidRPr="00086731">
            <w:pPr>
              <w:autoSpaceDE w:val="0"/>
              <w:autoSpaceDN w:val="0"/>
              <w:adjustRightInd w:val="0"/>
              <w:jc w:val="center"/>
              <w:rPr>
                <w:b/>
                <w:bCs/>
                <w:color w:val="000000"/>
                <w:sz w:val="24"/>
              </w:rPr>
            </w:pPr>
            <w:r w:rsidRPr="00086731">
              <w:rPr>
                <w:color w:val="000000"/>
                <w:sz w:val="24"/>
              </w:rPr>
              <w:t>投资者类别</w:t>
            </w:r>
            <w:r w:rsidRPr="00086731">
              <w:rPr>
                <w:rFonts w:eastAsia="仿宋"/>
                <w:color w:val="000000"/>
                <w:sz w:val="24"/>
              </w:rPr>
              <w:t/>
            </w:r>
          </w:p>
        </w:tc>
        <w:tc>
          <w:tcPr>
            <w:tcW w:type="dxa" w:w="6663"/>
            <w:gridSpan w:val="5"/>
            <w:shd w:color="auto" w:fill="auto" w:val="clear"/>
            <w:vAlign w:val="center"/>
          </w:tcPr>
          <w:p w:rsidP="00086731" w:rsidR="0053782E" w:rsidRDefault="0053782E" w:rsidRPr="00086731">
            <w:pPr>
              <w:autoSpaceDE w:val="0"/>
              <w:autoSpaceDN w:val="0"/>
              <w:adjustRightInd w:val="0"/>
              <w:ind w:firstLine="1126"/>
              <w:jc w:val="center"/>
              <w:rPr>
                <w:b/>
                <w:bCs/>
                <w:color w:val="000000"/>
                <w:sz w:val="24"/>
              </w:rPr>
            </w:pPr>
            <w:r w:rsidRPr="00086731">
              <w:rPr>
                <w:color w:val="000000"/>
                <w:sz w:val="24"/>
              </w:rPr>
              <w:t>报告期内持有基金份额变化情况</w:t>
            </w:r>
          </w:p>
        </w:tc>
        <w:tc>
          <w:tcPr>
            <w:tcW w:type="dxa" w:w="2268"/>
            <w:gridSpan w:val="2"/>
            <w:shd w:color="auto" w:fill="auto" w:val="clear"/>
            <w:vAlign w:val="center"/>
          </w:tcPr>
          <w:p w:rsidP="00086731" w:rsidR="0053782E" w:rsidRDefault="0053782E" w:rsidRPr="00086731">
            <w:pPr>
              <w:autoSpaceDE w:val="0"/>
              <w:autoSpaceDN w:val="0"/>
              <w:adjustRightInd w:val="0"/>
              <w:jc w:val="center"/>
              <w:rPr>
                <w:b/>
                <w:bCs/>
                <w:color w:val="000000"/>
                <w:sz w:val="24"/>
              </w:rPr>
            </w:pPr>
            <w:r w:rsidRPr="00086731">
              <w:rPr>
                <w:color w:val="000000"/>
                <w:sz w:val="24"/>
              </w:rPr>
              <w:t>报告期末持有基金情况</w:t>
            </w:r>
          </w:p>
        </w:tc>
      </w:tr>
      <w:tr w:rsidR="00086731" w:rsidRPr="00FC0759" w:rsidTr="00086731">
        <w:trPr>
          <w:jc w:val="center"/>
        </w:trPr>
        <w:tc>
          <w:tcPr>
            <w:tcW w:type="dxa" w:w="709"/>
            <w:vMerge/>
            <w:shd w:color="auto" w:fill="auto" w:val="clear"/>
            <w:vAlign w:val="center"/>
          </w:tcPr>
          <w:p w:rsidP="00086731" w:rsidR="0053782E" w:rsidRDefault="0053782E" w:rsidRPr="00086731">
            <w:pPr>
              <w:autoSpaceDE w:val="0"/>
              <w:autoSpaceDN w:val="0"/>
              <w:adjustRightInd w:val="0"/>
              <w:ind w:firstLine="1234"/>
              <w:jc w:val="center"/>
              <w:rPr>
                <w:b/>
                <w:bCs/>
                <w:color w:val="000000"/>
                <w:sz w:val="24"/>
              </w:rPr>
            </w:pPr>
          </w:p>
        </w:tc>
        <w:tc>
          <w:tcPr>
            <w:tcW w:type="dxa" w:w="709"/>
            <w:shd w:color="auto" w:fill="auto" w:val="clear"/>
            <w:vAlign w:val="center"/>
          </w:tcPr>
          <w:p w:rsidP="00086731" w:rsidR="0053782E" w:rsidRDefault="0053782E" w:rsidRPr="00086731">
            <w:pPr>
              <w:autoSpaceDE w:val="0"/>
              <w:autoSpaceDN w:val="0"/>
              <w:adjustRightInd w:val="0"/>
              <w:jc w:val="center"/>
              <w:rPr>
                <w:b/>
                <w:bCs/>
                <w:color w:val="000000"/>
                <w:sz w:val="24"/>
              </w:rPr>
            </w:pPr>
            <w:r w:rsidRPr="00086731">
              <w:rPr>
                <w:color w:val="000000"/>
                <w:sz w:val="24"/>
              </w:rPr>
              <w:t>序号</w:t>
            </w:r>
          </w:p>
        </w:tc>
        <w:tc>
          <w:tcPr>
            <w:tcW w:type="dxa" w:w="2126"/>
            <w:shd w:color="auto" w:fill="auto" w:val="clear"/>
            <w:vAlign w:val="center"/>
          </w:tcPr>
          <w:p w:rsidP="00086731" w:rsidR="0053782E" w:rsidRDefault="0053782E" w:rsidRPr="00086731">
            <w:pPr>
              <w:autoSpaceDE w:val="0"/>
              <w:autoSpaceDN w:val="0"/>
              <w:adjustRightInd w:val="0"/>
              <w:jc w:val="center"/>
              <w:rPr>
                <w:b/>
                <w:bCs/>
                <w:color w:val="000000"/>
                <w:sz w:val="24"/>
              </w:rPr>
            </w:pPr>
            <w:r w:rsidRPr="00086731">
              <w:rPr>
                <w:color w:val="000000"/>
                <w:sz w:val="24"/>
              </w:rPr>
              <w:t>持有基金份额比例达到或者超过</w:t>
            </w:r>
            <w:r w:rsidRPr="00086731">
              <w:rPr>
                <w:color w:val="000000"/>
                <w:sz w:val="24"/>
              </w:rPr>
              <w:t>20%</w:t>
            </w:r>
            <w:r w:rsidRPr="00086731">
              <w:rPr>
                <w:color w:val="000000"/>
                <w:sz w:val="24"/>
              </w:rPr>
              <w:t>的时间区间</w:t>
            </w:r>
          </w:p>
        </w:tc>
        <w:tc>
          <w:tcPr>
            <w:tcW w:type="dxa" w:w="1276"/>
            <w:shd w:color="auto" w:fill="auto" w:val="clear"/>
            <w:vAlign w:val="center"/>
          </w:tcPr>
          <w:p w:rsidP="00086731" w:rsidR="0053782E" w:rsidRDefault="0053782E" w:rsidRPr="00086731">
            <w:pPr>
              <w:widowControl/>
              <w:rPr>
                <w:b/>
                <w:bCs/>
                <w:color w:val="000000"/>
                <w:sz w:val="24"/>
              </w:rPr>
            </w:pPr>
            <w:r w:rsidRPr="00086731">
              <w:rPr>
                <w:color w:val="000000"/>
                <w:sz w:val="24"/>
              </w:rPr>
              <w:t>期初份额</w:t>
            </w:r>
          </w:p>
        </w:tc>
        <w:tc>
          <w:tcPr>
            <w:tcW w:type="dxa" w:w="1276"/>
            <w:shd w:color="auto" w:fill="auto" w:val="clear"/>
            <w:vAlign w:val="center"/>
          </w:tcPr>
          <w:p w:rsidP="00086731" w:rsidR="0053782E" w:rsidRDefault="0053782E" w:rsidRPr="00086731">
            <w:pPr>
              <w:widowControl/>
              <w:rPr>
                <w:b/>
                <w:bCs/>
                <w:color w:val="000000"/>
                <w:sz w:val="24"/>
              </w:rPr>
            </w:pPr>
            <w:r w:rsidRPr="00086731">
              <w:rPr>
                <w:color w:val="000000"/>
                <w:sz w:val="24"/>
              </w:rPr>
              <w:t>申购份额</w:t>
            </w:r>
          </w:p>
        </w:tc>
        <w:tc>
          <w:tcPr>
            <w:tcW w:type="dxa" w:w="1276"/>
            <w:shd w:color="auto" w:fill="auto" w:val="clear"/>
            <w:vAlign w:val="center"/>
          </w:tcPr>
          <w:p w:rsidP="00086731" w:rsidR="0053782E" w:rsidRDefault="0053782E" w:rsidRPr="00086731">
            <w:pPr>
              <w:widowControl/>
              <w:rPr>
                <w:b/>
                <w:bCs/>
                <w:color w:val="000000"/>
                <w:sz w:val="24"/>
              </w:rPr>
            </w:pPr>
            <w:r w:rsidRPr="00086731">
              <w:rPr>
                <w:color w:val="000000"/>
                <w:sz w:val="24"/>
              </w:rPr>
              <w:t>赎回份额</w:t>
            </w:r>
          </w:p>
        </w:tc>
        <w:tc>
          <w:tcPr>
            <w:tcW w:type="dxa" w:w="1417"/>
            <w:shd w:color="auto" w:fill="auto" w:val="clear"/>
            <w:vAlign w:val="center"/>
          </w:tcPr>
          <w:p w:rsidP="00086731" w:rsidR="0053782E" w:rsidRDefault="0053782E" w:rsidRPr="00086731">
            <w:pPr>
              <w:autoSpaceDE w:val="0"/>
              <w:autoSpaceDN w:val="0"/>
              <w:adjustRightInd w:val="0"/>
              <w:jc w:val="center"/>
              <w:rPr>
                <w:b/>
                <w:bCs/>
                <w:color w:val="000000"/>
                <w:sz w:val="24"/>
              </w:rPr>
            </w:pPr>
            <w:r w:rsidRPr="00086731">
              <w:rPr>
                <w:color w:val="000000"/>
                <w:sz w:val="24"/>
              </w:rPr>
              <w:t>持有份额</w:t>
            </w:r>
          </w:p>
        </w:tc>
        <w:tc>
          <w:tcPr>
            <w:tcW w:type="dxa" w:w="851"/>
            <w:shd w:color="auto" w:fill="auto" w:val="clear"/>
            <w:vAlign w:val="center"/>
          </w:tcPr>
          <w:p w:rsidP="00086731" w:rsidR="0053782E" w:rsidRDefault="0053782E" w:rsidRPr="00086731">
            <w:pPr>
              <w:autoSpaceDE w:val="0"/>
              <w:autoSpaceDN w:val="0"/>
              <w:adjustRightInd w:val="0"/>
              <w:jc w:val="center"/>
              <w:rPr>
                <w:b/>
                <w:bCs/>
                <w:color w:val="000000"/>
                <w:sz w:val="24"/>
              </w:rPr>
            </w:pPr>
            <w:r w:rsidRPr="00086731">
              <w:rPr>
                <w:color w:val="000000"/>
                <w:sz w:val="24"/>
              </w:rPr>
              <w:t>份额占比</w:t>
            </w:r>
          </w:p>
        </w:tc>
      </w:tr>
      <w:tr>
        <w:tc>
          <w:tcPr>
            <w:vMerge w:val="restart"/>
            <w:vAlign w:val="center"/>
          </w:tcPr>
          <w:p>
            <w:r>
              <w:rPr>
                <w:bCs/>
                <w:color w:val="000000"/>
                <w:sz w:val="24"/>
              </w:rPr>
              <w:t>机构</w:t>
            </w:r>
          </w:p>
        </w:tc>
        <w:tc>
          <w:tcPr>
            <w:vAlign w:val="center"/>
          </w:tcPr>
          <w:p>
            <w:pPr>
              <w:jc w:val="center"/>
            </w:pPr>
            <w:r>
              <w:rPr>
                <w:sz w:val="24"/>
              </w:rPr>
              <w:t>1</w:t>
            </w:r>
          </w:p>
        </w:tc>
        <w:tc>
          <w:tcPr>
            <w:vAlign w:val="center"/>
          </w:tcPr>
          <w:p>
            <w:pPr>
              <w:jc w:val="center"/>
            </w:pPr>
            <w:r>
              <w:rPr>
                <w:sz w:val="24"/>
              </w:rPr>
              <w:t>2020年04月22日,2020年04月27日~2020年06月23日</w:t>
            </w:r>
          </w:p>
        </w:tc>
        <w:tc>
          <w:tcPr>
            <w:vAlign w:val="center"/>
          </w:tcPr>
          <w:p>
            <w:pPr>
              <w:jc w:val="center"/>
            </w:pPr>
            <w:r>
              <w:rPr>
                <w:sz w:val="24"/>
              </w:rPr>
              <w:t>-</w:t>
            </w:r>
          </w:p>
        </w:tc>
        <w:tc>
          <w:tcPr>
            <w:vAlign w:val="center"/>
          </w:tcPr>
          <w:p>
            <w:pPr>
              <w:jc w:val="center"/>
            </w:pPr>
            <w:r>
              <w:rPr>
                <w:sz w:val="24"/>
              </w:rPr>
              <w:t>13,835,465,508.14</w:t>
            </w:r>
          </w:p>
        </w:tc>
        <w:tc>
          <w:tcPr>
            <w:vAlign w:val="center"/>
          </w:tcPr>
          <w:p>
            <w:pPr>
              <w:jc w:val="center"/>
            </w:pPr>
            <w:r>
              <w:rPr>
                <w:sz w:val="24"/>
              </w:rPr>
              <w:t>13,835,465,508.14</w:t>
            </w:r>
          </w:p>
        </w:tc>
        <w:tc>
          <w:tcPr>
            <w:vAlign w:val="center"/>
          </w:tcPr>
          <w:p>
            <w:pPr>
              <w:jc w:val="center"/>
            </w:pPr>
            <w:r>
              <w:rPr>
                <w:sz w:val="24"/>
              </w:rPr>
              <w:t>-</w:t>
            </w:r>
          </w:p>
        </w:tc>
        <w:tc>
          <w:tcPr>
            <w:vAlign w:val="center"/>
          </w:tcPr>
          <w:p>
            <w:pPr>
              <w:jc w:val="center"/>
            </w:pPr>
            <w:r>
              <w:rPr>
                <w:sz w:val="24"/>
              </w:rPr>
              <w:t>-</w:t>
            </w:r>
          </w:p>
        </w:tc>
      </w:tr>
      <w:tr>
        <w:tc>
          <w:tcPr>
            <w:vMerge/>
          </w:tcPr>
          <w:p/>
        </w:tc>
        <w:tc>
          <w:tcPr>
            <w:vAlign w:val="center"/>
          </w:tcPr>
          <w:p>
            <w:pPr>
              <w:jc w:val="center"/>
            </w:pPr>
            <w:r>
              <w:rPr>
                <w:sz w:val="24"/>
              </w:rPr>
              <w:t>2</w:t>
            </w:r>
          </w:p>
        </w:tc>
        <w:tc>
          <w:tcPr>
            <w:vAlign w:val="center"/>
          </w:tcPr>
          <w:p>
            <w:pPr>
              <w:jc w:val="center"/>
            </w:pPr>
            <w:r>
              <w:rPr>
                <w:sz w:val="24"/>
              </w:rPr>
              <w:t>2020年04月01日~2020年04月06日,2020年04月08日~2020年06月30日</w:t>
            </w:r>
          </w:p>
        </w:tc>
        <w:tc>
          <w:tcPr>
            <w:vAlign w:val="center"/>
          </w:tcPr>
          <w:p>
            <w:pPr>
              <w:jc w:val="center"/>
            </w:pPr>
            <w:r>
              <w:rPr>
                <w:sz w:val="24"/>
              </w:rPr>
              <w:t>10,353,343,678.11</w:t>
            </w:r>
          </w:p>
        </w:tc>
        <w:tc>
          <w:tcPr>
            <w:vAlign w:val="center"/>
          </w:tcPr>
          <w:p>
            <w:pPr>
              <w:jc w:val="center"/>
            </w:pPr>
            <w:r>
              <w:rPr>
                <w:sz w:val="24"/>
              </w:rPr>
              <w:t>7,052,668,051.94</w:t>
            </w:r>
          </w:p>
        </w:tc>
        <w:tc>
          <w:tcPr>
            <w:vAlign w:val="center"/>
          </w:tcPr>
          <w:p>
            <w:pPr>
              <w:jc w:val="center"/>
            </w:pPr>
            <w:r>
              <w:rPr>
                <w:sz w:val="24"/>
              </w:rPr>
              <w:t>9,000,000,000.00</w:t>
            </w:r>
          </w:p>
        </w:tc>
        <w:tc>
          <w:tcPr>
            <w:vAlign w:val="center"/>
          </w:tcPr>
          <w:p>
            <w:pPr>
              <w:jc w:val="center"/>
            </w:pPr>
            <w:r>
              <w:rPr>
                <w:sz w:val="24"/>
              </w:rPr>
              <w:t>8,406,011,730.05</w:t>
            </w:r>
          </w:p>
        </w:tc>
        <w:tc>
          <w:tcPr>
            <w:vAlign w:val="center"/>
          </w:tcPr>
          <w:p>
            <w:pPr>
              <w:jc w:val="center"/>
            </w:pPr>
            <w:r>
              <w:rPr>
                <w:sz w:val="24"/>
              </w:rPr>
              <w:t>35.55%</w:t>
            </w:r>
          </w:p>
        </w:tc>
      </w:tr>
    </w:tbl>
    <w:tbl>
      <w:tblPr>
        <w:tblW w:type="dxa" w:w="9637"/>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1" w:val="04A0"/>
      </w:tblPr>
      <w:tblGrid>
        <w:gridCol w:w="9637"/>
      </w:tblGrid>
      <w:tr w:rsidR="0053782E" w:rsidRPr="00FC0759" w:rsidTr="00086731">
        <w:trPr>
          <w:jc w:val="center"/>
        </w:trPr>
        <w:tc>
          <w:tcPr>
            <w:tcW w:type="dxa" w:w="9637"/>
            <w:shd w:color="auto" w:fill="auto" w:val="clear"/>
            <w:vAlign w:val="center"/>
          </w:tcPr>
          <w:p w:rsidP="00B65C2B" w:rsidR="0053782E" w:rsidRDefault="0053782E" w:rsidRPr="00086731">
            <w:pPr>
              <w:autoSpaceDE w:val="0"/>
              <w:autoSpaceDN w:val="0"/>
              <w:adjustRightInd w:val="0"/>
              <w:jc w:val="center"/>
              <w:rPr>
                <w:sz w:val="24"/>
              </w:rPr>
            </w:pPr>
            <w:r w:rsidRPr="00086731">
              <w:rPr>
                <w:color w:val="000000"/>
                <w:sz w:val="24"/>
              </w:rPr>
              <w:lastRenderedPageBreak/>
              <w:t>产品特有风险</w:t>
            </w:r>
            <w:r w:rsidRPr="00086731">
              <w:rPr>
                <w:sz w:val="24"/>
              </w:rPr>
              <w:t/>
            </w:r>
          </w:p>
        </w:tc>
      </w:tr>
      <w:tr w:rsidR="0053782E" w:rsidRPr="00FC0759" w:rsidTr="00086731">
        <w:trPr>
          <w:jc w:val="center"/>
        </w:trPr>
        <w:tc>
          <w:tcPr>
            <w:tcW w:type="dxa" w:w="9637"/>
            <w:shd w:color="auto" w:fill="auto" w:val="clear"/>
            <w:vAlign w:val="center"/>
          </w:tcPr>
          <w:p w:rsidP="00086731" w:rsidR="0053782E" w:rsidRDefault="0053782E" w:rsidRPr="00086731">
            <w:pPr>
              <w:autoSpaceDE w:val="0"/>
              <w:autoSpaceDN w:val="0"/>
              <w:adjustRightInd w:val="0"/>
              <w:jc w:val="left"/>
              <w:rPr>
                <w:sz w:val="24"/>
              </w:rPr>
            </w:pPr>
            <w:r w:rsidRPr="00086731">
              <w:rPr>
                <w:sz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p w:rsidP="0053782E" w:rsidR="0053782E" w:rsidRDefault="0053782E" w:rsidRPr="0053782E">
      <w:pPr>
        <w:autoSpaceDE w:val="0"/>
        <w:autoSpaceDN w:val="0"/>
        <w:adjustRightInd w:val="0"/>
        <w:spacing w:line="360" w:lineRule="auto"/>
        <w:ind w:firstLine="480" w:firstLineChars="200"/>
        <w:jc w:val="left"/>
        <w:rPr>
          <w:bCs/>
          <w:color w:val="000000"/>
          <w:kern w:val="0"/>
          <w:sz w:val="24"/>
        </w:rPr>
      </w:pPr>
      <w:r w:rsidRPr="0053782E">
        <w:rPr>
          <w:bCs/>
          <w:color w:val="000000"/>
          <w:kern w:val="0"/>
          <w:sz w:val="24"/>
        </w:rPr>
        <w:t>注：申购份额包括申购或者买入基金份额，赎回份额包括赎回或者卖出基金份额。</w:t>
      </w:r>
    </w:p>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color w:val="000000"/>
          <w:kern w:val="0"/>
          <w:sz w:val="24"/>
          <w:szCs w:val="24"/>
        </w:rPr>
        <w:t/>
      </w:r>
      <w:r w:rsidRPr="0097021E">
        <w:rPr>
          <w:rFonts w:ascii="宋体" w:cs="Arial" w:hAnsi="宋体"/>
          <w:color w:val="000000"/>
          <w:kern w:val="0"/>
          <w:sz w:val="24"/>
          <w:szCs w:val="24"/>
        </w:rPr>
        <w:t xml:space="preserve">9  </w:t>
      </w:r>
      <w:r w:rsidRPr="0097021E">
        <w:rPr>
          <w:rFonts w:ascii="宋体" w:cs="Arial" w:hAnsi="宋体" w:hint="eastAsia"/>
          <w:color w:val="000000"/>
          <w:kern w:val="0"/>
          <w:sz w:val="24"/>
          <w:szCs w:val="24"/>
        </w:rPr>
        <w:t>备查文件目录</w:t>
      </w:r>
    </w:p>
    <w:p w:rsidP="00394BC1" w:rsidR="00EA3F40" w:rsidRDefault="00EA3F40" w:rsidRPr="0097021E">
      <w:pPr>
        <w:autoSpaceDE w:val="0"/>
        <w:autoSpaceDN w:val="0"/>
        <w:adjustRightInd w:val="0"/>
        <w:spacing w:line="360" w:lineRule="auto"/>
        <w:jc w:val="left"/>
        <w:rPr>
          <w:rFonts w:ascii="宋体"/>
          <w:b/>
          <w:bCs/>
          <w:color w:val="000000"/>
          <w:kern w:val="0"/>
          <w:sz w:val="24"/>
        </w:rPr>
      </w:pPr>
      <w:r w:rsidRPr="0097021E">
        <w:rPr>
          <w:rFonts w:ascii="宋体" w:cs="Arial"/>
          <w:b/>
          <w:color w:val="000000"/>
          <w:kern w:val="0"/>
          <w:sz w:val="24"/>
        </w:rPr>
        <w:t/>
      </w:r>
      <w:r w:rsidRPr="0097021E">
        <w:rPr>
          <w:rFonts w:ascii="宋体" w:cs="Arial" w:hAnsi="宋体"/>
          <w:b/>
          <w:color w:val="000000"/>
          <w:kern w:val="0"/>
          <w:sz w:val="24"/>
        </w:rPr>
        <w:t>9</w:t>
      </w:r>
      <w:r w:rsidRPr="0097021E">
        <w:rPr>
          <w:rFonts w:ascii="宋体" w:hAnsi="宋体"/>
          <w:b/>
          <w:bCs/>
          <w:color w:val="000000"/>
          <w:kern w:val="0"/>
          <w:sz w:val="24"/>
        </w:rPr>
        <w:t xml:space="preserve">.1 </w:t>
      </w:r>
      <w:r w:rsidRPr="0097021E">
        <w:rPr>
          <w:rFonts w:ascii="宋体" w:hAnsi="宋体" w:hint="eastAsia"/>
          <w:b/>
          <w:bCs/>
          <w:color w:val="000000"/>
          <w:kern w:val="0"/>
          <w:sz w:val="24"/>
        </w:rPr>
        <w:t>备查文件目录</w:t>
      </w:r>
    </w:p>
    <w:p>
      <w:pPr>
        <w:adjustRightInd w:val="0"/>
        <w:spacing w:line="360" w:lineRule="auto"/>
        <w:ind w:firstLine="480" w:firstLineChars="200"/>
        <w:rPr>
          <w:color w:val="000000"/>
          <w:sz w:val="24"/>
        </w:rPr>
      </w:pPr>
      <w:r>
        <w:rPr>
          <w:color w:val="000000"/>
          <w:sz w:val="24"/>
        </w:rPr>
        <w:t>1.中国证监会批准易方达货币市场基金设立的文件；</w:t>
      </w:r>
    </w:p>
    <w:p>
      <w:pPr>
        <w:adjustRightInd w:val="0"/>
        <w:spacing w:line="360" w:lineRule="auto"/>
        <w:ind w:firstLine="480" w:firstLineChars="200"/>
        <w:rPr>
          <w:color w:val="000000"/>
          <w:sz w:val="24"/>
        </w:rPr>
      </w:pPr>
      <w:r>
        <w:rPr>
          <w:color w:val="000000"/>
          <w:sz w:val="24"/>
        </w:rPr>
        <w:t>2.《易方达货币市场基金基金合同》；</w:t>
      </w:r>
    </w:p>
    <w:p>
      <w:pPr>
        <w:adjustRightInd w:val="0"/>
        <w:spacing w:line="360" w:lineRule="auto"/>
        <w:ind w:firstLine="480" w:firstLineChars="200"/>
        <w:rPr>
          <w:color w:val="000000"/>
          <w:sz w:val="24"/>
        </w:rPr>
      </w:pPr>
      <w:r>
        <w:rPr>
          <w:color w:val="000000"/>
          <w:sz w:val="24"/>
        </w:rPr>
        <w:t xml:space="preserve">3.《易方达货币市场基金托管协议》； </w:t>
      </w:r>
    </w:p>
    <w:p>
      <w:pPr>
        <w:adjustRightInd w:val="0"/>
        <w:spacing w:line="360" w:lineRule="auto"/>
        <w:ind w:firstLine="480" w:firstLineChars="200"/>
        <w:rPr>
          <w:color w:val="000000"/>
          <w:sz w:val="24"/>
        </w:rPr>
      </w:pPr>
      <w:r>
        <w:rPr>
          <w:color w:val="000000"/>
          <w:sz w:val="24"/>
        </w:rPr>
        <w:t>4.《易方达基金管理有限公司开放式基金业务规则》；</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5.基金管理人业务资格批件和营业执照。</w:t>
      </w:r>
    </w:p>
    <w:p w:rsidP="00394BC1" w:rsidR="00EA3F40" w:rsidRDefault="00EA3F40" w:rsidRPr="0097021E">
      <w:pPr>
        <w:autoSpaceDE w:val="0"/>
        <w:autoSpaceDN w:val="0"/>
        <w:adjustRightInd w:val="0"/>
        <w:spacing w:line="360" w:lineRule="auto"/>
        <w:jc w:val="left"/>
        <w:rPr>
          <w:rFonts w:ascii="宋体"/>
          <w:b/>
          <w:bCs/>
          <w:color w:val="000000"/>
          <w:kern w:val="0"/>
          <w:sz w:val="24"/>
        </w:rPr>
      </w:pPr>
      <w:r w:rsidRPr="0097021E">
        <w:rPr>
          <w:rFonts w:ascii="宋体" w:cs="Arial"/>
          <w:b/>
          <w:color w:val="000000"/>
          <w:kern w:val="0"/>
          <w:sz w:val="24"/>
        </w:rPr>
        <w:t/>
      </w:r>
      <w:r w:rsidRPr="0097021E">
        <w:rPr>
          <w:rFonts w:ascii="宋体" w:cs="Arial" w:hAnsi="宋体"/>
          <w:b/>
          <w:color w:val="000000"/>
          <w:kern w:val="0"/>
          <w:sz w:val="24"/>
        </w:rPr>
        <w:t>9</w:t>
      </w:r>
      <w:r w:rsidRPr="0097021E">
        <w:rPr>
          <w:rFonts w:ascii="宋体" w:hAnsi="宋体"/>
          <w:b/>
          <w:bCs/>
          <w:color w:val="000000"/>
          <w:kern w:val="0"/>
          <w:sz w:val="24"/>
        </w:rPr>
        <w:t xml:space="preserve">.2 </w:t>
      </w:r>
      <w:r w:rsidRPr="0097021E">
        <w:rPr>
          <w:rFonts w:ascii="宋体" w:hAnsi="宋体" w:hint="eastAsia"/>
          <w:b/>
          <w:bCs/>
          <w:color w:val="000000"/>
          <w:kern w:val="0"/>
          <w:sz w:val="24"/>
        </w:rPr>
        <w:t>存放地点</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广州市天河区珠江新城珠江东路30号广州银行大厦40-43楼。</w:t>
      </w:r>
    </w:p>
    <w:p w:rsidP="00394BC1" w:rsidR="00EA3F40" w:rsidRDefault="00EA3F40" w:rsidRPr="0097021E">
      <w:pPr>
        <w:autoSpaceDE w:val="0"/>
        <w:autoSpaceDN w:val="0"/>
        <w:adjustRightInd w:val="0"/>
        <w:spacing w:line="360" w:lineRule="auto"/>
        <w:jc w:val="left"/>
        <w:rPr>
          <w:rFonts w:ascii="宋体"/>
          <w:b/>
          <w:bCs/>
          <w:color w:val="000000"/>
          <w:kern w:val="0"/>
          <w:sz w:val="24"/>
        </w:rPr>
      </w:pPr>
      <w:r w:rsidRPr="0097021E">
        <w:rPr>
          <w:rFonts w:ascii="宋体" w:cs="Arial"/>
          <w:b/>
          <w:color w:val="000000"/>
          <w:kern w:val="0"/>
          <w:sz w:val="24"/>
        </w:rPr>
        <w:t/>
      </w:r>
      <w:r w:rsidRPr="0097021E">
        <w:rPr>
          <w:rFonts w:ascii="宋体" w:cs="Arial" w:hAnsi="宋体"/>
          <w:b/>
          <w:color w:val="000000"/>
          <w:kern w:val="0"/>
          <w:sz w:val="24"/>
        </w:rPr>
        <w:t>9</w:t>
      </w:r>
      <w:r w:rsidRPr="0097021E">
        <w:rPr>
          <w:rFonts w:ascii="宋体" w:hAnsi="宋体"/>
          <w:b/>
          <w:bCs/>
          <w:color w:val="000000"/>
          <w:kern w:val="0"/>
          <w:sz w:val="24"/>
        </w:rPr>
        <w:t xml:space="preserve">.3 </w:t>
      </w:r>
      <w:r w:rsidRPr="0097021E">
        <w:rPr>
          <w:rFonts w:ascii="宋体" w:hAnsi="宋体" w:hint="eastAsia"/>
          <w:b/>
          <w:bCs/>
          <w:color w:val="000000"/>
          <w:kern w:val="0"/>
          <w:sz w:val="24"/>
        </w:rPr>
        <w:t>查阅方式</w:t>
      </w:r>
    </w:p>
    <w:p w:rsidP="001752C7" w:rsidR="00EA3F40" w:rsidRDefault="00EA3F40" w:rsidRPr="001752C7">
      <w:pPr>
        <w:adjustRightInd w:val="0"/>
        <w:spacing w:line="360" w:lineRule="auto"/>
        <w:ind w:firstLine="480" w:firstLineChars="200"/>
        <w:rPr>
          <w:color w:val="000000"/>
          <w:sz w:val="24"/>
        </w:rPr>
      </w:pPr>
      <w:r w:rsidRPr="001752C7">
        <w:rPr>
          <w:color w:val="000000"/>
          <w:sz w:val="24"/>
        </w:rPr>
        <w:t>投资者可在营业时间免费查阅，也可按工本费购买复印件。</w:t>
      </w:r>
    </w:p>
    <w:p w:rsidP="009216A0" w:rsidR="00EA3F40" w:rsidRDefault="00EA3F40">
      <w:pPr>
        <w:spacing w:line="360" w:lineRule="auto"/>
        <w:ind w:firstLine="480" w:firstLineChars="200"/>
        <w:rPr>
          <w:rFonts w:ascii="宋体"/>
          <w:color w:val="000000"/>
          <w:sz w:val="24"/>
        </w:rPr>
      </w:pPr>
    </w:p>
    <w:p w:rsidP="009216A0" w:rsidR="00EA3F40" w:rsidRDefault="00EA3F40">
      <w:pPr>
        <w:spacing w:line="360" w:lineRule="auto"/>
        <w:ind w:firstLine="480" w:firstLineChars="200"/>
        <w:rPr>
          <w:rFonts w:ascii="宋体"/>
          <w:color w:val="000000"/>
          <w:sz w:val="24"/>
        </w:rPr>
      </w:pPr>
    </w:p>
    <w:p w:rsidP="009216A0" w:rsidR="00EA3F40" w:rsidRDefault="00EA3F40">
      <w:pPr>
        <w:spacing w:line="360" w:lineRule="auto"/>
        <w:ind w:firstLine="480" w:firstLineChars="200"/>
        <w:rPr>
          <w:rFonts w:ascii="宋体"/>
          <w:color w:val="000000"/>
          <w:sz w:val="24"/>
        </w:rPr>
      </w:pPr>
    </w:p>
    <w:p w:rsidP="009216A0" w:rsidR="00EA3F40" w:rsidRDefault="00EA3F40">
      <w:pPr>
        <w:spacing w:line="360" w:lineRule="auto"/>
        <w:ind w:firstLine="480" w:firstLineChars="200"/>
        <w:rPr>
          <w:rFonts w:ascii="宋体"/>
          <w:color w:val="000000"/>
          <w:sz w:val="24"/>
        </w:rPr>
      </w:pPr>
    </w:p>
    <w:p w:rsidP="009216A0" w:rsidR="00EA3F40" w:rsidRDefault="00EA3F40">
      <w:pPr>
        <w:spacing w:line="360" w:lineRule="auto"/>
        <w:ind w:firstLine="480" w:firstLineChars="200"/>
        <w:rPr>
          <w:rFonts w:ascii="宋体"/>
          <w:color w:val="000000"/>
          <w:sz w:val="24"/>
        </w:rPr>
      </w:pPr>
    </w:p>
    <w:p w:rsidP="009216A0" w:rsidR="00EA3F40" w:rsidRDefault="00EA3F40">
      <w:pPr>
        <w:spacing w:line="360" w:lineRule="auto"/>
        <w:ind w:firstLine="480" w:firstLineChars="200"/>
        <w:rPr>
          <w:rFonts w:ascii="宋体"/>
          <w:color w:val="000000"/>
          <w:sz w:val="24"/>
        </w:rPr>
      </w:pPr>
    </w:p>
    <w:p w:rsidP="009216A0" w:rsidR="00EA3F40" w:rsidRDefault="00EA3F40">
      <w:pPr>
        <w:spacing w:line="360" w:lineRule="auto"/>
        <w:ind w:firstLine="480" w:firstLineChars="200"/>
        <w:rPr>
          <w:rFonts w:ascii="宋体"/>
          <w:color w:val="000000"/>
          <w:sz w:val="24"/>
        </w:rPr>
      </w:pPr>
    </w:p>
    <w:p w:rsidP="00196812" w:rsidR="00EA3F40" w:rsidRDefault="00EA3F40" w:rsidRPr="0097021E">
      <w:pPr>
        <w:spacing w:line="360" w:lineRule="auto"/>
        <w:ind w:left="840"/>
        <w:jc w:val="right"/>
        <w:rPr>
          <w:rFonts w:ascii="宋体"/>
          <w:color w:val="000000"/>
          <w:sz w:val="24"/>
        </w:rPr>
      </w:pPr>
    </w:p>
    <w:p w:rsidP="00394BC1" w:rsidR="00EA3F40" w:rsidRDefault="00EA3F40" w:rsidRPr="0097021E">
      <w:pPr>
        <w:spacing w:line="360" w:lineRule="auto"/>
        <w:jc w:val="right"/>
        <w:rPr>
          <w:rFonts w:ascii="宋体" w:hAnsi="宋体"/>
          <w:b/>
          <w:bCs/>
          <w:sz w:val="24"/>
        </w:rPr>
      </w:pPr>
      <w:r w:rsidRPr="0097021E">
        <w:rPr>
          <w:rFonts w:ascii="宋体"/>
          <w:b/>
          <w:bCs/>
          <w:sz w:val="24"/>
        </w:rPr>
        <w:t/>
      </w:r>
      <w:r w:rsidRPr="0097021E">
        <w:rPr>
          <w:rFonts w:ascii="宋体" w:hAnsi="宋体"/>
          <w:b/>
          <w:bCs/>
          <w:sz w:val="24"/>
        </w:rPr>
        <w:t>易方达基金管理有限公司</w:t>
      </w:r>
    </w:p>
    <w:p w:rsidP="00394BC1" w:rsidR="00EA3F40" w:rsidRDefault="00EA3F40" w:rsidRPr="0097021E">
      <w:pPr>
        <w:spacing w:line="360" w:lineRule="auto"/>
        <w:jc w:val="right"/>
        <w:rPr>
          <w:rFonts w:ascii="宋体" w:hAnsi="宋体"/>
          <w:b/>
          <w:bCs/>
          <w:sz w:val="24"/>
        </w:rPr>
      </w:pPr>
      <w:r w:rsidRPr="0097021E">
        <w:rPr>
          <w:rFonts w:ascii="宋体" w:hAnsi="宋体"/>
          <w:b/>
          <w:bCs/>
          <w:sz w:val="24"/>
        </w:rPr>
        <w:t>二〇二〇年七月二十一日</w:t>
      </w:r>
    </w:p>
    <w:sectPr w:rsidR="00EA3F40" w:rsidRPr="0097021E" w:rsidSect="00075BBB">
      <w:pgSz w:h="15840" w:w="11926"/>
      <w:pgMar w:bottom="852" w:footer="992" w:gutter="0" w:header="851" w:left="1420" w:right="1420" w:top="1420"/>
      <w:cols w:space="720"/>
      <w:noEndnote/>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195B" w:rsidRDefault="0038195B">
      <w:r>
        <w:separator/>
      </w:r>
    </w:p>
  </w:endnote>
  <w:endnote w:type="continuationSeparator" w:id="0">
    <w:p w:rsidR="0038195B" w:rsidRDefault="00381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D0DB0" w:rsidR="00FC1146" w:rsidRDefault="00FC1146" w:rsidRPr="001D0DB0">
    <w:pPr>
      <w:pStyle w:val="a5"/>
      <w:jc w:val="center"/>
    </w:pPr>
    <w:r>
      <w:rPr>
        <w:rFonts w:hint="eastAsia"/>
        <w:szCs w:val="21"/>
      </w:rPr>
      <w:t>第</w:t>
    </w:r>
    <w:r>
      <w:rPr>
        <w:szCs w:val="21"/>
      </w:rPr>
      <w:fldChar w:fldCharType="begin"/>
    </w:r>
    <w:r>
      <w:rPr>
        <w:szCs w:val="21"/>
      </w:rPr>
      <w:instrText xml:space="preserve"> PAGE </w:instrText>
    </w:r>
    <w:r>
      <w:rPr>
        <w:szCs w:val="21"/>
      </w:rPr>
      <w:fldChar w:fldCharType="separate"/>
    </w:r>
    <w:r w:rsidR="00B261EB">
      <w:rPr>
        <w:noProof/>
        <w:szCs w:val="21"/>
      </w:rPr>
      <w:t>21</w:t>
    </w:r>
    <w:r>
      <w:rPr>
        <w:szCs w:val="21"/>
      </w:rPr>
      <w:fldChar w:fldCharType="end"/>
    </w:r>
    <w:r>
      <w:rPr>
        <w:rFonts w:hint="eastAsia"/>
        <w:szCs w:val="21"/>
      </w:rPr>
      <w:t>页共</w:t>
    </w:r>
    <w:r>
      <w:rPr>
        <w:szCs w:val="21"/>
      </w:rPr>
      <w:fldChar w:fldCharType="begin"/>
    </w:r>
    <w:r>
      <w:rPr>
        <w:szCs w:val="21"/>
      </w:rPr>
      <w:instrText xml:space="preserve"> NUMPAGES </w:instrText>
    </w:r>
    <w:r>
      <w:rPr>
        <w:szCs w:val="21"/>
      </w:rPr>
      <w:fldChar w:fldCharType="separate"/>
    </w:r>
    <w:r w:rsidR="00B261EB">
      <w:rPr>
        <w:noProof/>
        <w:szCs w:val="21"/>
      </w:rPr>
      <w:t>28</w:t>
    </w:r>
    <w:r>
      <w:rPr>
        <w:szCs w:val="21"/>
      </w:rPr>
      <w:fldChar w:fldCharType="end"/>
    </w:r>
    <w:r>
      <w:rPr>
        <w:rFonts w:hint="eastAsia"/>
        <w:szCs w:val="21"/>
      </w:rPr>
      <w:t>页</w:t>
    </w: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38195B" w:rsidRDefault="0038195B">
      <w:r>
        <w:separator/>
      </w:r>
    </w:p>
  </w:footnote>
  <w:footnote w:id="0" w:type="continuationSeparator">
    <w:p w:rsidR="0038195B" w:rsidRDefault="0038195B">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8379E2" w:rsidR="00FC1146" w:rsidRDefault="00FC1146" w:rsidRPr="00936106">
    <w:pPr>
      <w:pStyle w:val="a4"/>
      <w:pBdr>
        <w:bottom w:color="auto" w:space="0" w:sz="6" w:val="single"/>
      </w:pBdr>
      <w:jc w:val="right"/>
      <w:rPr>
        <w:sz w:val="15"/>
      </w:rPr>
    </w:pPr>
    <w:r w:rsidRPr="00936106">
      <w:rPr>
        <w:szCs w:val="21"/>
      </w:rPr>
      <w:t>易方达货币市场基金2020年第2季度报告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E125ACF"/>
    <w:multiLevelType w:val="hybridMultilevel"/>
    <w:tmpl w:val="A1BADB72"/>
    <w:lvl w:ilvl="0" w:tplc="1694A2F2">
      <w:start w:val="1"/>
      <w:numFmt w:val="decimal"/>
      <w:lvlText w:val="%1、"/>
      <w:lvlJc w:val="left"/>
      <w:pPr>
        <w:tabs>
          <w:tab w:pos="830" w:val="num"/>
        </w:tabs>
        <w:ind w:hanging="360" w:left="830"/>
      </w:pPr>
      <w:rPr>
        <w:rFonts w:ascii="宋体" w:cs="Times New Roman" w:hint="default"/>
        <w:color w:val="auto"/>
      </w:rPr>
    </w:lvl>
    <w:lvl w:ilvl="1" w:tentative="1" w:tplc="04090019">
      <w:start w:val="1"/>
      <w:numFmt w:val="lowerLetter"/>
      <w:lvlText w:val="%2)"/>
      <w:lvlJc w:val="left"/>
      <w:pPr>
        <w:tabs>
          <w:tab w:pos="1310" w:val="num"/>
        </w:tabs>
        <w:ind w:hanging="420" w:left="1310"/>
      </w:pPr>
      <w:rPr>
        <w:rFonts w:cs="Times New Roman"/>
      </w:rPr>
    </w:lvl>
    <w:lvl w:ilvl="2" w:tentative="1" w:tplc="0409001B">
      <w:start w:val="1"/>
      <w:numFmt w:val="lowerRoman"/>
      <w:lvlText w:val="%3."/>
      <w:lvlJc w:val="right"/>
      <w:pPr>
        <w:tabs>
          <w:tab w:pos="1730" w:val="num"/>
        </w:tabs>
        <w:ind w:hanging="420" w:left="1730"/>
      </w:pPr>
      <w:rPr>
        <w:rFonts w:cs="Times New Roman"/>
      </w:rPr>
    </w:lvl>
    <w:lvl w:ilvl="3" w:tentative="1" w:tplc="0409000F">
      <w:start w:val="1"/>
      <w:numFmt w:val="decimal"/>
      <w:lvlText w:val="%4."/>
      <w:lvlJc w:val="left"/>
      <w:pPr>
        <w:tabs>
          <w:tab w:pos="2150" w:val="num"/>
        </w:tabs>
        <w:ind w:hanging="420" w:left="2150"/>
      </w:pPr>
      <w:rPr>
        <w:rFonts w:cs="Times New Roman"/>
      </w:rPr>
    </w:lvl>
    <w:lvl w:ilvl="4" w:tentative="1" w:tplc="04090019">
      <w:start w:val="1"/>
      <w:numFmt w:val="lowerLetter"/>
      <w:lvlText w:val="%5)"/>
      <w:lvlJc w:val="left"/>
      <w:pPr>
        <w:tabs>
          <w:tab w:pos="2570" w:val="num"/>
        </w:tabs>
        <w:ind w:hanging="420" w:left="2570"/>
      </w:pPr>
      <w:rPr>
        <w:rFonts w:cs="Times New Roman"/>
      </w:rPr>
    </w:lvl>
    <w:lvl w:ilvl="5" w:tentative="1" w:tplc="0409001B">
      <w:start w:val="1"/>
      <w:numFmt w:val="lowerRoman"/>
      <w:lvlText w:val="%6."/>
      <w:lvlJc w:val="right"/>
      <w:pPr>
        <w:tabs>
          <w:tab w:pos="2990" w:val="num"/>
        </w:tabs>
        <w:ind w:hanging="420" w:left="2990"/>
      </w:pPr>
      <w:rPr>
        <w:rFonts w:cs="Times New Roman"/>
      </w:rPr>
    </w:lvl>
    <w:lvl w:ilvl="6" w:tentative="1" w:tplc="0409000F">
      <w:start w:val="1"/>
      <w:numFmt w:val="decimal"/>
      <w:lvlText w:val="%7."/>
      <w:lvlJc w:val="left"/>
      <w:pPr>
        <w:tabs>
          <w:tab w:pos="3410" w:val="num"/>
        </w:tabs>
        <w:ind w:hanging="420" w:left="3410"/>
      </w:pPr>
      <w:rPr>
        <w:rFonts w:cs="Times New Roman"/>
      </w:rPr>
    </w:lvl>
    <w:lvl w:ilvl="7" w:tentative="1" w:tplc="04090019">
      <w:start w:val="1"/>
      <w:numFmt w:val="lowerLetter"/>
      <w:lvlText w:val="%8)"/>
      <w:lvlJc w:val="left"/>
      <w:pPr>
        <w:tabs>
          <w:tab w:pos="3830" w:val="num"/>
        </w:tabs>
        <w:ind w:hanging="420" w:left="3830"/>
      </w:pPr>
      <w:rPr>
        <w:rFonts w:cs="Times New Roman"/>
      </w:rPr>
    </w:lvl>
    <w:lvl w:ilvl="8" w:tentative="1" w:tplc="0409001B">
      <w:start w:val="1"/>
      <w:numFmt w:val="lowerRoman"/>
      <w:lvlText w:val="%9."/>
      <w:lvlJc w:val="right"/>
      <w:pPr>
        <w:tabs>
          <w:tab w:pos="4250" w:val="num"/>
        </w:tabs>
        <w:ind w:hanging="420" w:left="4250"/>
      </w:pPr>
      <w:rPr>
        <w:rFonts w:cs="Times New Roman"/>
      </w:rPr>
    </w:lvl>
  </w:abstractNum>
  <w:abstractNum w:abstractNumId="1">
    <w:nsid w:val="76E15721"/>
    <w:multiLevelType w:val="hybridMultilevel"/>
    <w:tmpl w:val="A1BADB72"/>
    <w:lvl w:ilvl="0" w:tplc="1694A2F2">
      <w:start w:val="1"/>
      <w:numFmt w:val="decimal"/>
      <w:lvlText w:val="%1、"/>
      <w:lvlJc w:val="left"/>
      <w:pPr>
        <w:tabs>
          <w:tab w:pos="830" w:val="num"/>
        </w:tabs>
        <w:ind w:hanging="360" w:left="830"/>
      </w:pPr>
      <w:rPr>
        <w:rFonts w:ascii="宋体" w:cs="Times New Roman" w:hint="default"/>
        <w:color w:val="auto"/>
      </w:rPr>
    </w:lvl>
    <w:lvl w:ilvl="1" w:tentative="1" w:tplc="04090019">
      <w:start w:val="1"/>
      <w:numFmt w:val="lowerLetter"/>
      <w:lvlText w:val="%2)"/>
      <w:lvlJc w:val="left"/>
      <w:pPr>
        <w:tabs>
          <w:tab w:pos="1310" w:val="num"/>
        </w:tabs>
        <w:ind w:hanging="420" w:left="1310"/>
      </w:pPr>
      <w:rPr>
        <w:rFonts w:cs="Times New Roman"/>
      </w:rPr>
    </w:lvl>
    <w:lvl w:ilvl="2" w:tentative="1" w:tplc="0409001B">
      <w:start w:val="1"/>
      <w:numFmt w:val="lowerRoman"/>
      <w:lvlText w:val="%3."/>
      <w:lvlJc w:val="right"/>
      <w:pPr>
        <w:tabs>
          <w:tab w:pos="1730" w:val="num"/>
        </w:tabs>
        <w:ind w:hanging="420" w:left="1730"/>
      </w:pPr>
      <w:rPr>
        <w:rFonts w:cs="Times New Roman"/>
      </w:rPr>
    </w:lvl>
    <w:lvl w:ilvl="3" w:tentative="1" w:tplc="0409000F">
      <w:start w:val="1"/>
      <w:numFmt w:val="decimal"/>
      <w:lvlText w:val="%4."/>
      <w:lvlJc w:val="left"/>
      <w:pPr>
        <w:tabs>
          <w:tab w:pos="2150" w:val="num"/>
        </w:tabs>
        <w:ind w:hanging="420" w:left="2150"/>
      </w:pPr>
      <w:rPr>
        <w:rFonts w:cs="Times New Roman"/>
      </w:rPr>
    </w:lvl>
    <w:lvl w:ilvl="4" w:tentative="1" w:tplc="04090019">
      <w:start w:val="1"/>
      <w:numFmt w:val="lowerLetter"/>
      <w:lvlText w:val="%5)"/>
      <w:lvlJc w:val="left"/>
      <w:pPr>
        <w:tabs>
          <w:tab w:pos="2570" w:val="num"/>
        </w:tabs>
        <w:ind w:hanging="420" w:left="2570"/>
      </w:pPr>
      <w:rPr>
        <w:rFonts w:cs="Times New Roman"/>
      </w:rPr>
    </w:lvl>
    <w:lvl w:ilvl="5" w:tentative="1" w:tplc="0409001B">
      <w:start w:val="1"/>
      <w:numFmt w:val="lowerRoman"/>
      <w:lvlText w:val="%6."/>
      <w:lvlJc w:val="right"/>
      <w:pPr>
        <w:tabs>
          <w:tab w:pos="2990" w:val="num"/>
        </w:tabs>
        <w:ind w:hanging="420" w:left="2990"/>
      </w:pPr>
      <w:rPr>
        <w:rFonts w:cs="Times New Roman"/>
      </w:rPr>
    </w:lvl>
    <w:lvl w:ilvl="6" w:tentative="1" w:tplc="0409000F">
      <w:start w:val="1"/>
      <w:numFmt w:val="decimal"/>
      <w:lvlText w:val="%7."/>
      <w:lvlJc w:val="left"/>
      <w:pPr>
        <w:tabs>
          <w:tab w:pos="3410" w:val="num"/>
        </w:tabs>
        <w:ind w:hanging="420" w:left="3410"/>
      </w:pPr>
      <w:rPr>
        <w:rFonts w:cs="Times New Roman"/>
      </w:rPr>
    </w:lvl>
    <w:lvl w:ilvl="7" w:tentative="1" w:tplc="04090019">
      <w:start w:val="1"/>
      <w:numFmt w:val="lowerLetter"/>
      <w:lvlText w:val="%8)"/>
      <w:lvlJc w:val="left"/>
      <w:pPr>
        <w:tabs>
          <w:tab w:pos="3830" w:val="num"/>
        </w:tabs>
        <w:ind w:hanging="420" w:left="3830"/>
      </w:pPr>
      <w:rPr>
        <w:rFonts w:cs="Times New Roman"/>
      </w:rPr>
    </w:lvl>
    <w:lvl w:ilvl="8" w:tentative="1" w:tplc="0409001B">
      <w:start w:val="1"/>
      <w:numFmt w:val="lowerRoman"/>
      <w:lvlText w:val="%9."/>
      <w:lvlJc w:val="right"/>
      <w:pPr>
        <w:tabs>
          <w:tab w:pos="4250" w:val="num"/>
        </w:tabs>
        <w:ind w:hanging="420" w:left="4250"/>
      </w:pPr>
      <w:rPr>
        <w:rFonts w:cs="Times New Roman"/>
      </w:rPr>
    </w:lvl>
  </w:abstractNum>
  <w:num w:numId="1">
    <w:abstractNumId w:val="0"/>
  </w:num>
  <w:num w:numId="2">
    <w:abstractNumId w:val="1"/>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embedSystemFonts/>
  <w:bordersDoNotSurroundHeader/>
  <w:bordersDoNotSurroundFooter/>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zh-CN" w:val="$([{£¥·‘“〈《「『【〔〖〝﹙﹛﹝＄（．［｛￡￥"/>
  <w:noLineBreaksBefore w:lang="zh-CN" w:val="!%),.:;&gt;?]}¢¨°·ˇˉ―‖’”…‰′″›℃∶、。〃〉》」』】〕〗〞︶︺︾﹀﹄﹚﹜﹞！＂％＇），．：；？］｀｜｝～￠"/>
  <w:doNotValidateAgainstSchema/>
  <w:doNotDemarcateInvalidXml/>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7283"/>
    <w:rsid w:val="000028CE"/>
    <w:rsid w:val="00004DE7"/>
    <w:rsid w:val="00005433"/>
    <w:rsid w:val="0001552D"/>
    <w:rsid w:val="0001566B"/>
    <w:rsid w:val="000175F5"/>
    <w:rsid w:val="0002085F"/>
    <w:rsid w:val="00025C5D"/>
    <w:rsid w:val="000321E9"/>
    <w:rsid w:val="00034C31"/>
    <w:rsid w:val="00035596"/>
    <w:rsid w:val="000417E0"/>
    <w:rsid w:val="00044724"/>
    <w:rsid w:val="00047661"/>
    <w:rsid w:val="00052CA4"/>
    <w:rsid w:val="00053472"/>
    <w:rsid w:val="00054470"/>
    <w:rsid w:val="0005518A"/>
    <w:rsid w:val="00057D26"/>
    <w:rsid w:val="00063BA4"/>
    <w:rsid w:val="0006697D"/>
    <w:rsid w:val="00067A21"/>
    <w:rsid w:val="00070092"/>
    <w:rsid w:val="0007109E"/>
    <w:rsid w:val="00075BBB"/>
    <w:rsid w:val="00075CA2"/>
    <w:rsid w:val="0007770D"/>
    <w:rsid w:val="00086731"/>
    <w:rsid w:val="000A39AB"/>
    <w:rsid w:val="000A466F"/>
    <w:rsid w:val="000B2044"/>
    <w:rsid w:val="000B2266"/>
    <w:rsid w:val="000C469F"/>
    <w:rsid w:val="000D0F44"/>
    <w:rsid w:val="000D6294"/>
    <w:rsid w:val="000E0F6E"/>
    <w:rsid w:val="000F3C21"/>
    <w:rsid w:val="000F4826"/>
    <w:rsid w:val="000F5947"/>
    <w:rsid w:val="00101278"/>
    <w:rsid w:val="00102307"/>
    <w:rsid w:val="001038EF"/>
    <w:rsid w:val="00103B93"/>
    <w:rsid w:val="001074D6"/>
    <w:rsid w:val="001136E5"/>
    <w:rsid w:val="00113777"/>
    <w:rsid w:val="00114C97"/>
    <w:rsid w:val="00127B62"/>
    <w:rsid w:val="001302DB"/>
    <w:rsid w:val="00157B55"/>
    <w:rsid w:val="00162222"/>
    <w:rsid w:val="001635C7"/>
    <w:rsid w:val="001669F2"/>
    <w:rsid w:val="001752C7"/>
    <w:rsid w:val="0018401C"/>
    <w:rsid w:val="00185622"/>
    <w:rsid w:val="00186667"/>
    <w:rsid w:val="001878B0"/>
    <w:rsid w:val="00191B28"/>
    <w:rsid w:val="00192A36"/>
    <w:rsid w:val="00193BCF"/>
    <w:rsid w:val="00195C6F"/>
    <w:rsid w:val="00196812"/>
    <w:rsid w:val="00197ED0"/>
    <w:rsid w:val="001A2524"/>
    <w:rsid w:val="001B42BE"/>
    <w:rsid w:val="001B72D6"/>
    <w:rsid w:val="001B7CC6"/>
    <w:rsid w:val="001C5D80"/>
    <w:rsid w:val="001D0D4C"/>
    <w:rsid w:val="001D0DB0"/>
    <w:rsid w:val="001D3FAC"/>
    <w:rsid w:val="001D65C8"/>
    <w:rsid w:val="001D6ECD"/>
    <w:rsid w:val="001D75D9"/>
    <w:rsid w:val="001F0286"/>
    <w:rsid w:val="0020640F"/>
    <w:rsid w:val="0021251E"/>
    <w:rsid w:val="00220437"/>
    <w:rsid w:val="002315A5"/>
    <w:rsid w:val="00231F37"/>
    <w:rsid w:val="00232095"/>
    <w:rsid w:val="00233014"/>
    <w:rsid w:val="0024424F"/>
    <w:rsid w:val="002507FE"/>
    <w:rsid w:val="0025157E"/>
    <w:rsid w:val="002525C7"/>
    <w:rsid w:val="00255320"/>
    <w:rsid w:val="002611C3"/>
    <w:rsid w:val="002622E8"/>
    <w:rsid w:val="00264E55"/>
    <w:rsid w:val="00267283"/>
    <w:rsid w:val="00274FAC"/>
    <w:rsid w:val="0027576B"/>
    <w:rsid w:val="002767C1"/>
    <w:rsid w:val="00281E3B"/>
    <w:rsid w:val="00282892"/>
    <w:rsid w:val="00291428"/>
    <w:rsid w:val="002A4B7F"/>
    <w:rsid w:val="002B45A4"/>
    <w:rsid w:val="002B6EAF"/>
    <w:rsid w:val="002C17D5"/>
    <w:rsid w:val="002C308A"/>
    <w:rsid w:val="002D3ADF"/>
    <w:rsid w:val="002D680F"/>
    <w:rsid w:val="002D7BD9"/>
    <w:rsid w:val="002E040C"/>
    <w:rsid w:val="002E0F4A"/>
    <w:rsid w:val="002E41BD"/>
    <w:rsid w:val="002F0E9D"/>
    <w:rsid w:val="002F6539"/>
    <w:rsid w:val="00307062"/>
    <w:rsid w:val="0031055A"/>
    <w:rsid w:val="00311ADA"/>
    <w:rsid w:val="00311AEB"/>
    <w:rsid w:val="00322B07"/>
    <w:rsid w:val="0032323A"/>
    <w:rsid w:val="00323377"/>
    <w:rsid w:val="00327FB0"/>
    <w:rsid w:val="00331FAB"/>
    <w:rsid w:val="0033525E"/>
    <w:rsid w:val="00340292"/>
    <w:rsid w:val="00340456"/>
    <w:rsid w:val="00340C3A"/>
    <w:rsid w:val="00343648"/>
    <w:rsid w:val="00343AF0"/>
    <w:rsid w:val="003451F3"/>
    <w:rsid w:val="00346359"/>
    <w:rsid w:val="00346B82"/>
    <w:rsid w:val="0035022C"/>
    <w:rsid w:val="0035215C"/>
    <w:rsid w:val="00362E2A"/>
    <w:rsid w:val="0036392B"/>
    <w:rsid w:val="00371E26"/>
    <w:rsid w:val="00373AAB"/>
    <w:rsid w:val="0038195B"/>
    <w:rsid w:val="00383631"/>
    <w:rsid w:val="00384942"/>
    <w:rsid w:val="00394BC1"/>
    <w:rsid w:val="003A0EC1"/>
    <w:rsid w:val="003A1E1E"/>
    <w:rsid w:val="003B2989"/>
    <w:rsid w:val="003B36B4"/>
    <w:rsid w:val="003B5756"/>
    <w:rsid w:val="003B6DC6"/>
    <w:rsid w:val="003B7F31"/>
    <w:rsid w:val="003C0E8C"/>
    <w:rsid w:val="003C1137"/>
    <w:rsid w:val="003C38DE"/>
    <w:rsid w:val="003C495A"/>
    <w:rsid w:val="003D1ECF"/>
    <w:rsid w:val="003D21F4"/>
    <w:rsid w:val="003E14FE"/>
    <w:rsid w:val="003E565B"/>
    <w:rsid w:val="003F43EB"/>
    <w:rsid w:val="00402654"/>
    <w:rsid w:val="00403ED2"/>
    <w:rsid w:val="00407CC3"/>
    <w:rsid w:val="00413FA3"/>
    <w:rsid w:val="004250C5"/>
    <w:rsid w:val="00425438"/>
    <w:rsid w:val="00426E31"/>
    <w:rsid w:val="00433C1E"/>
    <w:rsid w:val="004369B0"/>
    <w:rsid w:val="00440828"/>
    <w:rsid w:val="004409FE"/>
    <w:rsid w:val="0044257C"/>
    <w:rsid w:val="0044342F"/>
    <w:rsid w:val="00446474"/>
    <w:rsid w:val="004527E3"/>
    <w:rsid w:val="00452D31"/>
    <w:rsid w:val="00460000"/>
    <w:rsid w:val="00461A70"/>
    <w:rsid w:val="004702DF"/>
    <w:rsid w:val="00470F55"/>
    <w:rsid w:val="00473E10"/>
    <w:rsid w:val="00473EC9"/>
    <w:rsid w:val="00474896"/>
    <w:rsid w:val="004771B9"/>
    <w:rsid w:val="004950A3"/>
    <w:rsid w:val="00496B2E"/>
    <w:rsid w:val="004A0C6B"/>
    <w:rsid w:val="004A2432"/>
    <w:rsid w:val="004A3251"/>
    <w:rsid w:val="004A357E"/>
    <w:rsid w:val="004A46A0"/>
    <w:rsid w:val="004B1C09"/>
    <w:rsid w:val="004C5B7C"/>
    <w:rsid w:val="004D22E1"/>
    <w:rsid w:val="004D581E"/>
    <w:rsid w:val="004D72C7"/>
    <w:rsid w:val="004E041A"/>
    <w:rsid w:val="004E1DC5"/>
    <w:rsid w:val="004E3452"/>
    <w:rsid w:val="004E4E63"/>
    <w:rsid w:val="004F3BE1"/>
    <w:rsid w:val="004F459B"/>
    <w:rsid w:val="00500487"/>
    <w:rsid w:val="00506EF6"/>
    <w:rsid w:val="005141F5"/>
    <w:rsid w:val="0051505A"/>
    <w:rsid w:val="00515166"/>
    <w:rsid w:val="0051578D"/>
    <w:rsid w:val="005212AE"/>
    <w:rsid w:val="00532457"/>
    <w:rsid w:val="00533490"/>
    <w:rsid w:val="0053782E"/>
    <w:rsid w:val="0054464B"/>
    <w:rsid w:val="00546492"/>
    <w:rsid w:val="00546747"/>
    <w:rsid w:val="0054785C"/>
    <w:rsid w:val="00555883"/>
    <w:rsid w:val="00560F94"/>
    <w:rsid w:val="005633AD"/>
    <w:rsid w:val="00564C24"/>
    <w:rsid w:val="00570F8C"/>
    <w:rsid w:val="00575970"/>
    <w:rsid w:val="00582960"/>
    <w:rsid w:val="00587524"/>
    <w:rsid w:val="00592D0A"/>
    <w:rsid w:val="00594DCA"/>
    <w:rsid w:val="00595285"/>
    <w:rsid w:val="005A60B7"/>
    <w:rsid w:val="005B527B"/>
    <w:rsid w:val="005D1572"/>
    <w:rsid w:val="005D1BAF"/>
    <w:rsid w:val="005D21B9"/>
    <w:rsid w:val="005D4E63"/>
    <w:rsid w:val="005D596C"/>
    <w:rsid w:val="005D6807"/>
    <w:rsid w:val="005E05CC"/>
    <w:rsid w:val="005E2087"/>
    <w:rsid w:val="005E4559"/>
    <w:rsid w:val="005E6FA5"/>
    <w:rsid w:val="005F1343"/>
    <w:rsid w:val="005F1712"/>
    <w:rsid w:val="005F17EC"/>
    <w:rsid w:val="005F41D2"/>
    <w:rsid w:val="005F5A09"/>
    <w:rsid w:val="005F668B"/>
    <w:rsid w:val="005F6B28"/>
    <w:rsid w:val="00613327"/>
    <w:rsid w:val="00613409"/>
    <w:rsid w:val="006214E4"/>
    <w:rsid w:val="006254A5"/>
    <w:rsid w:val="006317E8"/>
    <w:rsid w:val="0063302E"/>
    <w:rsid w:val="00633177"/>
    <w:rsid w:val="006331F2"/>
    <w:rsid w:val="00636261"/>
    <w:rsid w:val="00636B17"/>
    <w:rsid w:val="0064191E"/>
    <w:rsid w:val="00664834"/>
    <w:rsid w:val="006662B2"/>
    <w:rsid w:val="00672BEF"/>
    <w:rsid w:val="00673BA5"/>
    <w:rsid w:val="00680A32"/>
    <w:rsid w:val="006911A1"/>
    <w:rsid w:val="006961CC"/>
    <w:rsid w:val="006A1E40"/>
    <w:rsid w:val="006A2D00"/>
    <w:rsid w:val="006B4C67"/>
    <w:rsid w:val="006B56E1"/>
    <w:rsid w:val="006D0BD6"/>
    <w:rsid w:val="006D27DD"/>
    <w:rsid w:val="006D4647"/>
    <w:rsid w:val="006D4C22"/>
    <w:rsid w:val="006E4EB5"/>
    <w:rsid w:val="006F1C55"/>
    <w:rsid w:val="006F3CEE"/>
    <w:rsid w:val="006F622C"/>
    <w:rsid w:val="00705970"/>
    <w:rsid w:val="00707CB2"/>
    <w:rsid w:val="00710487"/>
    <w:rsid w:val="00710B11"/>
    <w:rsid w:val="00714B3D"/>
    <w:rsid w:val="00714FD1"/>
    <w:rsid w:val="007277D1"/>
    <w:rsid w:val="00727EA0"/>
    <w:rsid w:val="00730216"/>
    <w:rsid w:val="0073105A"/>
    <w:rsid w:val="00734B8E"/>
    <w:rsid w:val="00737060"/>
    <w:rsid w:val="00741288"/>
    <w:rsid w:val="0074455F"/>
    <w:rsid w:val="007521F9"/>
    <w:rsid w:val="00756489"/>
    <w:rsid w:val="00756EA2"/>
    <w:rsid w:val="00757F37"/>
    <w:rsid w:val="007600BC"/>
    <w:rsid w:val="00762326"/>
    <w:rsid w:val="00762E87"/>
    <w:rsid w:val="00764CF7"/>
    <w:rsid w:val="007723FD"/>
    <w:rsid w:val="00772687"/>
    <w:rsid w:val="007746B3"/>
    <w:rsid w:val="00774E1E"/>
    <w:rsid w:val="00780252"/>
    <w:rsid w:val="007806BE"/>
    <w:rsid w:val="0078105B"/>
    <w:rsid w:val="00782061"/>
    <w:rsid w:val="00785C32"/>
    <w:rsid w:val="007A1ACF"/>
    <w:rsid w:val="007A339E"/>
    <w:rsid w:val="007A3C26"/>
    <w:rsid w:val="007B082A"/>
    <w:rsid w:val="007B1C3E"/>
    <w:rsid w:val="007C3671"/>
    <w:rsid w:val="007C42E5"/>
    <w:rsid w:val="007C5CCD"/>
    <w:rsid w:val="007C65CB"/>
    <w:rsid w:val="007E0C02"/>
    <w:rsid w:val="007F1DE3"/>
    <w:rsid w:val="007F7BD7"/>
    <w:rsid w:val="008056FA"/>
    <w:rsid w:val="008115B6"/>
    <w:rsid w:val="00812956"/>
    <w:rsid w:val="00813897"/>
    <w:rsid w:val="00814461"/>
    <w:rsid w:val="00823B47"/>
    <w:rsid w:val="00823E09"/>
    <w:rsid w:val="00824D84"/>
    <w:rsid w:val="00825EA5"/>
    <w:rsid w:val="00833555"/>
    <w:rsid w:val="008347B3"/>
    <w:rsid w:val="00834D9F"/>
    <w:rsid w:val="008356E6"/>
    <w:rsid w:val="00835BDD"/>
    <w:rsid w:val="008379E2"/>
    <w:rsid w:val="00841A22"/>
    <w:rsid w:val="00852119"/>
    <w:rsid w:val="0085498E"/>
    <w:rsid w:val="0086245E"/>
    <w:rsid w:val="00870A3C"/>
    <w:rsid w:val="00870FF9"/>
    <w:rsid w:val="00873386"/>
    <w:rsid w:val="00877329"/>
    <w:rsid w:val="00880EE6"/>
    <w:rsid w:val="008821D9"/>
    <w:rsid w:val="00882323"/>
    <w:rsid w:val="00893021"/>
    <w:rsid w:val="008B23BD"/>
    <w:rsid w:val="008C579A"/>
    <w:rsid w:val="008D0A39"/>
    <w:rsid w:val="008D55F2"/>
    <w:rsid w:val="008E4638"/>
    <w:rsid w:val="008E71D2"/>
    <w:rsid w:val="008F44F3"/>
    <w:rsid w:val="009004F7"/>
    <w:rsid w:val="00902E3F"/>
    <w:rsid w:val="00903E98"/>
    <w:rsid w:val="00906C9B"/>
    <w:rsid w:val="00910FB5"/>
    <w:rsid w:val="00911C0E"/>
    <w:rsid w:val="009153D7"/>
    <w:rsid w:val="00917991"/>
    <w:rsid w:val="009216A0"/>
    <w:rsid w:val="009223B5"/>
    <w:rsid w:val="00922A49"/>
    <w:rsid w:val="00934C3D"/>
    <w:rsid w:val="00936106"/>
    <w:rsid w:val="0094213C"/>
    <w:rsid w:val="0094236C"/>
    <w:rsid w:val="00943AFD"/>
    <w:rsid w:val="00950BF5"/>
    <w:rsid w:val="0097021E"/>
    <w:rsid w:val="00971C19"/>
    <w:rsid w:val="00971D35"/>
    <w:rsid w:val="00976A1A"/>
    <w:rsid w:val="0098023C"/>
    <w:rsid w:val="00987902"/>
    <w:rsid w:val="0099296A"/>
    <w:rsid w:val="009965A5"/>
    <w:rsid w:val="009A0BE2"/>
    <w:rsid w:val="009A56D7"/>
    <w:rsid w:val="009A6938"/>
    <w:rsid w:val="009A755D"/>
    <w:rsid w:val="009B15FD"/>
    <w:rsid w:val="009B2693"/>
    <w:rsid w:val="009B3C3F"/>
    <w:rsid w:val="009B73A7"/>
    <w:rsid w:val="009C0C44"/>
    <w:rsid w:val="009C1A42"/>
    <w:rsid w:val="009D60EB"/>
    <w:rsid w:val="009D74FC"/>
    <w:rsid w:val="009E07F4"/>
    <w:rsid w:val="009E2527"/>
    <w:rsid w:val="009E2BAA"/>
    <w:rsid w:val="009E3E0B"/>
    <w:rsid w:val="009F2322"/>
    <w:rsid w:val="009F480F"/>
    <w:rsid w:val="00A01505"/>
    <w:rsid w:val="00A1530B"/>
    <w:rsid w:val="00A16747"/>
    <w:rsid w:val="00A16D78"/>
    <w:rsid w:val="00A24DC0"/>
    <w:rsid w:val="00A333CB"/>
    <w:rsid w:val="00A4003E"/>
    <w:rsid w:val="00A40052"/>
    <w:rsid w:val="00A42A96"/>
    <w:rsid w:val="00A455A0"/>
    <w:rsid w:val="00A50D92"/>
    <w:rsid w:val="00A6166A"/>
    <w:rsid w:val="00A62DD4"/>
    <w:rsid w:val="00A63D5F"/>
    <w:rsid w:val="00A65A66"/>
    <w:rsid w:val="00A7219D"/>
    <w:rsid w:val="00A74DD3"/>
    <w:rsid w:val="00A805BC"/>
    <w:rsid w:val="00A80F9F"/>
    <w:rsid w:val="00A81075"/>
    <w:rsid w:val="00A87550"/>
    <w:rsid w:val="00A91D2A"/>
    <w:rsid w:val="00A95FA9"/>
    <w:rsid w:val="00AA5B03"/>
    <w:rsid w:val="00AA68D4"/>
    <w:rsid w:val="00AB24CA"/>
    <w:rsid w:val="00AB373C"/>
    <w:rsid w:val="00AB5159"/>
    <w:rsid w:val="00AB67DE"/>
    <w:rsid w:val="00AB7D0C"/>
    <w:rsid w:val="00AC2B47"/>
    <w:rsid w:val="00AC3D9E"/>
    <w:rsid w:val="00AC6C3D"/>
    <w:rsid w:val="00AD1ADB"/>
    <w:rsid w:val="00AD6777"/>
    <w:rsid w:val="00AD6BD5"/>
    <w:rsid w:val="00AE17F1"/>
    <w:rsid w:val="00AE27A3"/>
    <w:rsid w:val="00AE2FB9"/>
    <w:rsid w:val="00AE342F"/>
    <w:rsid w:val="00AE4F96"/>
    <w:rsid w:val="00AE6D9A"/>
    <w:rsid w:val="00AE7435"/>
    <w:rsid w:val="00AF2397"/>
    <w:rsid w:val="00AF27F9"/>
    <w:rsid w:val="00AF3D19"/>
    <w:rsid w:val="00B040BC"/>
    <w:rsid w:val="00B0441A"/>
    <w:rsid w:val="00B044FC"/>
    <w:rsid w:val="00B06458"/>
    <w:rsid w:val="00B213AC"/>
    <w:rsid w:val="00B25119"/>
    <w:rsid w:val="00B261EB"/>
    <w:rsid w:val="00B27004"/>
    <w:rsid w:val="00B33F45"/>
    <w:rsid w:val="00B33FA5"/>
    <w:rsid w:val="00B415B8"/>
    <w:rsid w:val="00B420AC"/>
    <w:rsid w:val="00B4354A"/>
    <w:rsid w:val="00B461D8"/>
    <w:rsid w:val="00B54CC5"/>
    <w:rsid w:val="00B60E27"/>
    <w:rsid w:val="00B64D62"/>
    <w:rsid w:val="00B65C2B"/>
    <w:rsid w:val="00B76BBB"/>
    <w:rsid w:val="00B83944"/>
    <w:rsid w:val="00B94B49"/>
    <w:rsid w:val="00BA7AF1"/>
    <w:rsid w:val="00BB03CC"/>
    <w:rsid w:val="00BB252C"/>
    <w:rsid w:val="00BB5126"/>
    <w:rsid w:val="00BB7518"/>
    <w:rsid w:val="00BC0205"/>
    <w:rsid w:val="00BC14F5"/>
    <w:rsid w:val="00BC2146"/>
    <w:rsid w:val="00BD0F36"/>
    <w:rsid w:val="00BD6918"/>
    <w:rsid w:val="00BE1FC8"/>
    <w:rsid w:val="00BE439F"/>
    <w:rsid w:val="00BE5584"/>
    <w:rsid w:val="00BF1111"/>
    <w:rsid w:val="00BF3886"/>
    <w:rsid w:val="00C006E9"/>
    <w:rsid w:val="00C009AF"/>
    <w:rsid w:val="00C0152D"/>
    <w:rsid w:val="00C2005E"/>
    <w:rsid w:val="00C205E4"/>
    <w:rsid w:val="00C2782D"/>
    <w:rsid w:val="00C3040F"/>
    <w:rsid w:val="00C31708"/>
    <w:rsid w:val="00C343F3"/>
    <w:rsid w:val="00C361A1"/>
    <w:rsid w:val="00C36C15"/>
    <w:rsid w:val="00C4213A"/>
    <w:rsid w:val="00C4371A"/>
    <w:rsid w:val="00C4627A"/>
    <w:rsid w:val="00C526E2"/>
    <w:rsid w:val="00C637D1"/>
    <w:rsid w:val="00C640B8"/>
    <w:rsid w:val="00C7033B"/>
    <w:rsid w:val="00C75870"/>
    <w:rsid w:val="00C83157"/>
    <w:rsid w:val="00C91200"/>
    <w:rsid w:val="00C927D5"/>
    <w:rsid w:val="00CA0730"/>
    <w:rsid w:val="00CA1C04"/>
    <w:rsid w:val="00CA3808"/>
    <w:rsid w:val="00CA592F"/>
    <w:rsid w:val="00CA65DD"/>
    <w:rsid w:val="00CB0E8A"/>
    <w:rsid w:val="00CB6152"/>
    <w:rsid w:val="00CC0035"/>
    <w:rsid w:val="00CC05B9"/>
    <w:rsid w:val="00CC3F83"/>
    <w:rsid w:val="00CC40F7"/>
    <w:rsid w:val="00CC57FC"/>
    <w:rsid w:val="00CC7DB0"/>
    <w:rsid w:val="00CD3D1C"/>
    <w:rsid w:val="00CD5F24"/>
    <w:rsid w:val="00CE0E18"/>
    <w:rsid w:val="00CE193A"/>
    <w:rsid w:val="00CE6A71"/>
    <w:rsid w:val="00CF6DF0"/>
    <w:rsid w:val="00CF7A26"/>
    <w:rsid w:val="00CF7E28"/>
    <w:rsid w:val="00D02B35"/>
    <w:rsid w:val="00D06255"/>
    <w:rsid w:val="00D06394"/>
    <w:rsid w:val="00D15D82"/>
    <w:rsid w:val="00D1705E"/>
    <w:rsid w:val="00D25602"/>
    <w:rsid w:val="00D271A9"/>
    <w:rsid w:val="00D30BD3"/>
    <w:rsid w:val="00D33791"/>
    <w:rsid w:val="00D33BA8"/>
    <w:rsid w:val="00D364EB"/>
    <w:rsid w:val="00D40363"/>
    <w:rsid w:val="00D41D32"/>
    <w:rsid w:val="00D451BC"/>
    <w:rsid w:val="00D51E96"/>
    <w:rsid w:val="00D568AA"/>
    <w:rsid w:val="00D568BB"/>
    <w:rsid w:val="00D63B9E"/>
    <w:rsid w:val="00D65D90"/>
    <w:rsid w:val="00D66016"/>
    <w:rsid w:val="00D769BA"/>
    <w:rsid w:val="00D8034F"/>
    <w:rsid w:val="00D81755"/>
    <w:rsid w:val="00D8617C"/>
    <w:rsid w:val="00D87D00"/>
    <w:rsid w:val="00D94E23"/>
    <w:rsid w:val="00DA1983"/>
    <w:rsid w:val="00DA2F1E"/>
    <w:rsid w:val="00DA5831"/>
    <w:rsid w:val="00DB17B8"/>
    <w:rsid w:val="00DB2873"/>
    <w:rsid w:val="00DC4482"/>
    <w:rsid w:val="00DD5028"/>
    <w:rsid w:val="00DD5350"/>
    <w:rsid w:val="00DE38DA"/>
    <w:rsid w:val="00DE4550"/>
    <w:rsid w:val="00DF1198"/>
    <w:rsid w:val="00E009CD"/>
    <w:rsid w:val="00E067CB"/>
    <w:rsid w:val="00E12082"/>
    <w:rsid w:val="00E17870"/>
    <w:rsid w:val="00E21589"/>
    <w:rsid w:val="00E23C1B"/>
    <w:rsid w:val="00E24D9E"/>
    <w:rsid w:val="00E257C8"/>
    <w:rsid w:val="00E26581"/>
    <w:rsid w:val="00E2722E"/>
    <w:rsid w:val="00E325AB"/>
    <w:rsid w:val="00E3447D"/>
    <w:rsid w:val="00E431CE"/>
    <w:rsid w:val="00E445F8"/>
    <w:rsid w:val="00E503E4"/>
    <w:rsid w:val="00E55E02"/>
    <w:rsid w:val="00E571C4"/>
    <w:rsid w:val="00E63B3D"/>
    <w:rsid w:val="00E64479"/>
    <w:rsid w:val="00E67D99"/>
    <w:rsid w:val="00E75556"/>
    <w:rsid w:val="00E75EFA"/>
    <w:rsid w:val="00E76F1F"/>
    <w:rsid w:val="00E80BE2"/>
    <w:rsid w:val="00E8309D"/>
    <w:rsid w:val="00E90A9C"/>
    <w:rsid w:val="00E95356"/>
    <w:rsid w:val="00E966E5"/>
    <w:rsid w:val="00EA3D96"/>
    <w:rsid w:val="00EA3F40"/>
    <w:rsid w:val="00EA6B69"/>
    <w:rsid w:val="00EA6B7B"/>
    <w:rsid w:val="00EB25E4"/>
    <w:rsid w:val="00EB3D8B"/>
    <w:rsid w:val="00EB7416"/>
    <w:rsid w:val="00EC06C6"/>
    <w:rsid w:val="00EC104E"/>
    <w:rsid w:val="00EC4453"/>
    <w:rsid w:val="00ED0D44"/>
    <w:rsid w:val="00ED1B77"/>
    <w:rsid w:val="00ED5511"/>
    <w:rsid w:val="00ED57D1"/>
    <w:rsid w:val="00EE2BF2"/>
    <w:rsid w:val="00EF172D"/>
    <w:rsid w:val="00EF3B7C"/>
    <w:rsid w:val="00EF56FA"/>
    <w:rsid w:val="00EF6216"/>
    <w:rsid w:val="00EF6E42"/>
    <w:rsid w:val="00F0613C"/>
    <w:rsid w:val="00F07CBB"/>
    <w:rsid w:val="00F11244"/>
    <w:rsid w:val="00F14A7B"/>
    <w:rsid w:val="00F1658B"/>
    <w:rsid w:val="00F2540D"/>
    <w:rsid w:val="00F26602"/>
    <w:rsid w:val="00F31380"/>
    <w:rsid w:val="00F333BF"/>
    <w:rsid w:val="00F34499"/>
    <w:rsid w:val="00F406E3"/>
    <w:rsid w:val="00F40C82"/>
    <w:rsid w:val="00F50707"/>
    <w:rsid w:val="00F5114E"/>
    <w:rsid w:val="00F53B1A"/>
    <w:rsid w:val="00F54568"/>
    <w:rsid w:val="00F56FBC"/>
    <w:rsid w:val="00F57249"/>
    <w:rsid w:val="00F62DE3"/>
    <w:rsid w:val="00F77131"/>
    <w:rsid w:val="00F85D7E"/>
    <w:rsid w:val="00FA041A"/>
    <w:rsid w:val="00FA4C13"/>
    <w:rsid w:val="00FA7550"/>
    <w:rsid w:val="00FB345F"/>
    <w:rsid w:val="00FB4DA5"/>
    <w:rsid w:val="00FC1146"/>
    <w:rsid w:val="00FC57A1"/>
    <w:rsid w:val="00FC6D26"/>
    <w:rsid w:val="00FD3820"/>
    <w:rsid w:val="00FE6E6D"/>
    <w:rsid w:val="00FF0DAE"/>
    <w:rsid w:val="00FF3092"/>
  </w:rsids>
  <m:mathPr>
    <m:mathFont m:val="Cambria Math"/>
    <m:brkBin m:val="before"/>
    <m:brkBinSub m:val="--"/>
    <m:smallFrac m:val="0"/>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header" w:semiHidden="0" w:uiPriority="0" w:unhideWhenUsed="0"/>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33525E"/>
    <w:pPr>
      <w:widowControl w:val="0"/>
      <w:jc w:val="both"/>
    </w:pPr>
    <w:rPr>
      <w:kern w:val="2"/>
      <w:sz w:val="21"/>
      <w:szCs w:val="24"/>
    </w:rPr>
  </w:style>
  <w:style w:styleId="1" w:type="paragraph">
    <w:name w:val="heading 1"/>
    <w:basedOn w:val="a"/>
    <w:next w:val="a"/>
    <w:link w:val="1Char"/>
    <w:uiPriority w:val="99"/>
    <w:qFormat/>
    <w:rsid w:val="00CA65DD"/>
    <w:pPr>
      <w:keepNext/>
      <w:keepLines/>
      <w:spacing w:after="330" w:before="340" w:line="578" w:lineRule="auto"/>
      <w:outlineLvl w:val="0"/>
    </w:pPr>
    <w:rPr>
      <w:b/>
      <w:bCs/>
      <w:kern w:val="44"/>
      <w:sz w:val="44"/>
      <w:szCs w:val="44"/>
    </w:rPr>
  </w:style>
  <w:style w:styleId="2" w:type="paragraph">
    <w:name w:val="heading 2"/>
    <w:basedOn w:val="a"/>
    <w:next w:val="a0"/>
    <w:link w:val="2Char"/>
    <w:uiPriority w:val="9"/>
    <w:qFormat/>
    <w:rsid w:val="009D74FC"/>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CA65DD"/>
    <w:rPr>
      <w:rFonts w:cs="Times New Roman"/>
      <w:b/>
      <w:bCs/>
      <w:kern w:val="44"/>
      <w:sz w:val="44"/>
      <w:szCs w:val="44"/>
    </w:rPr>
  </w:style>
  <w:style w:customStyle="1" w:styleId="2Char" w:type="character">
    <w:name w:val="标题 2 Char"/>
    <w:link w:val="2"/>
    <w:uiPriority w:val="9"/>
    <w:semiHidden/>
    <w:rsid w:val="006F6012"/>
    <w:rPr>
      <w:rFonts w:ascii="Cambria" w:cs="Times New Roman" w:eastAsia="宋体" w:hAnsi="Cambria"/>
      <w:b/>
      <w:bCs/>
      <w:sz w:val="32"/>
      <w:szCs w:val="32"/>
    </w:rPr>
  </w:style>
  <w:style w:styleId="a4" w:type="paragraph">
    <w:name w:val="header"/>
    <w:basedOn w:val="a"/>
    <w:link w:val="Char"/>
    <w:uiPriority w:val="99"/>
    <w:rsid w:val="00613327"/>
    <w:pPr>
      <w:pBdr>
        <w:bottom w:color="auto" w:space="1" w:sz="6" w:val="single"/>
      </w:pBdr>
      <w:tabs>
        <w:tab w:pos="4153" w:val="center"/>
        <w:tab w:pos="8306" w:val="right"/>
      </w:tabs>
      <w:snapToGrid w:val="0"/>
      <w:jc w:val="center"/>
    </w:pPr>
    <w:rPr>
      <w:sz w:val="18"/>
      <w:szCs w:val="18"/>
    </w:rPr>
  </w:style>
  <w:style w:customStyle="1" w:styleId="Char" w:type="character">
    <w:name w:val="页眉 Char"/>
    <w:link w:val="a4"/>
    <w:uiPriority w:val="99"/>
    <w:locked/>
    <w:rsid w:val="008379E2"/>
    <w:rPr>
      <w:rFonts w:cs="Times New Roman"/>
      <w:kern w:val="2"/>
      <w:sz w:val="18"/>
      <w:szCs w:val="18"/>
    </w:rPr>
  </w:style>
  <w:style w:styleId="a5" w:type="paragraph">
    <w:name w:val="footer"/>
    <w:basedOn w:val="a"/>
    <w:link w:val="Char0"/>
    <w:uiPriority w:val="99"/>
    <w:rsid w:val="00613327"/>
    <w:pPr>
      <w:tabs>
        <w:tab w:pos="4153" w:val="center"/>
        <w:tab w:pos="8306" w:val="right"/>
      </w:tabs>
      <w:snapToGrid w:val="0"/>
      <w:jc w:val="left"/>
    </w:pPr>
    <w:rPr>
      <w:kern w:val="0"/>
      <w:sz w:val="18"/>
      <w:szCs w:val="18"/>
    </w:rPr>
  </w:style>
  <w:style w:customStyle="1" w:styleId="Char0" w:type="character">
    <w:name w:val="页脚 Char"/>
    <w:link w:val="a5"/>
    <w:uiPriority w:val="99"/>
    <w:semiHidden/>
    <w:rsid w:val="006F6012"/>
    <w:rPr>
      <w:sz w:val="18"/>
      <w:szCs w:val="18"/>
    </w:rPr>
  </w:style>
  <w:style w:customStyle="1" w:styleId="Char1" w:type="paragraph">
    <w:name w:val="Char"/>
    <w:basedOn w:val="a"/>
    <w:uiPriority w:val="99"/>
    <w:rsid w:val="00186667"/>
  </w:style>
  <w:style w:styleId="20" w:type="paragraph">
    <w:name w:val="Body Text Indent 2"/>
    <w:basedOn w:val="a"/>
    <w:link w:val="2Char0"/>
    <w:uiPriority w:val="99"/>
    <w:rsid w:val="00186667"/>
    <w:pPr>
      <w:spacing w:line="560" w:lineRule="exact"/>
      <w:ind w:firstLine="480" w:firstLineChars="200"/>
    </w:pPr>
    <w:rPr>
      <w:kern w:val="0"/>
      <w:sz w:val="20"/>
    </w:rPr>
  </w:style>
  <w:style w:customStyle="1" w:styleId="2Char0" w:type="character">
    <w:name w:val="正文文本缩进 2 Char"/>
    <w:link w:val="20"/>
    <w:uiPriority w:val="99"/>
    <w:semiHidden/>
    <w:rsid w:val="006F6012"/>
    <w:rPr>
      <w:szCs w:val="24"/>
    </w:rPr>
  </w:style>
  <w:style w:styleId="a6" w:type="paragraph">
    <w:name w:val="Plain Text"/>
    <w:basedOn w:val="a"/>
    <w:link w:val="Char2"/>
    <w:uiPriority w:val="99"/>
    <w:rsid w:val="004771B9"/>
    <w:rPr>
      <w:rFonts w:ascii="宋体" w:hAnsi="Courier New"/>
      <w:szCs w:val="20"/>
    </w:rPr>
  </w:style>
  <w:style w:customStyle="1" w:styleId="Char2" w:type="character">
    <w:name w:val="纯文本 Char"/>
    <w:link w:val="a6"/>
    <w:uiPriority w:val="99"/>
    <w:locked/>
    <w:rsid w:val="00E63B3D"/>
    <w:rPr>
      <w:rFonts w:ascii="宋体" w:hAnsi="Courier New"/>
      <w:kern w:val="2"/>
      <w:sz w:val="21"/>
    </w:rPr>
  </w:style>
  <w:style w:styleId="3" w:type="paragraph">
    <w:name w:val="Body Text Indent 3"/>
    <w:basedOn w:val="a"/>
    <w:link w:val="3Char"/>
    <w:uiPriority w:val="99"/>
    <w:rsid w:val="004771B9"/>
    <w:pPr>
      <w:spacing w:after="120"/>
      <w:ind w:left="420" w:leftChars="200"/>
    </w:pPr>
    <w:rPr>
      <w:kern w:val="0"/>
      <w:sz w:val="16"/>
      <w:szCs w:val="16"/>
    </w:rPr>
  </w:style>
  <w:style w:customStyle="1" w:styleId="3Char" w:type="character">
    <w:name w:val="正文文本缩进 3 Char"/>
    <w:link w:val="3"/>
    <w:uiPriority w:val="99"/>
    <w:semiHidden/>
    <w:rsid w:val="006F6012"/>
    <w:rPr>
      <w:sz w:val="16"/>
      <w:szCs w:val="16"/>
    </w:rPr>
  </w:style>
  <w:style w:styleId="a0" w:type="paragraph">
    <w:name w:val="Normal Indent"/>
    <w:basedOn w:val="a"/>
    <w:uiPriority w:val="99"/>
    <w:rsid w:val="009D74FC"/>
    <w:pPr>
      <w:ind w:firstLine="420" w:firstLineChars="200"/>
    </w:pPr>
  </w:style>
  <w:style w:styleId="a7" w:type="paragraph">
    <w:name w:val="Document Map"/>
    <w:basedOn w:val="a"/>
    <w:link w:val="Char3"/>
    <w:uiPriority w:val="99"/>
    <w:semiHidden/>
    <w:rsid w:val="005212AE"/>
    <w:pPr>
      <w:shd w:color="auto" w:fill="000080" w:val="clear"/>
    </w:pPr>
    <w:rPr>
      <w:kern w:val="0"/>
      <w:sz w:val="0"/>
      <w:szCs w:val="0"/>
    </w:rPr>
  </w:style>
  <w:style w:customStyle="1" w:styleId="Char3" w:type="character">
    <w:name w:val="文档结构图 Char"/>
    <w:link w:val="a7"/>
    <w:uiPriority w:val="99"/>
    <w:semiHidden/>
    <w:rsid w:val="006F6012"/>
    <w:rPr>
      <w:sz w:val="0"/>
      <w:szCs w:val="0"/>
    </w:rPr>
  </w:style>
  <w:style w:styleId="a8" w:type="paragraph">
    <w:name w:val="Balloon Text"/>
    <w:basedOn w:val="a"/>
    <w:link w:val="Char4"/>
    <w:uiPriority w:val="99"/>
    <w:rsid w:val="00E63B3D"/>
    <w:rPr>
      <w:sz w:val="18"/>
      <w:szCs w:val="18"/>
    </w:rPr>
  </w:style>
  <w:style w:customStyle="1" w:styleId="Char4" w:type="character">
    <w:name w:val="批注框文本 Char"/>
    <w:link w:val="a8"/>
    <w:uiPriority w:val="99"/>
    <w:locked/>
    <w:rsid w:val="00E63B3D"/>
    <w:rPr>
      <w:rFonts w:cs="Times New Roman"/>
      <w:kern w:val="2"/>
      <w:sz w:val="18"/>
      <w:szCs w:val="18"/>
    </w:rPr>
  </w:style>
  <w:style w:styleId="a9" w:type="paragraph">
    <w:name w:val="List Paragraph"/>
    <w:basedOn w:val="a"/>
    <w:uiPriority w:val="99"/>
    <w:qFormat/>
    <w:rsid w:val="005F668B"/>
    <w:pPr>
      <w:ind w:firstLine="420" w:firstLineChars="200"/>
    </w:pPr>
  </w:style>
  <w:style w:styleId="aa" w:type="table">
    <w:name w:val="Table Grid"/>
    <w:basedOn w:val="a2"/>
    <w:qFormat/>
    <w:rsid w:val="005A60B7"/>
    <w:tblPr>
      <w:tblInd w:type="dxa"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
  </w:style>
  <w:style w:styleId="ab" w:type="paragraph">
    <w:name w:val="Normal (Web)"/>
    <w:basedOn w:val="a"/>
    <w:uiPriority w:val="99"/>
    <w:rsid w:val="008B23BD"/>
    <w:pPr>
      <w:widowControl/>
      <w:spacing w:after="100" w:afterAutospacing="1" w:before="100" w:beforeAutospacing="1"/>
    </w:pPr>
    <w:rPr>
      <w:rFonts w:ascii="宋体" w:hAnsi="宋体"/>
      <w:kern w:val="0"/>
      <w:sz w:val="24"/>
      <w:szCs w:val="20"/>
    </w:rPr>
  </w:style>
  <w:style w:styleId="ac" w:type="paragraph">
    <w:name w:val="Date"/>
    <w:basedOn w:val="a"/>
    <w:next w:val="a"/>
    <w:link w:val="Char5"/>
    <w:uiPriority w:val="99"/>
    <w:rsid w:val="00D66016"/>
    <w:rPr>
      <w:sz w:val="24"/>
      <w:szCs w:val="20"/>
    </w:rPr>
  </w:style>
  <w:style w:customStyle="1" w:styleId="Char5" w:type="character">
    <w:name w:val="日期 Char"/>
    <w:link w:val="ac"/>
    <w:uiPriority w:val="99"/>
    <w:locked/>
    <w:rsid w:val="00D66016"/>
    <w:rPr>
      <w:rFonts w:cs="Times New Roman"/>
      <w:kern w:val="2"/>
      <w:sz w:val="24"/>
    </w:rPr>
  </w:style>
  <w:style w:styleId="ad" w:type="paragraph">
    <w:name w:val="footnote text"/>
    <w:basedOn w:val="a"/>
    <w:link w:val="Char6"/>
    <w:uiPriority w:val="99"/>
    <w:rsid w:val="006B56E1"/>
    <w:pPr>
      <w:snapToGrid w:val="0"/>
      <w:jc w:val="left"/>
    </w:pPr>
    <w:rPr>
      <w:sz w:val="18"/>
      <w:szCs w:val="18"/>
    </w:rPr>
  </w:style>
  <w:style w:customStyle="1" w:styleId="Char6" w:type="character">
    <w:name w:val="脚注文本 Char"/>
    <w:link w:val="ad"/>
    <w:uiPriority w:val="99"/>
    <w:locked/>
    <w:rsid w:val="006B56E1"/>
    <w:rPr>
      <w:rFonts w:cs="Times New Roman"/>
      <w:kern w:val="2"/>
      <w:sz w:val="18"/>
      <w:szCs w:val="18"/>
    </w:rPr>
  </w:style>
  <w:style w:styleId="ae" w:type="character">
    <w:name w:val="footnote reference"/>
    <w:uiPriority w:val="99"/>
    <w:rsid w:val="006B56E1"/>
    <w:rPr>
      <w:rFonts w:cs="Times New Roman"/>
      <w:vertAlign w:val="superscript"/>
    </w:rPr>
  </w:style>
  <w:style w:styleId="af" w:type="character">
    <w:name w:val="Strong"/>
    <w:uiPriority w:val="22"/>
    <w:qFormat/>
    <w:locked/>
    <w:rsid w:val="001136E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71063">
      <w:bodyDiv w:val="1"/>
      <w:marLeft w:val="0"/>
      <w:marRight w:val="0"/>
      <w:marTop w:val="0"/>
      <w:marBottom w:val="0"/>
      <w:divBdr>
        <w:top w:val="none" w:sz="0" w:space="0" w:color="auto"/>
        <w:left w:val="none" w:sz="0" w:space="0" w:color="auto"/>
        <w:bottom w:val="none" w:sz="0" w:space="0" w:color="auto"/>
        <w:right w:val="none" w:sz="0" w:space="0" w:color="auto"/>
      </w:divBdr>
    </w:div>
    <w:div w:id="691616685">
      <w:bodyDiv w:val="1"/>
      <w:marLeft w:val="0"/>
      <w:marRight w:val="0"/>
      <w:marTop w:val="0"/>
      <w:marBottom w:val="0"/>
      <w:divBdr>
        <w:top w:val="none" w:sz="0" w:space="0" w:color="auto"/>
        <w:left w:val="none" w:sz="0" w:space="0" w:color="auto"/>
        <w:bottom w:val="none" w:sz="0" w:space="0" w:color="auto"/>
        <w:right w:val="none" w:sz="0" w:space="0" w:color="auto"/>
      </w:divBdr>
    </w:div>
    <w:div w:id="737367738">
      <w:bodyDiv w:val="1"/>
      <w:marLeft w:val="0"/>
      <w:marRight w:val="0"/>
      <w:marTop w:val="0"/>
      <w:marBottom w:val="0"/>
      <w:divBdr>
        <w:top w:val="none" w:sz="0" w:space="0" w:color="auto"/>
        <w:left w:val="none" w:sz="0" w:space="0" w:color="auto"/>
        <w:bottom w:val="none" w:sz="0" w:space="0" w:color="auto"/>
        <w:right w:val="none" w:sz="0" w:space="0" w:color="auto"/>
      </w:divBdr>
    </w:div>
    <w:div w:id="801459287">
      <w:bodyDiv w:val="1"/>
      <w:marLeft w:val="0"/>
      <w:marRight w:val="0"/>
      <w:marTop w:val="0"/>
      <w:marBottom w:val="0"/>
      <w:divBdr>
        <w:top w:val="none" w:sz="0" w:space="0" w:color="auto"/>
        <w:left w:val="none" w:sz="0" w:space="0" w:color="auto"/>
        <w:bottom w:val="none" w:sz="0" w:space="0" w:color="auto"/>
        <w:right w:val="none" w:sz="0" w:space="0" w:color="auto"/>
      </w:divBdr>
    </w:div>
    <w:div w:id="1718818727">
      <w:marLeft w:val="0"/>
      <w:marRight w:val="0"/>
      <w:marTop w:val="0"/>
      <w:marBottom w:val="0"/>
      <w:divBdr>
        <w:top w:val="none" w:sz="0" w:space="0" w:color="auto"/>
        <w:left w:val="none" w:sz="0" w:space="0" w:color="auto"/>
        <w:bottom w:val="none" w:sz="0" w:space="0" w:color="auto"/>
        <w:right w:val="none" w:sz="0" w:space="0" w:color="auto"/>
      </w:divBdr>
    </w:div>
    <w:div w:id="1718818728">
      <w:marLeft w:val="0"/>
      <w:marRight w:val="0"/>
      <w:marTop w:val="0"/>
      <w:marBottom w:val="0"/>
      <w:divBdr>
        <w:top w:val="none" w:sz="0" w:space="0" w:color="auto"/>
        <w:left w:val="none" w:sz="0" w:space="0" w:color="auto"/>
        <w:bottom w:val="none" w:sz="0" w:space="0" w:color="auto"/>
        <w:right w:val="none" w:sz="0" w:space="0" w:color="auto"/>
      </w:divBdr>
    </w:div>
    <w:div w:id="171881872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media/image3.jpeg" Type="http://schemas.openxmlformats.org/officeDocument/2006/relationships/image"/>
<Relationship Id="rId13" Target="fontTable.xml" Type="http://schemas.openxmlformats.org/officeDocument/2006/relationships/fontTable"/>
<Relationship Id="rId14"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TotalTime>
  <Pages>28</Pages>
  <Words>3999</Words>
  <Characters>22796</Characters>
  <Application>Microsoft Office Word</Application>
  <DocSecurity>0</DocSecurity>
  <Lines>189</Lines>
  <Paragraphs>53</Paragraphs>
  <ScaleCrop>false</ScaleCrop>
  <Company>jysld</Company>
  <LinksUpToDate>false</LinksUpToDate>
  <CharactersWithSpaces>26742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2013-12-25T02:47:00Z</dcterms:created>
  <dc:creator>bonnieliu</dc:creator>
  <cp:lastModifiedBy>sirong han</cp:lastModifiedBy>
  <cp:lastPrinted>2009-01-22T10:11:00Z</cp:lastPrinted>
  <dcterms:modified xsi:type="dcterms:W3CDTF">2020-07-09T02:58:00Z</dcterms:modified>
  <cp:revision>95</cp:revision>
</cp:coreProperties>
</file>