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易方达积极成长证券投资基金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易方达积极成长混合</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110005</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110005</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2004年9月9日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2,923,903,473.98</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本基金主要投资超速成长公司，以实现基金资产的长期最大化增值。</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采取主动投资管理模式，一方面主动地进行资产配置，以控制或规避市场的系统性风险；另一方面采取自下而上的选股策略，主要投资于利用“易方达成长公司评价体系”严格筛选的、具有良好成长性且价格合理的上市公司，其中投资的重点是“超速成长”公司的股票，以争取尽可能高的投资回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上证A股指数</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本基金为混合型基金，理论上其风险收益水平低于股票型基金，高于债券型基金和货币市场基金。</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140,537,819.10</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383,062,735.52</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0.1264</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2,260,751,328.08</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0.7732</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pPr>
        <w:spacing w:line="360" w:lineRule="auto"/>
        <w:ind w:firstLine="480" w:firstLineChars="200"/>
        <w:rPr>
          <w:color w:val="000000"/>
          <w:sz w:val="24"/>
          <w:szCs w:val="24"/>
        </w:rPr>
      </w:pPr>
      <w:r>
        <w:rPr>
          <w:color w:val="000000"/>
          <w:sz w:val="24"/>
        </w:rPr>
        <w:t>2.本期已实现收益指基金本期利息收入、投资收益、其他收入（不含公允价值变动收益）扣除相关费用后的余额，本期利润为本期已实现收益加上本期公允价值变动收益。</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 xml:space="preserve">3.本基金于2007年2月7日进行份额拆分，份额折算比例为2.521248538，折算后基金份额净值为1.0000人民币元。 </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19.71%</w:t>
            </w:r>
          </w:p>
        </w:tc>
        <w:tc>
          <w:tcPr>
            <w:vAlign w:val="center"/>
          </w:tcPr>
          <w:p>
            <w:pPr>
              <w:jc w:val="center"/>
            </w:pPr>
            <w:r>
              <w:rPr>
                <w:color w:val="000000"/>
                <w:kern w:val="0"/>
                <w:sz w:val="24"/>
                <w:szCs w:val="24"/>
              </w:rPr>
              <w:t>1.09%</w:t>
            </w:r>
          </w:p>
        </w:tc>
        <w:tc>
          <w:tcPr>
            <w:vAlign w:val="center"/>
          </w:tcPr>
          <w:p>
            <w:pPr>
              <w:jc w:val="center"/>
            </w:pPr>
            <w:r>
              <w:rPr>
                <w:color w:val="000000"/>
                <w:kern w:val="0"/>
                <w:sz w:val="24"/>
                <w:szCs w:val="24"/>
              </w:rPr>
              <w:t>8.54%</w:t>
            </w:r>
          </w:p>
        </w:tc>
        <w:tc>
          <w:tcPr>
            <w:vAlign w:val="center"/>
          </w:tcPr>
          <w:p>
            <w:pPr>
              <w:jc w:val="center"/>
            </w:pPr>
            <w:r>
              <w:rPr>
                <w:color w:val="000000"/>
                <w:kern w:val="0"/>
                <w:sz w:val="24"/>
                <w:szCs w:val="24"/>
              </w:rPr>
              <w:t>0.79%</w:t>
            </w:r>
          </w:p>
        </w:tc>
        <w:tc>
          <w:tcPr>
            <w:vAlign w:val="center"/>
          </w:tcPr>
          <w:p>
            <w:pPr>
              <w:jc w:val="center"/>
            </w:pPr>
            <w:r>
              <w:rPr>
                <w:color w:val="000000"/>
                <w:kern w:val="0"/>
                <w:sz w:val="24"/>
                <w:szCs w:val="24"/>
              </w:rPr>
              <w:t>11.17%</w:t>
            </w:r>
          </w:p>
        </w:tc>
        <w:tc>
          <w:tcPr>
            <w:vAlign w:val="center"/>
          </w:tcPr>
          <w:p>
            <w:pPr>
              <w:jc w:val="center"/>
            </w:pPr>
            <w:r>
              <w:rPr>
                <w:color w:val="000000"/>
                <w:kern w:val="0"/>
                <w:sz w:val="24"/>
                <w:szCs w:val="24"/>
              </w:rPr>
              <w:t>0.30%</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21.36%</w:t>
            </w:r>
          </w:p>
        </w:tc>
        <w:tc>
          <w:tcPr>
            <w:vAlign w:val="center"/>
          </w:tcPr>
          <w:p>
            <w:pPr>
              <w:jc w:val="center"/>
            </w:pPr>
            <w:r>
              <w:rPr>
                <w:color w:val="000000"/>
                <w:kern w:val="0"/>
                <w:sz w:val="24"/>
                <w:szCs w:val="24"/>
              </w:rPr>
              <w:t>1.56%</w:t>
            </w:r>
          </w:p>
        </w:tc>
        <w:tc>
          <w:tcPr>
            <w:vAlign w:val="center"/>
          </w:tcPr>
          <w:p>
            <w:pPr>
              <w:jc w:val="center"/>
            </w:pPr>
            <w:r>
              <w:rPr>
                <w:color w:val="000000"/>
                <w:kern w:val="0"/>
                <w:sz w:val="24"/>
                <w:szCs w:val="24"/>
              </w:rPr>
              <w:t>-2.11%</w:t>
            </w:r>
          </w:p>
        </w:tc>
        <w:tc>
          <w:tcPr>
            <w:vAlign w:val="center"/>
          </w:tcPr>
          <w:p>
            <w:pPr>
              <w:jc w:val="center"/>
            </w:pPr>
            <w:r>
              <w:rPr>
                <w:color w:val="000000"/>
                <w:kern w:val="0"/>
                <w:sz w:val="24"/>
                <w:szCs w:val="24"/>
              </w:rPr>
              <w:t>1.37%</w:t>
            </w:r>
          </w:p>
        </w:tc>
        <w:tc>
          <w:tcPr>
            <w:vAlign w:val="center"/>
          </w:tcPr>
          <w:p>
            <w:pPr>
              <w:jc w:val="center"/>
            </w:pPr>
            <w:r>
              <w:rPr>
                <w:color w:val="000000"/>
                <w:kern w:val="0"/>
                <w:sz w:val="24"/>
                <w:szCs w:val="24"/>
              </w:rPr>
              <w:t>23.47%</w:t>
            </w:r>
          </w:p>
        </w:tc>
        <w:tc>
          <w:tcPr>
            <w:vAlign w:val="center"/>
          </w:tcPr>
          <w:p>
            <w:pPr>
              <w:jc w:val="center"/>
            </w:pPr>
            <w:r>
              <w:rPr>
                <w:color w:val="000000"/>
                <w:kern w:val="0"/>
                <w:sz w:val="24"/>
                <w:szCs w:val="24"/>
              </w:rPr>
              <w:t>0.19%</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36.45%</w:t>
            </w:r>
          </w:p>
        </w:tc>
        <w:tc>
          <w:tcPr>
            <w:vAlign w:val="center"/>
          </w:tcPr>
          <w:p>
            <w:pPr>
              <w:jc w:val="center"/>
            </w:pPr>
            <w:r>
              <w:rPr>
                <w:color w:val="000000"/>
                <w:kern w:val="0"/>
                <w:sz w:val="24"/>
                <w:szCs w:val="24"/>
              </w:rPr>
              <w:t>1.25%</w:t>
            </w:r>
          </w:p>
        </w:tc>
        <w:tc>
          <w:tcPr>
            <w:vAlign w:val="center"/>
          </w:tcPr>
          <w:p>
            <w:pPr>
              <w:jc w:val="center"/>
            </w:pPr>
            <w:r>
              <w:rPr>
                <w:color w:val="000000"/>
                <w:kern w:val="0"/>
                <w:sz w:val="24"/>
                <w:szCs w:val="24"/>
              </w:rPr>
              <w:t>0.27%</w:t>
            </w:r>
          </w:p>
        </w:tc>
        <w:tc>
          <w:tcPr>
            <w:vAlign w:val="center"/>
          </w:tcPr>
          <w:p>
            <w:pPr>
              <w:jc w:val="center"/>
            </w:pPr>
            <w:r>
              <w:rPr>
                <w:color w:val="000000"/>
                <w:kern w:val="0"/>
                <w:sz w:val="24"/>
                <w:szCs w:val="24"/>
              </w:rPr>
              <w:t>1.11%</w:t>
            </w:r>
          </w:p>
        </w:tc>
        <w:tc>
          <w:tcPr>
            <w:vAlign w:val="center"/>
          </w:tcPr>
          <w:p>
            <w:pPr>
              <w:jc w:val="center"/>
            </w:pPr>
            <w:r>
              <w:rPr>
                <w:color w:val="000000"/>
                <w:kern w:val="0"/>
                <w:sz w:val="24"/>
                <w:szCs w:val="24"/>
              </w:rPr>
              <w:t>36.18%</w:t>
            </w:r>
          </w:p>
        </w:tc>
        <w:tc>
          <w:tcPr>
            <w:vAlign w:val="center"/>
          </w:tcPr>
          <w:p>
            <w:pPr>
              <w:jc w:val="center"/>
            </w:pPr>
            <w:r>
              <w:rPr>
                <w:color w:val="000000"/>
                <w:kern w:val="0"/>
                <w:sz w:val="24"/>
                <w:szCs w:val="24"/>
              </w:rPr>
              <w:t>0.14%</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37.22%</w:t>
            </w:r>
          </w:p>
        </w:tc>
        <w:tc>
          <w:tcPr>
            <w:vAlign w:val="center"/>
          </w:tcPr>
          <w:p>
            <w:pPr>
              <w:jc w:val="center"/>
            </w:pPr>
            <w:r>
              <w:rPr>
                <w:color w:val="000000"/>
                <w:kern w:val="0"/>
                <w:sz w:val="24"/>
                <w:szCs w:val="24"/>
              </w:rPr>
              <w:t>1.27%</w:t>
            </w:r>
          </w:p>
        </w:tc>
        <w:tc>
          <w:tcPr>
            <w:vAlign w:val="center"/>
          </w:tcPr>
          <w:p>
            <w:pPr>
              <w:jc w:val="center"/>
            </w:pPr>
            <w:r>
              <w:rPr>
                <w:color w:val="000000"/>
                <w:kern w:val="0"/>
                <w:sz w:val="24"/>
                <w:szCs w:val="24"/>
              </w:rPr>
              <w:t>-6.43%</w:t>
            </w:r>
          </w:p>
        </w:tc>
        <w:tc>
          <w:tcPr>
            <w:vAlign w:val="center"/>
          </w:tcPr>
          <w:p>
            <w:pPr>
              <w:jc w:val="center"/>
            </w:pPr>
            <w:r>
              <w:rPr>
                <w:color w:val="000000"/>
                <w:kern w:val="0"/>
                <w:sz w:val="24"/>
                <w:szCs w:val="24"/>
              </w:rPr>
              <w:t>1.14%</w:t>
            </w:r>
          </w:p>
        </w:tc>
        <w:tc>
          <w:tcPr>
            <w:vAlign w:val="center"/>
          </w:tcPr>
          <w:p>
            <w:pPr>
              <w:jc w:val="center"/>
            </w:pPr>
            <w:r>
              <w:rPr>
                <w:color w:val="000000"/>
                <w:kern w:val="0"/>
                <w:sz w:val="24"/>
                <w:szCs w:val="24"/>
              </w:rPr>
              <w:t>43.65%</w:t>
            </w:r>
          </w:p>
        </w:tc>
        <w:tc>
          <w:tcPr>
            <w:vAlign w:val="center"/>
          </w:tcPr>
          <w:p>
            <w:pPr>
              <w:jc w:val="center"/>
            </w:pPr>
            <w:r>
              <w:rPr>
                <w:color w:val="000000"/>
                <w:kern w:val="0"/>
                <w:sz w:val="24"/>
                <w:szCs w:val="24"/>
              </w:rPr>
              <w:t>0.13%</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17.78%</w:t>
            </w:r>
          </w:p>
        </w:tc>
        <w:tc>
          <w:tcPr>
            <w:vAlign w:val="center"/>
          </w:tcPr>
          <w:p>
            <w:pPr>
              <w:jc w:val="center"/>
            </w:pPr>
            <w:r>
              <w:rPr>
                <w:color w:val="000000"/>
                <w:kern w:val="0"/>
                <w:sz w:val="24"/>
                <w:szCs w:val="24"/>
              </w:rPr>
              <w:t>1.64%</w:t>
            </w:r>
          </w:p>
        </w:tc>
        <w:tc>
          <w:tcPr>
            <w:vAlign w:val="center"/>
          </w:tcPr>
          <w:p>
            <w:pPr>
              <w:jc w:val="center"/>
            </w:pPr>
            <w:r>
              <w:rPr>
                <w:color w:val="000000"/>
                <w:kern w:val="0"/>
                <w:sz w:val="24"/>
                <w:szCs w:val="24"/>
              </w:rPr>
              <w:t>-30.17%</w:t>
            </w:r>
          </w:p>
        </w:tc>
        <w:tc>
          <w:tcPr>
            <w:vAlign w:val="center"/>
          </w:tcPr>
          <w:p>
            <w:pPr>
              <w:jc w:val="center"/>
            </w:pPr>
            <w:r>
              <w:rPr>
                <w:color w:val="000000"/>
                <w:kern w:val="0"/>
                <w:sz w:val="24"/>
                <w:szCs w:val="24"/>
              </w:rPr>
              <w:t>1.38%</w:t>
            </w:r>
          </w:p>
        </w:tc>
        <w:tc>
          <w:tcPr>
            <w:vAlign w:val="center"/>
          </w:tcPr>
          <w:p>
            <w:pPr>
              <w:jc w:val="center"/>
            </w:pPr>
            <w:r>
              <w:rPr>
                <w:color w:val="000000"/>
                <w:kern w:val="0"/>
                <w:sz w:val="24"/>
                <w:szCs w:val="24"/>
              </w:rPr>
              <w:t>47.95%</w:t>
            </w:r>
          </w:p>
        </w:tc>
        <w:tc>
          <w:tcPr>
            <w:vAlign w:val="center"/>
          </w:tcPr>
          <w:p>
            <w:pPr>
              <w:jc w:val="center"/>
            </w:pPr>
            <w:r>
              <w:rPr>
                <w:color w:val="000000"/>
                <w:kern w:val="0"/>
                <w:sz w:val="24"/>
                <w:szCs w:val="24"/>
              </w:rPr>
              <w:t>0.26%</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710.44%</w:t>
            </w:r>
          </w:p>
        </w:tc>
        <w:tc>
          <w:tcPr>
            <w:vAlign w:val="center"/>
          </w:tcPr>
          <w:p>
            <w:pPr>
              <w:jc w:val="center"/>
            </w:pPr>
            <w:r>
              <w:rPr>
                <w:color w:val="000000"/>
                <w:kern w:val="0"/>
                <w:sz w:val="24"/>
                <w:szCs w:val="24"/>
              </w:rPr>
              <w:t>1.52%</w:t>
            </w:r>
          </w:p>
        </w:tc>
        <w:tc>
          <w:tcPr>
            <w:vAlign w:val="center"/>
          </w:tcPr>
          <w:p>
            <w:pPr>
              <w:jc w:val="center"/>
            </w:pPr>
            <w:r>
              <w:rPr>
                <w:color w:val="000000"/>
                <w:kern w:val="0"/>
                <w:sz w:val="24"/>
                <w:szCs w:val="24"/>
              </w:rPr>
              <w:t>127.78%</w:t>
            </w:r>
          </w:p>
        </w:tc>
        <w:tc>
          <w:tcPr>
            <w:vAlign w:val="center"/>
          </w:tcPr>
          <w:p>
            <w:pPr>
              <w:jc w:val="center"/>
            </w:pPr>
            <w:r>
              <w:rPr>
                <w:color w:val="000000"/>
                <w:kern w:val="0"/>
                <w:sz w:val="24"/>
                <w:szCs w:val="24"/>
              </w:rPr>
              <w:t>1.60%</w:t>
            </w:r>
          </w:p>
        </w:tc>
        <w:tc>
          <w:tcPr>
            <w:vAlign w:val="center"/>
          </w:tcPr>
          <w:p>
            <w:pPr>
              <w:jc w:val="center"/>
            </w:pPr>
            <w:r>
              <w:rPr>
                <w:color w:val="000000"/>
                <w:kern w:val="0"/>
                <w:sz w:val="24"/>
                <w:szCs w:val="24"/>
              </w:rPr>
              <w:t>582.66%</w:t>
            </w:r>
          </w:p>
        </w:tc>
        <w:tc>
          <w:tcPr>
            <w:vAlign w:val="center"/>
          </w:tcPr>
          <w:p>
            <w:pPr>
              <w:jc w:val="center"/>
            </w:pPr>
            <w:r>
              <w:rPr>
                <w:color w:val="000000"/>
                <w:kern w:val="0"/>
                <w:sz w:val="24"/>
                <w:szCs w:val="24"/>
              </w:rPr>
              <w:t>-0.08%</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易方达积极成长证券投资基金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2004年9月9日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注：自基金合同生效至报告期末，基金份额净值增长率为710.44%，同期业绩比较基准收益率为127.78%。</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王超</w:t>
            </w:r>
          </w:p>
        </w:tc>
        <w:tc>
          <w:tcPr>
            <w:vAlign w:val="center"/>
          </w:tcPr>
          <w:p>
            <w:pPr>
              <w:jc w:val="left"/>
            </w:pPr>
            <w:r>
              <w:rPr>
                <w:color w:val="000000"/>
                <w:sz w:val="24"/>
              </w:rPr>
              <w:t>本基金的基金经理</w:t>
            </w:r>
          </w:p>
        </w:tc>
        <w:tc>
          <w:tcPr>
            <w:vAlign w:val="center"/>
          </w:tcPr>
          <w:p>
            <w:pPr>
              <w:jc w:val="center"/>
            </w:pPr>
            <w:r>
              <w:rPr>
                <w:color w:val="000000"/>
                <w:sz w:val="24"/>
              </w:rPr>
              <w:t>2014-11-22</w:t>
            </w:r>
          </w:p>
        </w:tc>
        <w:tc>
          <w:tcPr>
            <w:vAlign w:val="center"/>
          </w:tcPr>
          <w:p>
            <w:pPr>
              <w:jc w:val="center"/>
            </w:pPr>
            <w:r>
              <w:rPr>
                <w:color w:val="000000"/>
                <w:sz w:val="24"/>
              </w:rPr>
              <w:t>-</w:t>
            </w:r>
          </w:p>
        </w:tc>
        <w:tc>
          <w:tcPr>
            <w:vAlign w:val="center"/>
          </w:tcPr>
          <w:p>
            <w:pPr>
              <w:jc w:val="center"/>
            </w:pPr>
            <w:r>
              <w:rPr>
                <w:color w:val="000000"/>
                <w:sz w:val="24"/>
              </w:rPr>
              <w:t>10年</w:t>
            </w:r>
          </w:p>
        </w:tc>
        <w:tc>
          <w:tcPr>
            <w:vAlign w:val="center"/>
          </w:tcPr>
          <w:p>
            <w:pPr>
              <w:jc w:val="both"/>
            </w:pPr>
            <w:r>
              <w:rPr>
                <w:color w:val="000000"/>
                <w:sz w:val="24"/>
              </w:rPr>
              <w:t>硕士研究生，具有基金从业资格。曾任上海尚雅投资管理有限公司行业研究员，易方达基金管理有限公司行业研究员、基金经理助理、易方达新利灵活配置混合型证券投资基金基金经理、易方达新鑫灵活配置混合型证券投资基金基金经理、易方达新益灵活配置混合型证券投资基金基金经理、易方达瑞景灵活配置混合型证券投资基金基金经理、易方达黄金主题证券投资基金（LOF）基金经理、易方达环保主题灵活配置混合型证券投资基金基金经理、易方达资源行业混合型证券投资基金基金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2020年二季度A股市场持续上行，上证综指和深证成指分别上涨了8.52%和20.38%，中小板指和创业板指表现更强，分别上涨了23.24%和30.25%。尽管海外疫情仍在持续扩散，但全球央行普遍的宽松政策为金融市场注入了强心剂。特别是以医药为代表的成长型行业，在低利率的环境下估值大幅提升。因考虑到全球疫情新感染人数还在持续攀高等风险因素，本基金报告期内投资策略较为保守，对于估值过高和不确定性较大的行业和板块有一定回避，组合总体仍以长期具备成长性和竞争力的企业为主进行构建。</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截至报告期末，本基金份额净值为0.7732元，本报告期份额净值增长率为19.71%，同期业绩比较基准收益率为8.54%。</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1,953,097,357.74</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84.71</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1,953,097,357.74</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84.71</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349,923,515.33</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15.18</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2,652,335.42</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0.12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2,305,673,208.49</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58,000,000.00</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2.57</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227,975,901.24</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10.08</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1,172,640,377.12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51.87</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12,766.32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110,039,998.40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4.87</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5,593,327.12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0.25</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293,787,400.65</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13.00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83,645,804.24</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3.70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1,401,782.65</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0.06</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1,953,097,357.74</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86.39</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300628</w:t>
            </w:r>
          </w:p>
        </w:tc>
        <w:tc>
          <w:tcPr>
            <w:vAlign w:val="center"/>
          </w:tcPr>
          <w:p>
            <w:pPr>
              <w:jc w:val="center"/>
            </w:pPr>
            <w:r>
              <w:rPr>
                <w:color w:val="000000"/>
                <w:kern w:val="0"/>
                <w:sz w:val="24"/>
                <w:szCs w:val="24"/>
              </w:rPr>
              <w:t>亿联网络</w:t>
            </w:r>
          </w:p>
        </w:tc>
        <w:tc>
          <w:tcPr>
            <w:vAlign w:val="center"/>
          </w:tcPr>
          <w:p>
            <w:pPr>
              <w:jc w:val="right"/>
            </w:pPr>
            <w:r>
              <w:rPr>
                <w:color w:val="000000"/>
                <w:kern w:val="0"/>
                <w:sz w:val="24"/>
                <w:szCs w:val="24"/>
              </w:rPr>
              <w:t>3,300,077</w:t>
            </w:r>
          </w:p>
        </w:tc>
        <w:tc>
          <w:tcPr>
            <w:vAlign w:val="center"/>
          </w:tcPr>
          <w:p>
            <w:pPr>
              <w:jc w:val="right"/>
            </w:pPr>
            <w:r>
              <w:rPr>
                <w:color w:val="000000"/>
                <w:kern w:val="0"/>
                <w:sz w:val="24"/>
                <w:szCs w:val="24"/>
              </w:rPr>
              <w:t>225,263,256.02</w:t>
            </w:r>
          </w:p>
        </w:tc>
        <w:tc>
          <w:tcPr>
            <w:vAlign w:val="center"/>
          </w:tcPr>
          <w:p>
            <w:pPr>
              <w:jc w:val="right"/>
            </w:pPr>
            <w:r>
              <w:rPr>
                <w:color w:val="000000"/>
                <w:kern w:val="0"/>
                <w:sz w:val="24"/>
                <w:szCs w:val="24"/>
              </w:rPr>
              <w:t>9.96</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603707</w:t>
            </w:r>
          </w:p>
        </w:tc>
        <w:tc>
          <w:tcPr>
            <w:vAlign w:val="center"/>
          </w:tcPr>
          <w:p>
            <w:pPr>
              <w:jc w:val="center"/>
            </w:pPr>
            <w:r>
              <w:rPr>
                <w:color w:val="000000"/>
                <w:kern w:val="0"/>
                <w:sz w:val="24"/>
                <w:szCs w:val="24"/>
              </w:rPr>
              <w:t>健友股份</w:t>
            </w:r>
          </w:p>
        </w:tc>
        <w:tc>
          <w:tcPr>
            <w:vAlign w:val="center"/>
          </w:tcPr>
          <w:p>
            <w:pPr>
              <w:jc w:val="right"/>
            </w:pPr>
            <w:r>
              <w:rPr>
                <w:color w:val="000000"/>
                <w:kern w:val="0"/>
                <w:sz w:val="24"/>
                <w:szCs w:val="24"/>
              </w:rPr>
              <w:t>3,161,000</w:t>
            </w:r>
          </w:p>
        </w:tc>
        <w:tc>
          <w:tcPr>
            <w:vAlign w:val="center"/>
          </w:tcPr>
          <w:p>
            <w:pPr>
              <w:jc w:val="right"/>
            </w:pPr>
            <w:r>
              <w:rPr>
                <w:color w:val="000000"/>
                <w:kern w:val="0"/>
                <w:sz w:val="24"/>
                <w:szCs w:val="24"/>
              </w:rPr>
              <w:t>204,105,770.00</w:t>
            </w:r>
          </w:p>
        </w:tc>
        <w:tc>
          <w:tcPr>
            <w:vAlign w:val="center"/>
          </w:tcPr>
          <w:p>
            <w:pPr>
              <w:jc w:val="right"/>
            </w:pPr>
            <w:r>
              <w:rPr>
                <w:color w:val="000000"/>
                <w:kern w:val="0"/>
                <w:sz w:val="24"/>
                <w:szCs w:val="24"/>
              </w:rPr>
              <w:t>9.03</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601899</w:t>
            </w:r>
          </w:p>
        </w:tc>
        <w:tc>
          <w:tcPr>
            <w:vAlign w:val="center"/>
          </w:tcPr>
          <w:p>
            <w:pPr>
              <w:jc w:val="center"/>
            </w:pPr>
            <w:r>
              <w:rPr>
                <w:color w:val="000000"/>
                <w:kern w:val="0"/>
                <w:sz w:val="24"/>
                <w:szCs w:val="24"/>
              </w:rPr>
              <w:t>紫金矿业</w:t>
            </w:r>
          </w:p>
        </w:tc>
        <w:tc>
          <w:tcPr>
            <w:vAlign w:val="center"/>
          </w:tcPr>
          <w:p>
            <w:pPr>
              <w:jc w:val="right"/>
            </w:pPr>
            <w:r>
              <w:rPr>
                <w:color w:val="000000"/>
                <w:kern w:val="0"/>
                <w:sz w:val="24"/>
                <w:szCs w:val="24"/>
              </w:rPr>
              <w:t>25,999,916</w:t>
            </w:r>
          </w:p>
        </w:tc>
        <w:tc>
          <w:tcPr>
            <w:vAlign w:val="center"/>
          </w:tcPr>
          <w:p>
            <w:pPr>
              <w:jc w:val="right"/>
            </w:pPr>
            <w:r>
              <w:rPr>
                <w:color w:val="000000"/>
                <w:kern w:val="0"/>
                <w:sz w:val="24"/>
                <w:szCs w:val="24"/>
              </w:rPr>
              <w:t>114,399,630.40</w:t>
            </w:r>
          </w:p>
        </w:tc>
        <w:tc>
          <w:tcPr>
            <w:vAlign w:val="center"/>
          </w:tcPr>
          <w:p>
            <w:pPr>
              <w:jc w:val="right"/>
            </w:pPr>
            <w:r>
              <w:rPr>
                <w:color w:val="000000"/>
                <w:kern w:val="0"/>
                <w:sz w:val="24"/>
                <w:szCs w:val="24"/>
              </w:rPr>
              <w:t>5.06</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600547</w:t>
            </w:r>
          </w:p>
        </w:tc>
        <w:tc>
          <w:tcPr>
            <w:vAlign w:val="center"/>
          </w:tcPr>
          <w:p>
            <w:pPr>
              <w:jc w:val="center"/>
            </w:pPr>
            <w:r>
              <w:rPr>
                <w:color w:val="000000"/>
                <w:kern w:val="0"/>
                <w:sz w:val="24"/>
                <w:szCs w:val="24"/>
              </w:rPr>
              <w:t>山东黄金</w:t>
            </w:r>
          </w:p>
        </w:tc>
        <w:tc>
          <w:tcPr>
            <w:vAlign w:val="center"/>
          </w:tcPr>
          <w:p>
            <w:pPr>
              <w:jc w:val="right"/>
            </w:pPr>
            <w:r>
              <w:rPr>
                <w:color w:val="000000"/>
                <w:kern w:val="0"/>
                <w:sz w:val="24"/>
                <w:szCs w:val="24"/>
              </w:rPr>
              <w:t>3,101,482</w:t>
            </w:r>
          </w:p>
        </w:tc>
        <w:tc>
          <w:tcPr>
            <w:vAlign w:val="center"/>
          </w:tcPr>
          <w:p>
            <w:pPr>
              <w:jc w:val="right"/>
            </w:pPr>
            <w:r>
              <w:rPr>
                <w:color w:val="000000"/>
                <w:kern w:val="0"/>
                <w:sz w:val="24"/>
                <w:szCs w:val="24"/>
              </w:rPr>
              <w:t>113,576,270.84</w:t>
            </w:r>
          </w:p>
        </w:tc>
        <w:tc>
          <w:tcPr>
            <w:vAlign w:val="center"/>
          </w:tcPr>
          <w:p>
            <w:pPr>
              <w:jc w:val="right"/>
            </w:pPr>
            <w:r>
              <w:rPr>
                <w:color w:val="000000"/>
                <w:kern w:val="0"/>
                <w:sz w:val="24"/>
                <w:szCs w:val="24"/>
              </w:rPr>
              <w:t>5.02</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002242</w:t>
            </w:r>
          </w:p>
        </w:tc>
        <w:tc>
          <w:tcPr>
            <w:vAlign w:val="center"/>
          </w:tcPr>
          <w:p>
            <w:pPr>
              <w:jc w:val="center"/>
            </w:pPr>
            <w:r>
              <w:rPr>
                <w:color w:val="000000"/>
                <w:kern w:val="0"/>
                <w:sz w:val="24"/>
                <w:szCs w:val="24"/>
              </w:rPr>
              <w:t>九阳股份</w:t>
            </w:r>
          </w:p>
        </w:tc>
        <w:tc>
          <w:tcPr>
            <w:vAlign w:val="center"/>
          </w:tcPr>
          <w:p>
            <w:pPr>
              <w:jc w:val="right"/>
            </w:pPr>
            <w:r>
              <w:rPr>
                <w:color w:val="000000"/>
                <w:kern w:val="0"/>
                <w:sz w:val="24"/>
                <w:szCs w:val="24"/>
              </w:rPr>
              <w:t>2,999,811</w:t>
            </w:r>
          </w:p>
        </w:tc>
        <w:tc>
          <w:tcPr>
            <w:vAlign w:val="center"/>
          </w:tcPr>
          <w:p>
            <w:pPr>
              <w:jc w:val="right"/>
            </w:pPr>
            <w:r>
              <w:rPr>
                <w:color w:val="000000"/>
                <w:kern w:val="0"/>
                <w:sz w:val="24"/>
                <w:szCs w:val="24"/>
              </w:rPr>
              <w:t>111,802,955.97</w:t>
            </w:r>
          </w:p>
        </w:tc>
        <w:tc>
          <w:tcPr>
            <w:vAlign w:val="center"/>
          </w:tcPr>
          <w:p>
            <w:pPr>
              <w:jc w:val="right"/>
            </w:pPr>
            <w:r>
              <w:rPr>
                <w:color w:val="000000"/>
                <w:kern w:val="0"/>
                <w:sz w:val="24"/>
                <w:szCs w:val="24"/>
              </w:rPr>
              <w:t>4.95</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600201</w:t>
            </w:r>
          </w:p>
        </w:tc>
        <w:tc>
          <w:tcPr>
            <w:vAlign w:val="center"/>
          </w:tcPr>
          <w:p>
            <w:pPr>
              <w:jc w:val="center"/>
            </w:pPr>
            <w:r>
              <w:rPr>
                <w:color w:val="000000"/>
                <w:kern w:val="0"/>
                <w:sz w:val="24"/>
                <w:szCs w:val="24"/>
              </w:rPr>
              <w:t>生物股份</w:t>
            </w:r>
          </w:p>
        </w:tc>
        <w:tc>
          <w:tcPr>
            <w:vAlign w:val="center"/>
          </w:tcPr>
          <w:p>
            <w:pPr>
              <w:jc w:val="right"/>
            </w:pPr>
            <w:r>
              <w:rPr>
                <w:color w:val="000000"/>
                <w:kern w:val="0"/>
                <w:sz w:val="24"/>
                <w:szCs w:val="24"/>
              </w:rPr>
              <w:t>4,000,034</w:t>
            </w:r>
          </w:p>
        </w:tc>
        <w:tc>
          <w:tcPr>
            <w:vAlign w:val="center"/>
          </w:tcPr>
          <w:p>
            <w:pPr>
              <w:jc w:val="right"/>
            </w:pPr>
            <w:r>
              <w:rPr>
                <w:color w:val="000000"/>
                <w:kern w:val="0"/>
                <w:sz w:val="24"/>
                <w:szCs w:val="24"/>
              </w:rPr>
              <w:t>111,360,946.56</w:t>
            </w:r>
          </w:p>
        </w:tc>
        <w:tc>
          <w:tcPr>
            <w:vAlign w:val="center"/>
          </w:tcPr>
          <w:p>
            <w:pPr>
              <w:jc w:val="right"/>
            </w:pPr>
            <w:r>
              <w:rPr>
                <w:color w:val="000000"/>
                <w:kern w:val="0"/>
                <w:sz w:val="24"/>
                <w:szCs w:val="24"/>
              </w:rPr>
              <w:t>4.93</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603883</w:t>
            </w:r>
          </w:p>
        </w:tc>
        <w:tc>
          <w:tcPr>
            <w:vAlign w:val="center"/>
          </w:tcPr>
          <w:p>
            <w:pPr>
              <w:jc w:val="center"/>
            </w:pPr>
            <w:r>
              <w:rPr>
                <w:color w:val="000000"/>
                <w:kern w:val="0"/>
                <w:sz w:val="24"/>
                <w:szCs w:val="24"/>
              </w:rPr>
              <w:t>老百姓</w:t>
            </w:r>
          </w:p>
        </w:tc>
        <w:tc>
          <w:tcPr>
            <w:vAlign w:val="center"/>
          </w:tcPr>
          <w:p>
            <w:pPr>
              <w:jc w:val="right"/>
            </w:pPr>
            <w:r>
              <w:rPr>
                <w:color w:val="000000"/>
                <w:kern w:val="0"/>
                <w:sz w:val="24"/>
                <w:szCs w:val="24"/>
              </w:rPr>
              <w:t>1,099,960</w:t>
            </w:r>
          </w:p>
        </w:tc>
        <w:tc>
          <w:tcPr>
            <w:vAlign w:val="center"/>
          </w:tcPr>
          <w:p>
            <w:pPr>
              <w:jc w:val="right"/>
            </w:pPr>
            <w:r>
              <w:rPr>
                <w:color w:val="000000"/>
                <w:kern w:val="0"/>
                <w:sz w:val="24"/>
                <w:szCs w:val="24"/>
              </w:rPr>
              <w:t>110,039,998.40</w:t>
            </w:r>
          </w:p>
        </w:tc>
        <w:tc>
          <w:tcPr>
            <w:vAlign w:val="center"/>
          </w:tcPr>
          <w:p>
            <w:pPr>
              <w:jc w:val="right"/>
            </w:pPr>
            <w:r>
              <w:rPr>
                <w:color w:val="000000"/>
                <w:kern w:val="0"/>
                <w:sz w:val="24"/>
                <w:szCs w:val="24"/>
              </w:rPr>
              <w:t>4.87</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600309</w:t>
            </w:r>
          </w:p>
        </w:tc>
        <w:tc>
          <w:tcPr>
            <w:vAlign w:val="center"/>
          </w:tcPr>
          <w:p>
            <w:pPr>
              <w:jc w:val="center"/>
            </w:pPr>
            <w:r>
              <w:rPr>
                <w:color w:val="000000"/>
                <w:kern w:val="0"/>
                <w:sz w:val="24"/>
                <w:szCs w:val="24"/>
              </w:rPr>
              <w:t>万华化学</w:t>
            </w:r>
          </w:p>
        </w:tc>
        <w:tc>
          <w:tcPr>
            <w:vAlign w:val="center"/>
          </w:tcPr>
          <w:p>
            <w:pPr>
              <w:jc w:val="right"/>
            </w:pPr>
            <w:r>
              <w:rPr>
                <w:color w:val="000000"/>
                <w:kern w:val="0"/>
                <w:sz w:val="24"/>
                <w:szCs w:val="24"/>
              </w:rPr>
              <w:t>2,199,923</w:t>
            </w:r>
          </w:p>
        </w:tc>
        <w:tc>
          <w:tcPr>
            <w:vAlign w:val="center"/>
          </w:tcPr>
          <w:p>
            <w:pPr>
              <w:jc w:val="right"/>
            </w:pPr>
            <w:r>
              <w:rPr>
                <w:color w:val="000000"/>
                <w:kern w:val="0"/>
                <w:sz w:val="24"/>
                <w:szCs w:val="24"/>
              </w:rPr>
              <w:t>109,974,150.77</w:t>
            </w:r>
          </w:p>
        </w:tc>
        <w:tc>
          <w:tcPr>
            <w:vAlign w:val="center"/>
          </w:tcPr>
          <w:p>
            <w:pPr>
              <w:jc w:val="right"/>
            </w:pPr>
            <w:r>
              <w:rPr>
                <w:color w:val="000000"/>
                <w:kern w:val="0"/>
                <w:sz w:val="24"/>
                <w:szCs w:val="24"/>
              </w:rPr>
              <w:t>4.86</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002690</w:t>
            </w:r>
          </w:p>
        </w:tc>
        <w:tc>
          <w:tcPr>
            <w:vAlign w:val="center"/>
          </w:tcPr>
          <w:p>
            <w:pPr>
              <w:jc w:val="center"/>
            </w:pPr>
            <w:r>
              <w:rPr>
                <w:color w:val="000000"/>
                <w:kern w:val="0"/>
                <w:sz w:val="24"/>
                <w:szCs w:val="24"/>
              </w:rPr>
              <w:t>美亚光电</w:t>
            </w:r>
          </w:p>
        </w:tc>
        <w:tc>
          <w:tcPr>
            <w:vAlign w:val="center"/>
          </w:tcPr>
          <w:p>
            <w:pPr>
              <w:jc w:val="right"/>
            </w:pPr>
            <w:r>
              <w:rPr>
                <w:color w:val="000000"/>
                <w:kern w:val="0"/>
                <w:sz w:val="24"/>
                <w:szCs w:val="24"/>
              </w:rPr>
              <w:t>2,000,052</w:t>
            </w:r>
          </w:p>
        </w:tc>
        <w:tc>
          <w:tcPr>
            <w:vAlign w:val="center"/>
          </w:tcPr>
          <w:p>
            <w:pPr>
              <w:jc w:val="right"/>
            </w:pPr>
            <w:r>
              <w:rPr>
                <w:color w:val="000000"/>
                <w:kern w:val="0"/>
                <w:sz w:val="24"/>
                <w:szCs w:val="24"/>
              </w:rPr>
              <w:t>105,202,735.20</w:t>
            </w:r>
          </w:p>
        </w:tc>
        <w:tc>
          <w:tcPr>
            <w:vAlign w:val="center"/>
          </w:tcPr>
          <w:p>
            <w:pPr>
              <w:jc w:val="right"/>
            </w:pPr>
            <w:r>
              <w:rPr>
                <w:color w:val="000000"/>
                <w:kern w:val="0"/>
                <w:sz w:val="24"/>
                <w:szCs w:val="24"/>
              </w:rPr>
              <w:t>4.65</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002311</w:t>
            </w:r>
          </w:p>
        </w:tc>
        <w:tc>
          <w:tcPr>
            <w:vAlign w:val="center"/>
          </w:tcPr>
          <w:p>
            <w:pPr>
              <w:jc w:val="center"/>
            </w:pPr>
            <w:r>
              <w:rPr>
                <w:color w:val="000000"/>
                <w:kern w:val="0"/>
                <w:sz w:val="24"/>
                <w:szCs w:val="24"/>
              </w:rPr>
              <w:t>海大集团</w:t>
            </w:r>
          </w:p>
        </w:tc>
        <w:tc>
          <w:tcPr>
            <w:vAlign w:val="center"/>
          </w:tcPr>
          <w:p>
            <w:pPr>
              <w:jc w:val="right"/>
            </w:pPr>
            <w:r>
              <w:rPr>
                <w:color w:val="000000"/>
                <w:kern w:val="0"/>
                <w:sz w:val="24"/>
                <w:szCs w:val="24"/>
              </w:rPr>
              <w:t>2,000,255</w:t>
            </w:r>
          </w:p>
        </w:tc>
        <w:tc>
          <w:tcPr>
            <w:vAlign w:val="center"/>
          </w:tcPr>
          <w:p>
            <w:pPr>
              <w:jc w:val="right"/>
            </w:pPr>
            <w:r>
              <w:rPr>
                <w:color w:val="000000"/>
                <w:kern w:val="0"/>
                <w:sz w:val="24"/>
                <w:szCs w:val="24"/>
              </w:rPr>
              <w:t>95,192,135.45</w:t>
            </w:r>
          </w:p>
        </w:tc>
        <w:tc>
          <w:tcPr>
            <w:vAlign w:val="center"/>
          </w:tcPr>
          <w:p>
            <w:pPr>
              <w:jc w:val="right"/>
            </w:pPr>
            <w:r>
              <w:rPr>
                <w:color w:val="000000"/>
                <w:kern w:val="0"/>
                <w:sz w:val="24"/>
                <w:szCs w:val="24"/>
              </w:rPr>
              <w:t>4.21</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p w:rsidP="00403A06" w:rsidR="00750D48" w:rsidRDefault="00CA4677"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451,104.15</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34,817.53</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2,166,413.74</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2,652,335.42</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3,084,073,744.36</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106,221,300.71</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266,391,571.09</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2,923,903,473.98</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1.中国证监会批准易方达积极成长证券投资基金设立的文件；</w:t>
      </w:r>
    </w:p>
    <w:p>
      <w:pPr>
        <w:spacing w:line="360" w:lineRule="auto"/>
        <w:ind w:firstLine="480" w:firstLineChars="200"/>
        <w:rPr>
          <w:color w:val="000000"/>
          <w:sz w:val="24"/>
          <w:szCs w:val="24"/>
        </w:rPr>
      </w:pPr>
      <w:r>
        <w:rPr>
          <w:color w:val="000000"/>
          <w:sz w:val="24"/>
          <w:szCs w:val="24"/>
        </w:rPr>
        <w:t>2.《易方达积极成长证券投资基金基金合同》；</w:t>
      </w:r>
    </w:p>
    <w:p>
      <w:pPr>
        <w:spacing w:line="360" w:lineRule="auto"/>
        <w:ind w:firstLine="480" w:firstLineChars="200"/>
        <w:rPr>
          <w:color w:val="000000"/>
          <w:sz w:val="24"/>
          <w:szCs w:val="24"/>
        </w:rPr>
      </w:pPr>
      <w:r>
        <w:rPr>
          <w:color w:val="000000"/>
          <w:sz w:val="24"/>
          <w:szCs w:val="24"/>
        </w:rPr>
        <w:t>3.《易方达积极成长证券投资基金托管协议》；</w:t>
      </w:r>
    </w:p>
    <w:p>
      <w:pPr>
        <w:spacing w:line="360" w:lineRule="auto"/>
        <w:ind w:firstLine="480" w:firstLineChars="200"/>
        <w:rPr>
          <w:color w:val="000000"/>
          <w:sz w:val="24"/>
          <w:szCs w:val="24"/>
        </w:rPr>
      </w:pPr>
      <w:r>
        <w:rPr>
          <w:color w:val="000000"/>
          <w:sz w:val="24"/>
          <w:szCs w:val="24"/>
        </w:rPr>
        <w:t xml:space="preserve">4.《易方达基金管理有限公司开放式基金业务规则》； </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5.基金管理人业务资格批件和营业执照。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易方达积极成长证券投资基金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