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074E9F" w:rsidR="00A62673" w:rsidRDefault="00A62673" w:rsidRPr="00EC5CE0">
      <w:pPr>
        <w:autoSpaceDE w:val="0"/>
        <w:autoSpaceDN w:val="0"/>
        <w:adjustRightInd w:val="0"/>
        <w:spacing w:line="360" w:lineRule="auto"/>
        <w:jc w:val="left"/>
        <w:rPr>
          <w:rFonts w:ascii="宋体" w:cs="Arial"/>
          <w:color w:val="000000"/>
          <w:kern w:val="0"/>
          <w:sz w:val="24"/>
        </w:rPr>
      </w:pPr>
    </w:p>
    <w:p w:rsidP="00074E9F" w:rsidR="00A62673" w:rsidRDefault="00A62673" w:rsidRPr="00EC5CE0">
      <w:pPr>
        <w:autoSpaceDE w:val="0"/>
        <w:autoSpaceDN w:val="0"/>
        <w:adjustRightInd w:val="0"/>
        <w:spacing w:line="360" w:lineRule="auto"/>
        <w:jc w:val="left"/>
        <w:rPr>
          <w:rFonts w:ascii="宋体" w:cs="Arial"/>
          <w:color w:val="000000"/>
          <w:kern w:val="0"/>
          <w:sz w:val="24"/>
        </w:rPr>
      </w:pPr>
    </w:p>
    <w:p w:rsidP="00074E9F" w:rsidR="00A62673" w:rsidRDefault="00A62673" w:rsidRPr="00EC5CE0">
      <w:pPr>
        <w:autoSpaceDE w:val="0"/>
        <w:autoSpaceDN w:val="0"/>
        <w:adjustRightInd w:val="0"/>
        <w:spacing w:line="360" w:lineRule="auto"/>
        <w:jc w:val="left"/>
        <w:rPr>
          <w:rFonts w:ascii="宋体" w:cs="Arial"/>
          <w:color w:val="000000"/>
          <w:kern w:val="0"/>
          <w:sz w:val="24"/>
        </w:rPr>
      </w:pPr>
    </w:p>
    <w:p w:rsidP="00074E9F" w:rsidR="00A62673" w:rsidRDefault="00A62673" w:rsidRPr="00EC5CE0">
      <w:pPr>
        <w:autoSpaceDE w:val="0"/>
        <w:autoSpaceDN w:val="0"/>
        <w:adjustRightInd w:val="0"/>
        <w:spacing w:line="360" w:lineRule="auto"/>
        <w:jc w:val="left"/>
        <w:rPr>
          <w:rFonts w:ascii="宋体" w:cs="Arial"/>
          <w:color w:val="000000"/>
          <w:kern w:val="0"/>
          <w:sz w:val="36"/>
          <w:szCs w:val="36"/>
        </w:rPr>
      </w:pPr>
    </w:p>
    <w:p w:rsidP="000020BB" w:rsidR="00A62673" w:rsidRDefault="00A62673" w:rsidRPr="00EC5CE0">
      <w:pPr>
        <w:spacing w:line="360" w:lineRule="auto"/>
        <w:jc w:val="center"/>
        <w:rPr>
          <w:rFonts w:ascii="宋体" w:hAnsi="宋体"/>
          <w:b/>
          <w:sz w:val="36"/>
          <w:szCs w:val="36"/>
        </w:rPr>
      </w:pPr>
      <w:r w:rsidRPr="00EC5CE0">
        <w:rPr>
          <w:rFonts w:ascii="宋体"/>
          <w:b/>
          <w:sz w:val="36"/>
          <w:szCs w:val="36"/>
        </w:rPr>
        <w:t/>
      </w:r>
      <w:proofErr w:type="spellStart"/>
      <w:proofErr w:type="gramStart"/>
      <w:r w:rsidRPr="00EC5CE0">
        <w:rPr>
          <w:rFonts w:ascii="宋体" w:hAnsi="宋体"/>
          <w:b/>
          <w:sz w:val="36"/>
          <w:szCs w:val="36"/>
        </w:rPr>
        <w:t/>
      </w:r>
      <w:proofErr w:type="spellEnd"/>
      <w:proofErr w:type="gramEnd"/>
      <w:r w:rsidRPr="00EC5CE0">
        <w:rPr>
          <w:rFonts w:ascii="宋体" w:hAnsi="宋体"/>
          <w:b/>
          <w:sz w:val="36"/>
          <w:szCs w:val="36"/>
        </w:rPr>
        <w:t>易方达50指数证券投资基金</w:t>
      </w:r>
    </w:p>
    <w:p w:rsidP="000020BB" w:rsidR="00A62673" w:rsidRDefault="00A62673" w:rsidRPr="00EC5CE0">
      <w:pPr>
        <w:spacing w:line="360" w:lineRule="auto"/>
        <w:jc w:val="center"/>
        <w:rPr>
          <w:rFonts w:ascii="宋体" w:hAnsi="宋体"/>
          <w:b/>
          <w:sz w:val="36"/>
          <w:szCs w:val="36"/>
        </w:rPr>
      </w:pPr>
      <w:r w:rsidRPr="00EC5CE0">
        <w:rPr>
          <w:rFonts w:ascii="宋体" w:hAnsi="宋体"/>
          <w:b/>
          <w:sz w:val="36"/>
          <w:szCs w:val="36"/>
        </w:rPr>
        <w:t/>
      </w:r>
      <w:proofErr w:type="spellStart"/>
      <w:r w:rsidRPr="00EC5CE0">
        <w:rPr>
          <w:rFonts w:ascii="宋体" w:hAnsi="宋体"/>
          <w:b/>
          <w:sz w:val="36"/>
          <w:szCs w:val="36"/>
        </w:rPr>
        <w:t/>
      </w:r>
      <w:proofErr w:type="spellEnd"/>
      <w:r w:rsidRPr="00EC5CE0">
        <w:rPr>
          <w:rFonts w:ascii="宋体" w:hAnsi="宋体"/>
          <w:b/>
          <w:sz w:val="36"/>
          <w:szCs w:val="36"/>
        </w:rPr>
        <w:t>2020年第2季度报告</w:t>
      </w:r>
    </w:p>
    <w:p w:rsidP="000020BB" w:rsidR="00A62673" w:rsidRDefault="00A62673" w:rsidRPr="00977154">
      <w:pPr>
        <w:spacing w:line="360" w:lineRule="auto"/>
        <w:jc w:val="center"/>
        <w:rPr>
          <w:rFonts w:ascii="宋体" w:hAnsi="宋体"/>
          <w:b/>
          <w:sz w:val="24"/>
        </w:rPr>
      </w:pPr>
      <w:r w:rsidRPr="00977154">
        <w:rPr>
          <w:rFonts w:ascii="宋体"/>
          <w:b/>
          <w:sz w:val="24"/>
        </w:rPr>
        <w:t/>
      </w:r>
      <w:proofErr w:type="spellStart"/>
      <w:proofErr w:type="gramStart"/>
      <w:r w:rsidRPr="00977154">
        <w:rPr>
          <w:rFonts w:ascii="宋体" w:hAnsi="宋体"/>
          <w:b/>
          <w:sz w:val="24"/>
        </w:rPr>
        <w:t/>
      </w:r>
      <w:proofErr w:type="spellEnd"/>
      <w:proofErr w:type="gramEnd"/>
      <w:r w:rsidRPr="00977154">
        <w:rPr>
          <w:rFonts w:ascii="宋体" w:hAnsi="宋体"/>
          <w:b/>
          <w:sz w:val="24"/>
        </w:rPr>
        <w:t>2020年6月30日</w:t>
      </w: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rPr>
          <w:rFonts w:ascii="宋体"/>
          <w:b/>
          <w:color w:val="000000"/>
          <w:sz w:val="24"/>
        </w:rPr>
      </w:pPr>
    </w:p>
    <w:p w:rsidP="005A2769" w:rsidR="00A62673" w:rsidRDefault="00A62673" w:rsidRPr="00EC5CE0">
      <w:pPr>
        <w:spacing w:line="360" w:lineRule="auto"/>
        <w:ind w:firstLine="2168" w:firstLineChars="900"/>
        <w:rPr>
          <w:rFonts w:ascii="宋体" w:hAnsi="宋体"/>
          <w:b/>
          <w:color w:val="000000"/>
          <w:sz w:val="24"/>
        </w:rPr>
      </w:pPr>
      <w:r w:rsidRPr="00EC5CE0">
        <w:rPr>
          <w:rFonts w:ascii="宋体" w:hAnsi="宋体" w:hint="eastAsia"/>
          <w:b/>
          <w:color w:val="000000"/>
          <w:sz w:val="24"/>
        </w:rPr>
        <w:t>基金管理人：</w:t>
      </w:r>
      <w:r w:rsidRPr="00EC5CE0">
        <w:rPr>
          <w:rFonts w:ascii="宋体"/>
          <w:b/>
          <w:color w:val="000000"/>
          <w:sz w:val="24"/>
        </w:rPr>
        <w:t/>
      </w:r>
      <w:proofErr w:type="spellStart"/>
      <w:proofErr w:type="gramStart"/>
      <w:r w:rsidRPr="00EC5CE0">
        <w:rPr>
          <w:rFonts w:ascii="宋体" w:hAnsi="宋体"/>
          <w:b/>
          <w:color w:val="000000"/>
          <w:sz w:val="24"/>
        </w:rPr>
        <w:t/>
      </w:r>
      <w:proofErr w:type="spellEnd"/>
      <w:proofErr w:type="gramEnd"/>
      <w:r w:rsidRPr="00EC5CE0">
        <w:rPr>
          <w:rFonts w:ascii="宋体" w:hAnsi="宋体"/>
          <w:b/>
          <w:color w:val="000000"/>
          <w:sz w:val="24"/>
        </w:rPr>
        <w:t>易方达基金管理有限公司</w:t>
      </w:r>
    </w:p>
    <w:p w:rsidP="005A2769" w:rsidR="00A62673" w:rsidRDefault="00A62673" w:rsidRPr="00EC5CE0">
      <w:pPr>
        <w:spacing w:line="360" w:lineRule="auto"/>
        <w:ind w:firstLine="2168" w:firstLineChars="900"/>
        <w:rPr>
          <w:rFonts w:ascii="宋体" w:hAnsi="宋体"/>
          <w:b/>
          <w:color w:val="000000"/>
          <w:sz w:val="24"/>
        </w:rPr>
      </w:pPr>
      <w:r w:rsidRPr="00EC5CE0">
        <w:rPr>
          <w:rFonts w:ascii="宋体" w:hAnsi="宋体" w:hint="eastAsia"/>
          <w:b/>
          <w:color w:val="000000"/>
          <w:sz w:val="24"/>
        </w:rPr>
        <w:t>基金托管人：</w:t>
      </w:r>
      <w:r w:rsidRPr="00EC5CE0">
        <w:rPr>
          <w:rFonts w:ascii="宋体"/>
          <w:b/>
          <w:color w:val="000000"/>
          <w:sz w:val="24"/>
        </w:rPr>
        <w:t/>
      </w:r>
      <w:proofErr w:type="spellStart"/>
      <w:proofErr w:type="gramStart"/>
      <w:r w:rsidRPr="00EC5CE0">
        <w:rPr>
          <w:rFonts w:ascii="宋体" w:hAnsi="宋体"/>
          <w:b/>
          <w:color w:val="000000"/>
          <w:sz w:val="24"/>
        </w:rPr>
        <w:t/>
      </w:r>
      <w:proofErr w:type="spellEnd"/>
      <w:proofErr w:type="gramEnd"/>
      <w:r w:rsidRPr="00EC5CE0">
        <w:rPr>
          <w:rFonts w:ascii="宋体" w:hAnsi="宋体"/>
          <w:b/>
          <w:color w:val="000000"/>
          <w:sz w:val="24"/>
        </w:rPr>
        <w:t>交通银行股份有限公司</w:t>
      </w:r>
    </w:p>
    <w:p w:rsidP="005A2769" w:rsidR="00A62673" w:rsidRDefault="00A62673" w:rsidRPr="00EC5CE0">
      <w:pPr>
        <w:spacing w:line="360" w:lineRule="auto"/>
        <w:ind w:firstLine="2168" w:firstLineChars="900"/>
        <w:rPr>
          <w:rFonts w:ascii="宋体" w:hAnsi="宋体"/>
          <w:b/>
          <w:color w:val="000000"/>
          <w:sz w:val="24"/>
        </w:rPr>
        <w:sectPr w:rsidR="00A62673" w:rsidRPr="00EC5CE0" w:rsidSect="00230A66">
          <w:headerReference r:id="rId8" w:type="default"/>
          <w:footerReference r:id="rId9" w:type="default"/>
          <w:pgSz w:h="15840" w:w="11926"/>
          <w:pgMar w:bottom="851" w:footer="992" w:gutter="0" w:header="851" w:left="1418" w:right="1418" w:top="1418"/>
          <w:cols w:space="720"/>
          <w:noEndnote/>
        </w:sectPr>
      </w:pPr>
      <w:r w:rsidRPr="00EC5CE0">
        <w:rPr>
          <w:rFonts w:ascii="宋体" w:hAnsi="宋体" w:hint="eastAsia"/>
          <w:b/>
          <w:color w:val="000000"/>
          <w:sz w:val="24"/>
        </w:rPr>
        <w:t>报告送出日期：</w:t>
      </w:r>
      <w:r w:rsidRPr="00EC5CE0">
        <w:rPr>
          <w:rFonts w:ascii="宋体"/>
          <w:b/>
          <w:color w:val="000000"/>
          <w:sz w:val="24"/>
        </w:rPr>
        <w:t/>
      </w:r>
      <w:proofErr w:type="spellStart"/>
      <w:proofErr w:type="gramStart"/>
      <w:r w:rsidRPr="00EC5CE0">
        <w:rPr>
          <w:rFonts w:ascii="宋体" w:hAnsi="宋体"/>
          <w:b/>
          <w:color w:val="000000"/>
          <w:sz w:val="24"/>
        </w:rPr>
        <w:t/>
      </w:r>
      <w:proofErr w:type="spellEnd"/>
      <w:proofErr w:type="gramEnd"/>
      <w:r w:rsidRPr="00EC5CE0">
        <w:rPr>
          <w:rFonts w:ascii="宋体" w:hAnsi="宋体"/>
          <w:b/>
          <w:color w:val="000000"/>
          <w:sz w:val="24"/>
        </w:rPr>
        <w:t>二〇二〇年七月二十一日</w:t>
      </w:r>
    </w:p>
    <w:p w:rsidP="00F729DC" w:rsidR="00A62673" w:rsidRDefault="00A62673" w:rsidRPr="00EC5CE0">
      <w:pPr>
        <w:pStyle w:val="1"/>
        <w:spacing w:after="312" w:afterLines="100" w:before="312" w:beforeLines="100" w:line="360" w:lineRule="auto"/>
        <w:jc w:val="center"/>
        <w:rPr>
          <w:rFonts w:ascii="宋体" w:cs="Arial"/>
          <w:b w:val="0"/>
          <w:color w:val="000000"/>
          <w:kern w:val="0"/>
          <w:sz w:val="24"/>
          <w:szCs w:val="24"/>
        </w:rPr>
      </w:pPr>
      <w:r w:rsidRPr="00EC5CE0">
        <w:rPr>
          <w:rFonts w:ascii="宋体" w:cs="Arial" w:hAnsi="宋体" w:hint="eastAsia"/>
          <w:color w:val="000000"/>
          <w:kern w:val="0"/>
          <w:sz w:val="24"/>
          <w:szCs w:val="24"/>
        </w:rPr>
        <w:lastRenderedPageBreak/>
        <w:t>§</w:t>
      </w:r>
      <w:r w:rsidRPr="00EC5CE0">
        <w:rPr>
          <w:rFonts w:ascii="宋体" w:cs="Arial" w:hAnsi="宋体"/>
          <w:color w:val="000000"/>
          <w:kern w:val="0"/>
          <w:sz w:val="24"/>
          <w:szCs w:val="24"/>
        </w:rPr>
        <w:t xml:space="preserve">1  </w:t>
      </w:r>
      <w:r w:rsidRPr="00EC5CE0">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基金托管人交通银行股份有限公司根据本基金合同规定，于2020年7月17日复核了本报告中的财务指标、净值表现和投资组合报告等内容，保证复核内容不存在虚假记载、误导性陈述或者重大遗漏。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DC315B" w:rsidR="00A62673" w:rsidRDefault="00A62673" w:rsidRPr="00DC315B">
      <w:pPr>
        <w:spacing w:line="360" w:lineRule="auto"/>
        <w:ind w:firstLine="480" w:firstLineChars="200"/>
        <w:rPr>
          <w:color w:val="000000"/>
          <w:sz w:val="24"/>
        </w:rPr>
      </w:pPr>
      <w:r w:rsidRPr="00DC315B">
        <w:rPr>
          <w:color w:val="000000"/>
          <w:sz w:val="24"/>
        </w:rPr>
        <w:t/>
      </w:r>
      <w:proofErr w:type="spellStart"/>
      <w:proofErr w:type="gramStart"/>
      <w:r w:rsidRPr="00DC315B">
        <w:rPr>
          <w:color w:val="000000"/>
          <w:sz w:val="24"/>
        </w:rPr>
        <w:t/>
      </w:r>
      <w:proofErr w:type="spellEnd"/>
      <w:proofErr w:type="gramEnd"/>
      <w:r w:rsidRPr="00DC315B">
        <w:rPr>
          <w:color w:val="000000"/>
          <w:sz w:val="24"/>
        </w:rPr>
        <w:t>本报告期自2020年4月1日起至6月30日止。</w:t>
      </w:r>
    </w:p>
    <w:p w:rsidP="00F729DC" w:rsidR="00A62673" w:rsidRDefault="00A62673" w:rsidRPr="00EC5CE0">
      <w:pPr>
        <w:pStyle w:val="1"/>
        <w:spacing w:after="312" w:afterLines="100" w:before="312" w:beforeLines="100" w:line="360" w:lineRule="auto"/>
        <w:jc w:val="center"/>
        <w:rPr>
          <w:rFonts w:ascii="宋体" w:cs="Arial"/>
          <w:color w:val="000000"/>
          <w:kern w:val="0"/>
          <w:sz w:val="24"/>
          <w:szCs w:val="24"/>
        </w:rPr>
      </w:pPr>
      <w:r w:rsidRPr="00EC5CE0">
        <w:rPr>
          <w:rFonts w:ascii="宋体" w:cs="Arial" w:hAnsi="宋体" w:hint="eastAsia"/>
          <w:color w:val="000000"/>
          <w:kern w:val="0"/>
          <w:sz w:val="24"/>
          <w:szCs w:val="24"/>
        </w:rPr>
        <w:t>§</w:t>
      </w:r>
      <w:r w:rsidRPr="00EC5CE0">
        <w:rPr>
          <w:rFonts w:ascii="宋体" w:cs="Arial" w:hAnsi="宋体"/>
          <w:color w:val="000000"/>
          <w:kern w:val="0"/>
          <w:sz w:val="24"/>
          <w:szCs w:val="24"/>
        </w:rPr>
        <w:t xml:space="preserve">2  </w:t>
      </w:r>
      <w:r w:rsidRPr="00EC5CE0">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694"/>
        <w:gridCol w:w="2693"/>
      </w:tblGrid>
      <w:tr w:rsidR="00A62673" w:rsidRPr="00EC5CE0" w:rsidTr="005F23CA">
        <w:tc>
          <w:tcPr>
            <w:tcW w:type="dxa" w:w="2835"/>
          </w:tcPr>
          <w:p w:rsidP="00C21C43" w:rsidR="00A62673" w:rsidRDefault="00A62673" w:rsidRPr="00DC315B">
            <w:pPr>
              <w:adjustRightInd w:val="0"/>
              <w:spacing w:before="29" w:line="360" w:lineRule="auto"/>
              <w:ind w:left="17"/>
              <w:jc w:val="left"/>
              <w:rPr>
                <w:kern w:val="0"/>
                <w:sz w:val="24"/>
              </w:rPr>
            </w:pPr>
            <w:r w:rsidRPr="00DC315B">
              <w:rPr>
                <w:kern w:val="0"/>
                <w:sz w:val="24"/>
              </w:rPr>
              <w:t>基金简称</w:t>
            </w:r>
          </w:p>
        </w:tc>
        <w:tc>
          <w:tcPr>
            <w:tcW w:type="dxa" w:w="5387"/>
            <w:gridSpan w:val="2"/>
          </w:tcPr>
          <w:p w:rsidP="00C21C43" w:rsidR="00A62673" w:rsidRDefault="00A62673" w:rsidRPr="00DC315B">
            <w:pPr>
              <w:adjustRightInd w:val="0"/>
              <w:spacing w:before="29" w:line="360" w:lineRule="auto"/>
              <w:ind w:left="17"/>
              <w:jc w:val="left"/>
              <w:rPr>
                <w:color w:val="000000"/>
                <w:kern w:val="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易方达上证50指数</w:t>
            </w:r>
          </w:p>
        </w:tc>
      </w:tr>
      <w:tr w:rsidR="00A62673" w:rsidRPr="00EC5CE0" w:rsidTr="005F23CA">
        <w:tc>
          <w:tcPr>
            <w:tcW w:type="dxa" w:w="2835"/>
          </w:tcPr>
          <w:p w:rsidR="00A62673" w:rsidRDefault="00A62673" w:rsidRPr="00DC315B">
            <w:pPr>
              <w:adjustRightInd w:val="0"/>
              <w:spacing w:before="29" w:line="360" w:lineRule="auto"/>
              <w:ind w:left="17"/>
              <w:jc w:val="left"/>
              <w:rPr>
                <w:kern w:val="0"/>
                <w:sz w:val="24"/>
              </w:rPr>
            </w:pPr>
            <w:r w:rsidRPr="00DC315B">
              <w:rPr>
                <w:kern w:val="0"/>
                <w:sz w:val="24"/>
              </w:rPr>
              <w:t>基金主代码</w:t>
            </w:r>
          </w:p>
        </w:tc>
        <w:tc>
          <w:tcPr>
            <w:tcW w:type="dxa" w:w="5387"/>
            <w:gridSpan w:val="2"/>
          </w:tcPr>
          <w:p w:rsidR="00A62673" w:rsidRDefault="00A62673" w:rsidRPr="00DC315B">
            <w:pPr>
              <w:adjustRightInd w:val="0"/>
              <w:spacing w:before="29" w:line="360" w:lineRule="auto"/>
              <w:ind w:left="17"/>
              <w:jc w:val="left"/>
              <w:rPr>
                <w:color w:val="000000"/>
                <w:kern w:val="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110003</w:t>
            </w:r>
          </w:p>
        </w:tc>
      </w:tr>
      <w:tr w:rsidR="00A62673" w:rsidRPr="00EC5CE0" w:rsidTr="005F23CA">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基金运作方式</w:t>
            </w:r>
          </w:p>
        </w:tc>
        <w:tc>
          <w:tcPr>
            <w:tcW w:type="dxa" w:w="5387"/>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契约型开放式</w:t>
            </w:r>
          </w:p>
        </w:tc>
      </w:tr>
      <w:tr w:rsidR="00A62673" w:rsidRPr="00EC5CE0" w:rsidTr="005F23CA">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基金合同生效日</w:t>
            </w:r>
          </w:p>
        </w:tc>
        <w:tc>
          <w:tcPr>
            <w:tcW w:type="dxa" w:w="5387"/>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2004年3月22日</w:t>
            </w:r>
          </w:p>
        </w:tc>
      </w:tr>
      <w:tr w:rsidR="00A62673" w:rsidRPr="00EC5CE0" w:rsidTr="005F23CA">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报告期末基金份额总额</w:t>
            </w:r>
          </w:p>
        </w:tc>
        <w:tc>
          <w:tcPr>
            <w:tcW w:type="dxa" w:w="5387"/>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10,229,785,751.78</w:t>
            </w:r>
            <w:r w:rsidRPr="00DC315B">
              <w:rPr>
                <w:color w:val="000000"/>
                <w:kern w:val="0"/>
                <w:sz w:val="24"/>
              </w:rPr>
              <w:t>份</w:t>
            </w:r>
          </w:p>
        </w:tc>
      </w:tr>
      <w:tr w:rsidR="00A62673" w:rsidRPr="00EC5CE0" w:rsidTr="005F23CA">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投资目标</w:t>
            </w:r>
          </w:p>
        </w:tc>
        <w:tc>
          <w:tcPr>
            <w:tcW w:type="dxa" w:w="5387"/>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在严格控制与目标指数偏离风险的前提下，力争获得超越指数的投资收益，追求长期资本增值。</w:t>
            </w:r>
          </w:p>
        </w:tc>
      </w:tr>
      <w:tr w:rsidR="00A62673" w:rsidRPr="00EC5CE0" w:rsidTr="005F23CA">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投资策略</w:t>
            </w:r>
          </w:p>
        </w:tc>
        <w:tc>
          <w:tcPr>
            <w:tcW w:type="dxa" w:w="5387"/>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本基金为指数增强型基金，股票投资部分以上证50指数作为标的指数，资产配置上追求充分投资，不根据对市场时机的判断主动调整股票仓位，通过运用深入的基本面研究及先进的数量化投资技术，控制与目标指数的偏离风险，追求超越基准的收益水平。</w:t>
            </w:r>
          </w:p>
        </w:tc>
      </w:tr>
      <w:tr w:rsidR="00A62673" w:rsidRPr="00EC5CE0" w:rsidTr="005F23CA">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业绩比较基准</w:t>
            </w:r>
          </w:p>
        </w:tc>
        <w:tc>
          <w:tcPr>
            <w:tcW w:type="dxa" w:w="5387"/>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上证50指数</w:t>
            </w:r>
          </w:p>
        </w:tc>
      </w:tr>
      <w:tr w:rsidR="00A62673" w:rsidRPr="00EC5CE0" w:rsidTr="005F23CA">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风险收益特征</w:t>
            </w:r>
          </w:p>
        </w:tc>
        <w:tc>
          <w:tcPr>
            <w:tcW w:type="dxa" w:w="5387"/>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本基金为股票基金，其预期风险、收益水平高于混合基金、债券基金及货币市场基金。本基金在控制与目标指数偏离风险的同时，力争获得超越基准的收益。长期来看，本基金具有与目标指数相近的风险水平。</w:t>
            </w:r>
          </w:p>
        </w:tc>
      </w:tr>
      <w:tr w:rsidR="00A62673" w:rsidRPr="00EC5CE0" w:rsidTr="005F23CA">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基金管理人</w:t>
            </w:r>
          </w:p>
        </w:tc>
        <w:tc>
          <w:tcPr>
            <w:tcW w:type="dxa" w:w="5387"/>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易方达基金管理有限公司</w:t>
            </w:r>
          </w:p>
        </w:tc>
      </w:tr>
      <w:tr w:rsidR="00A62673" w:rsidRPr="00EC5CE0" w:rsidTr="005F23CA">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基金托管人</w:t>
            </w:r>
          </w:p>
        </w:tc>
        <w:tc>
          <w:tcPr>
            <w:tcW w:type="dxa" w:w="5387"/>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交通银行股份有限公司</w:t>
            </w:r>
          </w:p>
        </w:tc>
      </w:tr>
      <w:tr w:rsidR="002C4578" w:rsidRPr="00C30CFF" w:rsidTr="005F23CA">
        <w:tc>
          <w:tcPr>
            <w:tcW w:type="dxa" w:w="2835"/>
          </w:tcPr>
          <w:p w:rsidP="004971F0" w:rsidR="002C4578" w:rsidRDefault="002C4578" w:rsidRPr="00C30CFF">
            <w:pPr>
              <w:adjustRightInd w:val="0"/>
              <w:spacing w:before="29" w:line="360" w:lineRule="auto"/>
              <w:ind w:left="17"/>
              <w:jc w:val="left"/>
              <w:rPr>
                <w:kern w:val="0"/>
                <w:sz w:val="24"/>
              </w:rPr>
            </w:pPr>
            <w:r w:rsidRPr="00C30CFF">
              <w:rPr>
                <w:color w:val="000000"/>
                <w:sz w:val="24"/>
              </w:rPr>
              <w:t>下属分级基金的基金简称</w:t>
            </w:r>
          </w:p>
        </w:tc>
        <w:tc>
          <w:tcPr>
            <w:tcW w:type="dxa" w:w="2694"/>
            <w:vAlign w:val="center"/>
          </w:tcPr>
          <w:p w:rsidP="004971F0" w:rsidR="002C4578" w:rsidRDefault="002C4578"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易方达上证50指数A</w:t>
            </w:r>
          </w:p>
        </w:tc>
        <w:tc>
          <w:tcPr>
            <w:tcW w:type="dxa" w:w="2693"/>
            <w:vAlign w:val="center"/>
          </w:tcPr>
          <w:p w:rsidP="004971F0" w:rsidR="002C4578" w:rsidRDefault="002C4578" w:rsidRPr="00C30CFF">
            <w:pPr>
              <w:jc w:val="left"/>
              <w:rPr>
                <w:sz w:val="24"/>
              </w:rPr>
            </w:pPr>
            <w:r w:rsidRPr="00C30CFF">
              <w:rPr>
                <w:color w:val="000000"/>
                <w:kern w:val="0"/>
                <w:sz w:val="24"/>
              </w:rPr>
              <w:t/>
            </w:r>
            <w:r w:rsidRPr="00C30CFF">
              <w:rPr>
                <w:sz w:val="24"/>
              </w:rPr>
              <w:t>易方达上证50指数C</w:t>
            </w:r>
          </w:p>
        </w:tc>
      </w:tr>
      <w:tr w:rsidR="002C4578" w:rsidRPr="00C30CFF" w:rsidTr="005F23CA">
        <w:tc>
          <w:tcPr>
            <w:tcW w:type="dxa" w:w="2835"/>
          </w:tcPr>
          <w:p w:rsidP="004971F0" w:rsidR="002C4578" w:rsidRDefault="002C4578" w:rsidRPr="00C30CFF">
            <w:pPr>
              <w:adjustRightInd w:val="0"/>
              <w:spacing w:before="29" w:line="360" w:lineRule="auto"/>
              <w:ind w:left="17"/>
              <w:jc w:val="left"/>
              <w:rPr>
                <w:color w:val="000000"/>
                <w:sz w:val="24"/>
              </w:rPr>
            </w:pPr>
            <w:r w:rsidRPr="00C30CFF">
              <w:rPr>
                <w:color w:val="000000"/>
                <w:sz w:val="24"/>
              </w:rPr>
              <w:t>下属分级基金的交易代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694"/>
            <w:vAlign w:val="center"/>
          </w:tcPr>
          <w:p w:rsidP="004971F0" w:rsidR="002C4578" w:rsidRDefault="002C4578"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110003</w:t>
            </w:r>
          </w:p>
        </w:tc>
        <w:tc>
          <w:tcPr>
            <w:tcW w:type="dxa" w:w="2693"/>
            <w:vAlign w:val="center"/>
          </w:tcPr>
          <w:p w:rsidP="004971F0" w:rsidR="002C4578" w:rsidRDefault="002C4578"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
            </w:r>
            <w:r w:rsidRPr="00C30CFF">
              <w:rPr>
                <w:color w:val="000000"/>
                <w:sz w:val="24"/>
              </w:rPr>
              <w:lastRenderedPageBreak/>
              <w:t>004746</w:t>
            </w:r>
          </w:p>
        </w:tc>
      </w:tr>
      <w:tr w:rsidR="002C4578" w:rsidRPr="00C30CFF" w:rsidTr="005F23CA">
        <w:tc>
          <w:tcPr>
            <w:tcW w:type="dxa" w:w="2835"/>
          </w:tcPr>
          <w:p w:rsidP="004971F0" w:rsidR="002C4578" w:rsidRDefault="002C4578" w:rsidRPr="00C30CFF">
            <w:pPr>
              <w:adjustRightInd w:val="0"/>
              <w:spacing w:before="29" w:line="360" w:lineRule="auto"/>
              <w:ind w:left="17"/>
              <w:jc w:val="left"/>
              <w:rPr>
                <w:color w:val="000000"/>
                <w:sz w:val="24"/>
              </w:rPr>
            </w:pPr>
            <w:r w:rsidRPr="00C30CFF">
              <w:rPr>
                <w:color w:val="000000"/>
                <w:sz w:val="24"/>
              </w:rPr>
              <w:t>报告期末下属分级基金的份额总额</w:t>
            </w:r>
          </w:p>
        </w:tc>
        <w:tc>
          <w:tcPr>
            <w:tcW w:type="dxa" w:w="2694"/>
            <w:vAlign w:val="center"/>
          </w:tcPr>
          <w:p w:rsidP="004971F0" w:rsidR="002C4578" w:rsidRDefault="002C4578"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9,339,789,687.55</w:t>
            </w:r>
            <w:r w:rsidRPr="00C30CFF">
              <w:rPr>
                <w:color w:val="000000"/>
                <w:kern w:val="0"/>
                <w:sz w:val="24"/>
              </w:rPr>
              <w:t>份</w:t>
            </w:r>
          </w:p>
        </w:tc>
        <w:tc>
          <w:tcPr>
            <w:tcW w:type="dxa" w:w="2693"/>
            <w:vAlign w:val="center"/>
          </w:tcPr>
          <w:p w:rsidP="004971F0" w:rsidR="002C4578" w:rsidRDefault="002C4578" w:rsidRPr="00C30CFF">
            <w:pPr>
              <w:jc w:val="left"/>
              <w:rPr>
                <w:sz w:val="24"/>
              </w:rPr>
            </w:pPr>
            <w:r w:rsidRPr="00C30CFF">
              <w:rPr>
                <w:color w:val="000000"/>
                <w:kern w:val="0"/>
                <w:sz w:val="24"/>
              </w:rPr>
              <w:t/>
            </w:r>
            <w:r w:rsidRPr="00C30CFF">
              <w:rPr>
                <w:sz w:val="24"/>
              </w:rPr>
              <w:t>889,996,064.23</w:t>
            </w:r>
            <w:r w:rsidRPr="00C30CFF">
              <w:rPr>
                <w:color w:val="000000"/>
                <w:kern w:val="0"/>
                <w:sz w:val="24"/>
              </w:rPr>
              <w:t>份</w:t>
            </w:r>
          </w:p>
        </w:tc>
      </w:tr>
    </w:tbl>
    <w:p w:rsidP="00DC315B" w:rsidR="00A62673" w:rsidRDefault="00A62673" w:rsidRPr="00DC315B">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proofErr w:type="gramStart"/>
      <w:r w:rsidRPr="00DC315B">
        <w:rPr>
          <w:color w:val="000000"/>
          <w:sz w:val="24"/>
        </w:rPr>
        <w:t/>
      </w:r>
      <w:proofErr w:type="spellEnd"/>
      <w:proofErr w:type="gramEnd"/>
      <w:r w:rsidRPr="00DC315B">
        <w:rPr>
          <w:color w:val="000000"/>
          <w:sz w:val="24"/>
        </w:rPr>
        <w:t>注：自2017年6月6日起，本基金增设C类份额类别，份额首次确认日为2017年6月7日。</w:t>
      </w:r>
    </w:p>
    <w:p w:rsidP="00F729DC" w:rsidR="00A62673" w:rsidRDefault="00A62673" w:rsidRPr="00EC5CE0">
      <w:pPr>
        <w:pStyle w:val="1"/>
        <w:spacing w:after="312" w:afterLines="100" w:before="312" w:beforeLines="100" w:line="360" w:lineRule="auto"/>
        <w:jc w:val="center"/>
        <w:rPr>
          <w:rFonts w:ascii="宋体" w:cs="Arial"/>
          <w:color w:val="000000"/>
          <w:kern w:val="0"/>
          <w:sz w:val="24"/>
          <w:szCs w:val="24"/>
        </w:rPr>
      </w:pPr>
      <w:r w:rsidRPr="00EC5CE0">
        <w:rPr>
          <w:rFonts w:ascii="宋体" w:cs="Arial" w:hAnsi="宋体" w:hint="eastAsia"/>
          <w:color w:val="000000"/>
          <w:kern w:val="0"/>
          <w:sz w:val="24"/>
          <w:szCs w:val="24"/>
        </w:rPr>
        <w:t>§</w:t>
      </w:r>
      <w:r w:rsidRPr="00EC5CE0">
        <w:rPr>
          <w:rFonts w:ascii="宋体" w:cs="Arial" w:hAnsi="宋体"/>
          <w:color w:val="000000"/>
          <w:kern w:val="0"/>
          <w:sz w:val="24"/>
          <w:szCs w:val="24"/>
        </w:rPr>
        <w:t xml:space="preserve">3  </w:t>
      </w:r>
      <w:r w:rsidRPr="00EC5CE0">
        <w:rPr>
          <w:rFonts w:ascii="宋体" w:cs="Arial" w:hAnsi="宋体" w:hint="eastAsia"/>
          <w:color w:val="000000"/>
          <w:kern w:val="0"/>
          <w:sz w:val="24"/>
          <w:szCs w:val="24"/>
        </w:rPr>
        <w:t>主要财务指标和基金净值表现</w:t>
      </w:r>
    </w:p>
    <w:p w:rsidP="005A2DCB"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 xml:space="preserve">3.1 </w:t>
      </w:r>
      <w:r w:rsidRPr="00EC5CE0">
        <w:rPr>
          <w:rFonts w:ascii="宋体" w:cs="Arial" w:hAnsi="宋体" w:hint="eastAsia"/>
          <w:b/>
          <w:color w:val="000000"/>
          <w:kern w:val="0"/>
          <w:sz w:val="24"/>
        </w:rPr>
        <w:t>主要财务指标</w:t>
      </w:r>
    </w:p>
    <w:p w:rsidP="005F23CA" w:rsidR="005F23CA" w:rsidRDefault="005F23CA"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5F23CA" w:rsidRPr="00FA472B" w:rsidTr="004971F0">
        <w:tc>
          <w:tcPr>
            <w:tcW w:type="dxa" w:w="3402"/>
            <w:vMerge w:val="restart"/>
            <w:vAlign w:val="center"/>
          </w:tcPr>
          <w:p w:rsidP="004971F0" w:rsidR="005F23CA" w:rsidRDefault="005F23CA"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4971F0" w:rsidR="005F23CA" w:rsidRDefault="005F23CA" w:rsidRPr="00FA472B">
            <w:pPr>
              <w:adjustRightInd w:val="0"/>
              <w:spacing w:before="29" w:line="360" w:lineRule="auto"/>
              <w:ind w:left="17"/>
              <w:jc w:val="center"/>
              <w:rPr>
                <w:color w:val="000000"/>
                <w:sz w:val="24"/>
              </w:rPr>
            </w:pPr>
            <w:r w:rsidRPr="00FA472B">
              <w:rPr>
                <w:color w:val="000000"/>
                <w:sz w:val="24"/>
              </w:rPr>
              <w:t>报告期</w:t>
            </w:r>
          </w:p>
          <w:p w:rsidP="004971F0" w:rsidR="005F23CA" w:rsidRDefault="005F23CA"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5F23CA" w:rsidRPr="00FA472B" w:rsidTr="004971F0">
        <w:tc>
          <w:tcPr>
            <w:tcW w:type="dxa" w:w="3402"/>
            <w:vMerge/>
            <w:vAlign w:val="center"/>
          </w:tcPr>
          <w:p w:rsidP="004971F0" w:rsidR="005F23CA" w:rsidRDefault="005F23CA" w:rsidRPr="00FA472B">
            <w:pPr>
              <w:adjustRightInd w:val="0"/>
              <w:spacing w:before="29" w:line="360" w:lineRule="auto"/>
              <w:ind w:left="17"/>
              <w:jc w:val="center"/>
              <w:rPr>
                <w:kern w:val="0"/>
                <w:sz w:val="24"/>
              </w:rPr>
            </w:pPr>
          </w:p>
        </w:tc>
        <w:tc>
          <w:tcPr>
            <w:tcW w:type="dxa" w:w="2481"/>
            <w:vAlign w:val="center"/>
          </w:tcPr>
          <w:p w:rsidP="004971F0" w:rsidR="005F23CA" w:rsidRDefault="005F23CA"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易方达上证50指数A</w:t>
            </w:r>
          </w:p>
        </w:tc>
        <w:tc>
          <w:tcPr>
            <w:tcW w:type="dxa" w:w="2481"/>
            <w:vAlign w:val="center"/>
          </w:tcPr>
          <w:p w:rsidP="004971F0" w:rsidR="005F23CA" w:rsidRDefault="005F23CA"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易方达上证50指数C</w:t>
            </w:r>
          </w:p>
        </w:tc>
      </w:tr>
      <w:tr w:rsidR="005F23CA" w:rsidRPr="00FA472B" w:rsidTr="004971F0">
        <w:tc>
          <w:tcPr>
            <w:tcW w:type="dxa" w:w="3402"/>
          </w:tcPr>
          <w:p w:rsidP="004971F0" w:rsidR="005F23CA" w:rsidRDefault="005F23CA"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4971F0" w:rsidR="005F23CA" w:rsidRDefault="005F23CA" w:rsidRPr="00FA472B">
            <w:pPr>
              <w:adjustRightInd w:val="0"/>
              <w:spacing w:before="29" w:line="360" w:lineRule="auto"/>
              <w:ind w:left="17"/>
              <w:jc w:val="right"/>
              <w:rPr>
                <w:color w:val="000000"/>
                <w:sz w:val="24"/>
              </w:rPr>
            </w:pPr>
            <w:r w:rsidRPr="00FA472B">
              <w:rPr>
                <w:color w:val="000000"/>
                <w:sz w:val="24"/>
              </w:rPr>
              <w:t>492,006,045.25</w:t>
            </w:r>
          </w:p>
        </w:tc>
        <w:tc>
          <w:tcPr>
            <w:tcW w:type="dxa" w:w="2481"/>
            <w:vAlign w:val="bottom"/>
          </w:tcPr>
          <w:p w:rsidP="004971F0" w:rsidR="005F23CA" w:rsidRDefault="005F23CA" w:rsidRPr="00FA472B">
            <w:pPr>
              <w:adjustRightInd w:val="0"/>
              <w:spacing w:before="29" w:line="360" w:lineRule="auto"/>
              <w:ind w:left="17"/>
              <w:jc w:val="right"/>
              <w:rPr>
                <w:color w:val="000000"/>
                <w:sz w:val="24"/>
              </w:rPr>
            </w:pPr>
            <w:r w:rsidRPr="00FA472B">
              <w:rPr>
                <w:color w:val="000000"/>
                <w:sz w:val="24"/>
              </w:rPr>
              <w:t>47,045,058.21</w:t>
            </w:r>
          </w:p>
        </w:tc>
      </w:tr>
      <w:tr w:rsidR="005F23CA" w:rsidRPr="00FA472B" w:rsidTr="004971F0">
        <w:tc>
          <w:tcPr>
            <w:tcW w:type="dxa" w:w="3402"/>
          </w:tcPr>
          <w:p w:rsidP="004971F0" w:rsidR="005F23CA" w:rsidRDefault="005F23CA"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971F0" w:rsidR="005F23CA" w:rsidRDefault="005F23CA"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2,497,823,486.42</w:t>
            </w:r>
          </w:p>
        </w:tc>
        <w:tc>
          <w:tcPr>
            <w:tcW w:type="dxa" w:w="2481"/>
            <w:vAlign w:val="bottom"/>
          </w:tcPr>
          <w:p w:rsidP="004971F0" w:rsidR="005F23CA" w:rsidRDefault="005F23CA" w:rsidRPr="00FA472B">
            <w:pPr>
              <w:adjustRightInd w:val="0"/>
              <w:spacing w:before="29" w:line="360" w:lineRule="auto"/>
              <w:ind w:left="17"/>
              <w:jc w:val="right"/>
              <w:rPr>
                <w:color w:val="000000"/>
                <w:sz w:val="24"/>
              </w:rPr>
            </w:pPr>
            <w:r w:rsidRPr="00FA472B">
              <w:rPr>
                <w:color w:val="000000"/>
                <w:sz w:val="24"/>
              </w:rPr>
              <w:t>257,776,327.83</w:t>
            </w:r>
          </w:p>
        </w:tc>
      </w:tr>
      <w:tr w:rsidR="005F23CA" w:rsidRPr="00FA472B" w:rsidTr="004971F0">
        <w:tc>
          <w:tcPr>
            <w:tcW w:type="dxa" w:w="3402"/>
          </w:tcPr>
          <w:p w:rsidP="004971F0" w:rsidR="005F23CA" w:rsidRDefault="005F23CA"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971F0" w:rsidR="005F23CA" w:rsidRDefault="005F23CA"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0.2549</w:t>
            </w:r>
          </w:p>
        </w:tc>
        <w:tc>
          <w:tcPr>
            <w:tcW w:type="dxa" w:w="2481"/>
            <w:vAlign w:val="bottom"/>
          </w:tcPr>
          <w:p w:rsidP="004971F0" w:rsidR="005F23CA" w:rsidRDefault="005F23CA" w:rsidRPr="00FA472B">
            <w:pPr>
              <w:adjustRightInd w:val="0"/>
              <w:spacing w:before="29" w:line="360" w:lineRule="auto"/>
              <w:ind w:left="17"/>
              <w:jc w:val="right"/>
              <w:rPr>
                <w:color w:val="000000"/>
                <w:sz w:val="24"/>
              </w:rPr>
            </w:pPr>
            <w:r w:rsidRPr="00FA472B">
              <w:rPr>
                <w:color w:val="000000"/>
                <w:sz w:val="24"/>
              </w:rPr>
              <w:t>0.2480</w:t>
            </w:r>
          </w:p>
        </w:tc>
      </w:tr>
      <w:tr w:rsidR="005F23CA" w:rsidRPr="00FA472B" w:rsidTr="004971F0">
        <w:tc>
          <w:tcPr>
            <w:tcW w:type="dxa" w:w="3402"/>
          </w:tcPr>
          <w:p w:rsidP="004971F0" w:rsidR="005F23CA" w:rsidRDefault="005F23CA"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971F0" w:rsidR="005F23CA" w:rsidRDefault="005F23CA"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17,975,989,320.78</w:t>
            </w:r>
          </w:p>
        </w:tc>
        <w:tc>
          <w:tcPr>
            <w:tcW w:type="dxa" w:w="2481"/>
          </w:tcPr>
          <w:p w:rsidP="004971F0" w:rsidR="005F23CA" w:rsidRDefault="005F23CA" w:rsidRPr="00FA472B">
            <w:pPr>
              <w:adjustRightInd w:val="0"/>
              <w:spacing w:before="29" w:line="360" w:lineRule="auto"/>
              <w:ind w:left="17"/>
              <w:jc w:val="right"/>
              <w:rPr>
                <w:color w:val="000000"/>
                <w:sz w:val="24"/>
              </w:rPr>
            </w:pPr>
            <w:r w:rsidRPr="00FA472B">
              <w:rPr>
                <w:color w:val="000000"/>
                <w:sz w:val="24"/>
              </w:rPr>
              <w:t>1,699,596,317.26</w:t>
            </w:r>
          </w:p>
        </w:tc>
      </w:tr>
      <w:tr w:rsidR="005F23CA" w:rsidRPr="00FA472B" w:rsidTr="004971F0">
        <w:trPr>
          <w:trHeight w:val="158"/>
        </w:trPr>
        <w:tc>
          <w:tcPr>
            <w:tcW w:type="dxa" w:w="3402"/>
          </w:tcPr>
          <w:p w:rsidP="004971F0" w:rsidR="005F23CA" w:rsidRDefault="005F23CA"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971F0" w:rsidR="005F23CA" w:rsidRDefault="005F23CA"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1.9247</w:t>
            </w:r>
          </w:p>
        </w:tc>
        <w:tc>
          <w:tcPr>
            <w:tcW w:type="dxa" w:w="2481"/>
          </w:tcPr>
          <w:p w:rsidP="004971F0" w:rsidR="005F23CA" w:rsidRDefault="005F23CA" w:rsidRPr="00FA472B">
            <w:pPr>
              <w:adjustRightInd w:val="0"/>
              <w:spacing w:before="29" w:line="360" w:lineRule="auto"/>
              <w:ind w:left="17"/>
              <w:jc w:val="right"/>
              <w:rPr>
                <w:color w:val="000000"/>
                <w:sz w:val="24"/>
              </w:rPr>
            </w:pPr>
            <w:r w:rsidRPr="00FA472B">
              <w:rPr>
                <w:color w:val="000000"/>
                <w:sz w:val="24"/>
              </w:rPr>
              <w:t>1.9097</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1648E" w:rsidR="00A62673" w:rsidRDefault="005F23CA" w:rsidRPr="00C1648E">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5A2DCB"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 xml:space="preserve">3.2 </w:t>
      </w:r>
      <w:r w:rsidRPr="00EC5CE0">
        <w:rPr>
          <w:rFonts w:ascii="宋体" w:cs="Arial" w:hAnsi="宋体" w:hint="eastAsia"/>
          <w:b/>
          <w:color w:val="000000"/>
          <w:kern w:val="0"/>
          <w:sz w:val="24"/>
        </w:rPr>
        <w:t>基金净值表现</w:t>
      </w:r>
    </w:p>
    <w:p w:rsidP="009B2EE9" w:rsidR="009B2EE9" w:rsidRDefault="009B2EE9"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9B2EE9" w:rsidR="009B2EE9" w:rsidRDefault="009B2EE9"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易方达上证50指数A</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9B2EE9" w:rsidRPr="0078105B" w:rsidTr="00AE7FCD">
        <w:trPr>
          <w:jc w:val="center"/>
        </w:trPr>
        <w:tc>
          <w:tcPr>
            <w:tcW w:type="dxa" w:w="1290"/>
            <w:vAlign w:val="center"/>
          </w:tcPr>
          <w:p w:rsidP="004971F0" w:rsidR="009B2EE9" w:rsidRDefault="009B2EE9"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4971F0" w:rsidR="009B2EE9" w:rsidRDefault="009B2EE9"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4971F0" w:rsidR="009B2EE9" w:rsidRDefault="009B2EE9"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4971F0" w:rsidR="009B2EE9" w:rsidRDefault="009B2EE9"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4971F0" w:rsidR="009B2EE9" w:rsidRDefault="009B2EE9"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4971F0" w:rsidR="009B2EE9" w:rsidRDefault="009B2EE9"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4971F0" w:rsidR="009B2EE9" w:rsidRDefault="009B2EE9"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15.37%</w:t>
            </w:r>
          </w:p>
        </w:tc>
        <w:tc>
          <w:tcPr>
            <w:vAlign w:val="center"/>
          </w:tcPr>
          <w:p>
            <w:pPr>
              <w:jc w:val="center"/>
            </w:pPr>
            <w:r>
              <w:rPr>
                <w:color w:val="000000"/>
                <w:sz w:val="24"/>
              </w:rPr>
              <w:t>0.87%</w:t>
            </w:r>
          </w:p>
        </w:tc>
        <w:tc>
          <w:tcPr>
            <w:vAlign w:val="center"/>
          </w:tcPr>
          <w:p>
            <w:pPr>
              <w:jc w:val="center"/>
            </w:pPr>
            <w:r>
              <w:rPr>
                <w:color w:val="000000"/>
                <w:sz w:val="24"/>
              </w:rPr>
              <w:t>9.40%</w:t>
            </w:r>
          </w:p>
        </w:tc>
        <w:tc>
          <w:tcPr>
            <w:vAlign w:val="center"/>
          </w:tcPr>
          <w:p>
            <w:pPr>
              <w:jc w:val="center"/>
            </w:pPr>
            <w:r>
              <w:rPr>
                <w:color w:val="000000"/>
                <w:sz w:val="24"/>
              </w:rPr>
              <w:t>0.85%</w:t>
            </w:r>
          </w:p>
        </w:tc>
        <w:tc>
          <w:tcPr>
            <w:vAlign w:val="center"/>
          </w:tcPr>
          <w:p>
            <w:pPr>
              <w:jc w:val="center"/>
            </w:pPr>
            <w:r>
              <w:rPr>
                <w:color w:val="000000"/>
                <w:sz w:val="24"/>
              </w:rPr>
              <w:t>5.97%</w:t>
            </w:r>
          </w:p>
        </w:tc>
        <w:tc>
          <w:tcPr>
            <w:vAlign w:val="center"/>
          </w:tcPr>
          <w:p>
            <w:pPr>
              <w:jc w:val="center"/>
            </w:pPr>
            <w:r>
              <w:rPr>
                <w:color w:val="000000"/>
                <w:sz w:val="24"/>
              </w:rPr>
              <w:t>0.02%</w:t>
            </w:r>
          </w:p>
        </w:tc>
      </w:tr>
      <w:tr>
        <w:tc>
          <w:tcPr>
            <w:vAlign w:val="center"/>
          </w:tcPr>
          <w:p>
            <w:pPr>
              <w:jc w:val="left"/>
            </w:pPr>
            <w:r>
              <w:rPr>
                <w:color w:val="000000"/>
                <w:sz w:val="24"/>
              </w:rPr>
              <w:t>过去六个月</w:t>
            </w:r>
          </w:p>
        </w:tc>
        <w:tc>
          <w:tcPr>
            <w:vAlign w:val="center"/>
          </w:tcPr>
          <w:p>
            <w:pPr>
              <w:jc w:val="center"/>
            </w:pPr>
            <w:r>
              <w:rPr>
                <w:color w:val="000000"/>
                <w:sz w:val="24"/>
              </w:rPr>
              <w:t>6.45%</w:t>
            </w:r>
          </w:p>
        </w:tc>
        <w:tc>
          <w:tcPr>
            <w:vAlign w:val="center"/>
          </w:tcPr>
          <w:p>
            <w:pPr>
              <w:jc w:val="center"/>
            </w:pPr>
            <w:r>
              <w:rPr>
                <w:color w:val="000000"/>
                <w:sz w:val="24"/>
              </w:rPr>
              <w:t>1.38%</w:t>
            </w:r>
          </w:p>
        </w:tc>
        <w:tc>
          <w:tcPr>
            <w:vAlign w:val="center"/>
          </w:tcPr>
          <w:p>
            <w:pPr>
              <w:jc w:val="center"/>
            </w:pPr>
            <w:r>
              <w:rPr>
                <w:color w:val="000000"/>
                <w:sz w:val="24"/>
              </w:rPr>
              <w:t>-3.95%</w:t>
            </w:r>
          </w:p>
        </w:tc>
        <w:tc>
          <w:tcPr>
            <w:vAlign w:val="center"/>
          </w:tcPr>
          <w:p>
            <w:pPr>
              <w:jc w:val="center"/>
            </w:pPr>
            <w:r>
              <w:rPr>
                <w:color w:val="000000"/>
                <w:sz w:val="24"/>
              </w:rPr>
              <w:t>1.41%</w:t>
            </w:r>
          </w:p>
        </w:tc>
        <w:tc>
          <w:tcPr>
            <w:vAlign w:val="center"/>
          </w:tcPr>
          <w:p>
            <w:pPr>
              <w:jc w:val="center"/>
            </w:pPr>
            <w:r>
              <w:rPr>
                <w:color w:val="000000"/>
                <w:sz w:val="24"/>
              </w:rPr>
              <w:t>10.40%</w:t>
            </w:r>
          </w:p>
        </w:tc>
        <w:tc>
          <w:tcPr>
            <w:vAlign w:val="center"/>
          </w:tcPr>
          <w:p>
            <w:pPr>
              <w:jc w:val="center"/>
            </w:pPr>
            <w:r>
              <w:rPr>
                <w:color w:val="000000"/>
                <w:sz w:val="24"/>
              </w:rPr>
              <w:t>-0.03%</w:t>
            </w:r>
          </w:p>
        </w:tc>
      </w:tr>
      <w:tr>
        <w:tc>
          <w:tcPr>
            <w:vAlign w:val="center"/>
          </w:tcPr>
          <w:p>
            <w:pPr>
              <w:jc w:val="left"/>
            </w:pPr>
            <w:r>
              <w:rPr>
                <w:color w:val="000000"/>
                <w:sz w:val="24"/>
              </w:rPr>
              <w:t>过去一年</w:t>
            </w:r>
          </w:p>
        </w:tc>
        <w:tc>
          <w:tcPr>
            <w:vAlign w:val="center"/>
          </w:tcPr>
          <w:p>
            <w:pPr>
              <w:jc w:val="center"/>
            </w:pPr>
            <w:r>
              <w:rPr>
                <w:color w:val="000000"/>
                <w:sz w:val="24"/>
              </w:rPr>
              <w:t>14.48%</w:t>
            </w:r>
          </w:p>
        </w:tc>
        <w:tc>
          <w:tcPr>
            <w:vAlign w:val="center"/>
          </w:tcPr>
          <w:p>
            <w:pPr>
              <w:jc w:val="center"/>
            </w:pPr>
            <w:r>
              <w:rPr>
                <w:color w:val="000000"/>
                <w:sz w:val="24"/>
              </w:rPr>
              <w:t>1.13%</w:t>
            </w:r>
          </w:p>
        </w:tc>
        <w:tc>
          <w:tcPr>
            <w:vAlign w:val="center"/>
          </w:tcPr>
          <w:p>
            <w:pPr>
              <w:jc w:val="center"/>
            </w:pPr>
            <w:r>
              <w:rPr>
                <w:color w:val="000000"/>
                <w:sz w:val="24"/>
              </w:rPr>
              <w:t>0.39%</w:t>
            </w:r>
          </w:p>
        </w:tc>
        <w:tc>
          <w:tcPr>
            <w:vAlign w:val="center"/>
          </w:tcPr>
          <w:p>
            <w:pPr>
              <w:jc w:val="center"/>
            </w:pPr>
            <w:r>
              <w:rPr>
                <w:color w:val="000000"/>
                <w:sz w:val="24"/>
              </w:rPr>
              <w:t>1.15%</w:t>
            </w:r>
          </w:p>
        </w:tc>
        <w:tc>
          <w:tcPr>
            <w:vAlign w:val="center"/>
          </w:tcPr>
          <w:p>
            <w:pPr>
              <w:jc w:val="center"/>
            </w:pPr>
            <w:r>
              <w:rPr>
                <w:color w:val="000000"/>
                <w:sz w:val="24"/>
              </w:rPr>
              <w:t>14.09%</w:t>
            </w:r>
          </w:p>
        </w:tc>
        <w:tc>
          <w:tcPr>
            <w:vAlign w:val="center"/>
          </w:tcPr>
          <w:p>
            <w:pPr>
              <w:jc w:val="center"/>
            </w:pPr>
            <w:r>
              <w:rPr>
                <w:color w:val="000000"/>
                <w:sz w:val="24"/>
              </w:rPr>
              <w:t>-0.02%</w:t>
            </w:r>
          </w:p>
        </w:tc>
      </w:tr>
      <w:tr>
        <w:tc>
          <w:tcPr>
            <w:vAlign w:val="center"/>
          </w:tcPr>
          <w:p>
            <w:pPr>
              <w:jc w:val="left"/>
            </w:pPr>
            <w:r>
              <w:rPr>
                <w:color w:val="000000"/>
                <w:sz w:val="24"/>
              </w:rPr>
              <w:t>过去三年</w:t>
            </w:r>
          </w:p>
        </w:tc>
        <w:tc>
          <w:tcPr>
            <w:vAlign w:val="center"/>
          </w:tcPr>
          <w:p>
            <w:pPr>
              <w:jc w:val="center"/>
            </w:pPr>
            <w:r>
              <w:rPr>
                <w:color w:val="000000"/>
                <w:sz w:val="24"/>
              </w:rPr>
              <w:t>62.71%</w:t>
            </w:r>
          </w:p>
        </w:tc>
        <w:tc>
          <w:tcPr>
            <w:vAlign w:val="center"/>
          </w:tcPr>
          <w:p>
            <w:pPr>
              <w:jc w:val="center"/>
            </w:pPr>
            <w:r>
              <w:rPr>
                <w:color w:val="000000"/>
                <w:sz w:val="24"/>
              </w:rPr>
              <w:t>1.28%</w:t>
            </w:r>
          </w:p>
        </w:tc>
        <w:tc>
          <w:tcPr>
            <w:vAlign w:val="center"/>
          </w:tcPr>
          <w:p>
            <w:pPr>
              <w:jc w:val="center"/>
            </w:pPr>
            <w:r>
              <w:rPr>
                <w:color w:val="000000"/>
                <w:sz w:val="24"/>
              </w:rPr>
              <w:t>15.38%</w:t>
            </w:r>
          </w:p>
        </w:tc>
        <w:tc>
          <w:tcPr>
            <w:vAlign w:val="center"/>
          </w:tcPr>
          <w:p>
            <w:pPr>
              <w:jc w:val="center"/>
            </w:pPr>
            <w:r>
              <w:rPr>
                <w:color w:val="000000"/>
                <w:sz w:val="24"/>
              </w:rPr>
              <w:t>1.24%</w:t>
            </w:r>
          </w:p>
        </w:tc>
        <w:tc>
          <w:tcPr>
            <w:vAlign w:val="center"/>
          </w:tcPr>
          <w:p>
            <w:pPr>
              <w:jc w:val="center"/>
            </w:pPr>
            <w:r>
              <w:rPr>
                <w:color w:val="000000"/>
                <w:sz w:val="24"/>
              </w:rPr>
              <w:t>47.33%</w:t>
            </w:r>
          </w:p>
        </w:tc>
        <w:tc>
          <w:tcPr>
            <w:vAlign w:val="center"/>
          </w:tcPr>
          <w:p>
            <w:pPr>
              <w:jc w:val="center"/>
            </w:pPr>
            <w:r>
              <w:rPr>
                <w:color w:val="000000"/>
                <w:sz w:val="24"/>
              </w:rPr>
              <w:t>0.04%</w:t>
            </w:r>
          </w:p>
        </w:tc>
      </w:tr>
      <w:tr>
        <w:tc>
          <w:tcPr>
            <w:vAlign w:val="center"/>
          </w:tcPr>
          <w:p>
            <w:pPr>
              <w:jc w:val="left"/>
            </w:pPr>
            <w:r>
              <w:rPr>
                <w:color w:val="000000"/>
                <w:sz w:val="24"/>
              </w:rPr>
              <w:t>过去五年</w:t>
            </w:r>
          </w:p>
        </w:tc>
        <w:tc>
          <w:tcPr>
            <w:vAlign w:val="center"/>
          </w:tcPr>
          <w:p>
            <w:pPr>
              <w:jc w:val="center"/>
            </w:pPr>
            <w:r>
              <w:rPr>
                <w:color w:val="000000"/>
                <w:sz w:val="24"/>
              </w:rPr>
              <w:t>69.15%</w:t>
            </w:r>
          </w:p>
        </w:tc>
        <w:tc>
          <w:tcPr>
            <w:vAlign w:val="center"/>
          </w:tcPr>
          <w:p>
            <w:pPr>
              <w:jc w:val="center"/>
            </w:pPr>
            <w:r>
              <w:rPr>
                <w:color w:val="000000"/>
                <w:sz w:val="24"/>
              </w:rPr>
              <w:t>1.36%</w:t>
            </w:r>
          </w:p>
        </w:tc>
        <w:tc>
          <w:tcPr>
            <w:vAlign w:val="center"/>
          </w:tcPr>
          <w:p>
            <w:pPr>
              <w:jc w:val="center"/>
            </w:pPr>
            <w:r>
              <w:rPr>
                <w:color w:val="000000"/>
                <w:sz w:val="24"/>
              </w:rPr>
              <w:t>2.51%</w:t>
            </w:r>
          </w:p>
        </w:tc>
        <w:tc>
          <w:tcPr>
            <w:vAlign w:val="center"/>
          </w:tcPr>
          <w:p>
            <w:pPr>
              <w:jc w:val="center"/>
            </w:pPr>
            <w:r>
              <w:rPr>
                <w:color w:val="000000"/>
                <w:sz w:val="24"/>
              </w:rPr>
              <w:t>1.41%</w:t>
            </w:r>
          </w:p>
        </w:tc>
        <w:tc>
          <w:tcPr>
            <w:vAlign w:val="center"/>
          </w:tcPr>
          <w:p>
            <w:pPr>
              <w:jc w:val="center"/>
            </w:pPr>
            <w:r>
              <w:rPr>
                <w:color w:val="000000"/>
                <w:sz w:val="24"/>
              </w:rPr>
              <w:t>66.64%</w:t>
            </w:r>
          </w:p>
        </w:tc>
        <w:tc>
          <w:tcPr>
            <w:vAlign w:val="center"/>
          </w:tcPr>
          <w:p>
            <w:pPr>
              <w:jc w:val="center"/>
            </w:pPr>
            <w:r>
              <w:rPr>
                <w:color w:val="000000"/>
                <w:sz w:val="24"/>
              </w:rPr>
              <w:t>-0.05%</w:t>
            </w:r>
          </w:p>
        </w:tc>
      </w:tr>
      <w:tr>
        <w:tc>
          <w:tcPr>
            <w:vAlign w:val="center"/>
          </w:tcPr>
          <w:p>
            <w:pPr>
              <w:jc w:val="left"/>
            </w:pPr>
            <w:r>
              <w:rPr>
                <w:color w:val="000000"/>
                <w:sz w:val="24"/>
              </w:rPr>
              <w:t>自基金合同生效起至今</w:t>
            </w:r>
          </w:p>
        </w:tc>
        <w:tc>
          <w:tcPr>
            <w:vAlign w:val="center"/>
          </w:tcPr>
          <w:p>
            <w:pPr>
              <w:jc w:val="center"/>
            </w:pPr>
            <w:r>
              <w:rPr>
                <w:color w:val="000000"/>
                <w:sz w:val="24"/>
              </w:rPr>
              <w:t>497.98%</w:t>
            </w:r>
          </w:p>
        </w:tc>
        <w:tc>
          <w:tcPr>
            <w:vAlign w:val="center"/>
          </w:tcPr>
          <w:p>
            <w:pPr>
              <w:jc w:val="center"/>
            </w:pPr>
            <w:r>
              <w:rPr>
                <w:color w:val="000000"/>
                <w:sz w:val="24"/>
              </w:rPr>
              <w:t>1.59%</w:t>
            </w:r>
          </w:p>
        </w:tc>
        <w:tc>
          <w:tcPr>
            <w:vAlign w:val="center"/>
          </w:tcPr>
          <w:p>
            <w:pPr>
              <w:jc w:val="center"/>
            </w:pPr>
            <w:r>
              <w:rPr>
                <w:color w:val="000000"/>
                <w:sz w:val="24"/>
              </w:rPr>
              <w:t>174.52%</w:t>
            </w:r>
          </w:p>
        </w:tc>
        <w:tc>
          <w:tcPr>
            <w:vAlign w:val="center"/>
          </w:tcPr>
          <w:p>
            <w:pPr>
              <w:jc w:val="center"/>
            </w:pPr>
            <w:r>
              <w:rPr>
                <w:color w:val="000000"/>
                <w:sz w:val="24"/>
              </w:rPr>
              <w:t>1.69%</w:t>
            </w:r>
          </w:p>
        </w:tc>
        <w:tc>
          <w:tcPr>
            <w:vAlign w:val="center"/>
          </w:tcPr>
          <w:p>
            <w:pPr>
              <w:jc w:val="center"/>
            </w:pPr>
            <w:r>
              <w:rPr>
                <w:color w:val="000000"/>
                <w:sz w:val="24"/>
              </w:rPr>
              <w:t>323.46%</w:t>
            </w:r>
          </w:p>
        </w:tc>
        <w:tc>
          <w:tcPr>
            <w:vAlign w:val="center"/>
          </w:tcPr>
          <w:p>
            <w:pPr>
              <w:jc w:val="center"/>
            </w:pPr>
            <w:r>
              <w:rPr>
                <w:color w:val="000000"/>
                <w:sz w:val="24"/>
              </w:rPr>
              <w:t>-0.10%</w:t>
            </w:r>
          </w:p>
        </w:tc>
      </w:tr>
    </w:tbl>
    <w:p w:rsidP="009B2EE9" w:rsidR="009B2EE9" w:rsidRDefault="009B2EE9"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易方达上证50指数C</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9B2EE9" w:rsidRPr="0078105B" w:rsidTr="00AE7FCD">
        <w:trPr>
          <w:jc w:val="center"/>
        </w:trPr>
        <w:tc>
          <w:tcPr>
            <w:tcW w:type="dxa" w:w="1290"/>
            <w:vAlign w:val="center"/>
          </w:tcPr>
          <w:p w:rsidP="004971F0" w:rsidR="009B2EE9" w:rsidRDefault="009B2EE9"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4971F0" w:rsidR="009B2EE9" w:rsidRDefault="009B2EE9"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4971F0" w:rsidR="009B2EE9" w:rsidRDefault="009B2EE9"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4971F0" w:rsidR="009B2EE9" w:rsidRDefault="009B2EE9"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4971F0" w:rsidR="009B2EE9" w:rsidRDefault="009B2EE9"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4971F0" w:rsidR="009B2EE9" w:rsidRDefault="009B2EE9"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4971F0" w:rsidR="009B2EE9" w:rsidRDefault="009B2EE9"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15.30%</w:t>
            </w:r>
          </w:p>
        </w:tc>
        <w:tc>
          <w:tcPr>
            <w:vAlign w:val="center"/>
          </w:tcPr>
          <w:p>
            <w:pPr>
              <w:jc w:val="center"/>
            </w:pPr>
            <w:r>
              <w:rPr>
                <w:color w:val="000000"/>
                <w:sz w:val="24"/>
              </w:rPr>
              <w:t>0.87%</w:t>
            </w:r>
          </w:p>
        </w:tc>
        <w:tc>
          <w:tcPr>
            <w:vAlign w:val="center"/>
          </w:tcPr>
          <w:p>
            <w:pPr>
              <w:jc w:val="center"/>
            </w:pPr>
            <w:r>
              <w:rPr>
                <w:color w:val="000000"/>
                <w:sz w:val="24"/>
              </w:rPr>
              <w:t>9.40%</w:t>
            </w:r>
          </w:p>
        </w:tc>
        <w:tc>
          <w:tcPr>
            <w:vAlign w:val="center"/>
          </w:tcPr>
          <w:p>
            <w:pPr>
              <w:jc w:val="center"/>
            </w:pPr>
            <w:r>
              <w:rPr>
                <w:color w:val="000000"/>
                <w:sz w:val="24"/>
              </w:rPr>
              <w:t>0.85%</w:t>
            </w:r>
          </w:p>
        </w:tc>
        <w:tc>
          <w:tcPr>
            <w:vAlign w:val="center"/>
          </w:tcPr>
          <w:p>
            <w:pPr>
              <w:jc w:val="center"/>
            </w:pPr>
            <w:r>
              <w:rPr>
                <w:color w:val="000000"/>
                <w:sz w:val="24"/>
              </w:rPr>
              <w:t>5.90%</w:t>
            </w:r>
          </w:p>
        </w:tc>
        <w:tc>
          <w:tcPr>
            <w:vAlign w:val="center"/>
          </w:tcPr>
          <w:p>
            <w:pPr>
              <w:jc w:val="center"/>
            </w:pPr>
            <w:r>
              <w:rPr>
                <w:color w:val="000000"/>
                <w:sz w:val="24"/>
              </w:rPr>
              <w:t>0.02%</w:t>
            </w:r>
          </w:p>
        </w:tc>
      </w:tr>
      <w:tr>
        <w:tc>
          <w:tcPr>
            <w:vAlign w:val="center"/>
          </w:tcPr>
          <w:p>
            <w:pPr>
              <w:jc w:val="left"/>
            </w:pPr>
            <w:r>
              <w:rPr>
                <w:color w:val="000000"/>
                <w:sz w:val="24"/>
              </w:rPr>
              <w:t>过去六个月</w:t>
            </w:r>
          </w:p>
        </w:tc>
        <w:tc>
          <w:tcPr>
            <w:vAlign w:val="center"/>
          </w:tcPr>
          <w:p>
            <w:pPr>
              <w:jc w:val="center"/>
            </w:pPr>
            <w:r>
              <w:rPr>
                <w:color w:val="000000"/>
                <w:sz w:val="24"/>
              </w:rPr>
              <w:t>6.32%</w:t>
            </w:r>
          </w:p>
        </w:tc>
        <w:tc>
          <w:tcPr>
            <w:vAlign w:val="center"/>
          </w:tcPr>
          <w:p>
            <w:pPr>
              <w:jc w:val="center"/>
            </w:pPr>
            <w:r>
              <w:rPr>
                <w:color w:val="000000"/>
                <w:sz w:val="24"/>
              </w:rPr>
              <w:t>1.38%</w:t>
            </w:r>
          </w:p>
        </w:tc>
        <w:tc>
          <w:tcPr>
            <w:vAlign w:val="center"/>
          </w:tcPr>
          <w:p>
            <w:pPr>
              <w:jc w:val="center"/>
            </w:pPr>
            <w:r>
              <w:rPr>
                <w:color w:val="000000"/>
                <w:sz w:val="24"/>
              </w:rPr>
              <w:t>-3.95%</w:t>
            </w:r>
          </w:p>
        </w:tc>
        <w:tc>
          <w:tcPr>
            <w:vAlign w:val="center"/>
          </w:tcPr>
          <w:p>
            <w:pPr>
              <w:jc w:val="center"/>
            </w:pPr>
            <w:r>
              <w:rPr>
                <w:color w:val="000000"/>
                <w:sz w:val="24"/>
              </w:rPr>
              <w:t>1.41%</w:t>
            </w:r>
          </w:p>
        </w:tc>
        <w:tc>
          <w:tcPr>
            <w:vAlign w:val="center"/>
          </w:tcPr>
          <w:p>
            <w:pPr>
              <w:jc w:val="center"/>
            </w:pPr>
            <w:r>
              <w:rPr>
                <w:color w:val="000000"/>
                <w:sz w:val="24"/>
              </w:rPr>
              <w:t>10.27%</w:t>
            </w:r>
          </w:p>
        </w:tc>
        <w:tc>
          <w:tcPr>
            <w:vAlign w:val="center"/>
          </w:tcPr>
          <w:p>
            <w:pPr>
              <w:jc w:val="center"/>
            </w:pPr>
            <w:r>
              <w:rPr>
                <w:color w:val="000000"/>
                <w:sz w:val="24"/>
              </w:rPr>
              <w:t>-0.03%</w:t>
            </w:r>
          </w:p>
        </w:tc>
      </w:tr>
      <w:tr>
        <w:tc>
          <w:tcPr>
            <w:vAlign w:val="center"/>
          </w:tcPr>
          <w:p>
            <w:pPr>
              <w:jc w:val="left"/>
            </w:pPr>
            <w:r>
              <w:rPr>
                <w:color w:val="000000"/>
                <w:sz w:val="24"/>
              </w:rPr>
              <w:t>过去一年</w:t>
            </w:r>
          </w:p>
        </w:tc>
        <w:tc>
          <w:tcPr>
            <w:vAlign w:val="center"/>
          </w:tcPr>
          <w:p>
            <w:pPr>
              <w:jc w:val="center"/>
            </w:pPr>
            <w:r>
              <w:rPr>
                <w:color w:val="000000"/>
                <w:sz w:val="24"/>
              </w:rPr>
              <w:t>14.18%</w:t>
            </w:r>
          </w:p>
        </w:tc>
        <w:tc>
          <w:tcPr>
            <w:vAlign w:val="center"/>
          </w:tcPr>
          <w:p>
            <w:pPr>
              <w:jc w:val="center"/>
            </w:pPr>
            <w:r>
              <w:rPr>
                <w:color w:val="000000"/>
                <w:sz w:val="24"/>
              </w:rPr>
              <w:t>1.13%</w:t>
            </w:r>
          </w:p>
        </w:tc>
        <w:tc>
          <w:tcPr>
            <w:vAlign w:val="center"/>
          </w:tcPr>
          <w:p>
            <w:pPr>
              <w:jc w:val="center"/>
            </w:pPr>
            <w:r>
              <w:rPr>
                <w:color w:val="000000"/>
                <w:sz w:val="24"/>
              </w:rPr>
              <w:t>0.39%</w:t>
            </w:r>
          </w:p>
        </w:tc>
        <w:tc>
          <w:tcPr>
            <w:vAlign w:val="center"/>
          </w:tcPr>
          <w:p>
            <w:pPr>
              <w:jc w:val="center"/>
            </w:pPr>
            <w:r>
              <w:rPr>
                <w:color w:val="000000"/>
                <w:sz w:val="24"/>
              </w:rPr>
              <w:t>1.15%</w:t>
            </w:r>
          </w:p>
        </w:tc>
        <w:tc>
          <w:tcPr>
            <w:vAlign w:val="center"/>
          </w:tcPr>
          <w:p>
            <w:pPr>
              <w:jc w:val="center"/>
            </w:pPr>
            <w:r>
              <w:rPr>
                <w:color w:val="000000"/>
                <w:sz w:val="24"/>
              </w:rPr>
              <w:t>13.79%</w:t>
            </w:r>
          </w:p>
        </w:tc>
        <w:tc>
          <w:tcPr>
            <w:vAlign w:val="center"/>
          </w:tcPr>
          <w:p>
            <w:pPr>
              <w:jc w:val="center"/>
            </w:pPr>
            <w:r>
              <w:rPr>
                <w:color w:val="000000"/>
                <w:sz w:val="24"/>
              </w:rPr>
              <w:t>-0.02%</w:t>
            </w:r>
          </w:p>
        </w:tc>
      </w:tr>
      <w:tr>
        <w:tc>
          <w:tcPr>
            <w:vAlign w:val="center"/>
          </w:tcPr>
          <w:p>
            <w:pPr>
              <w:jc w:val="left"/>
            </w:pPr>
            <w:r>
              <w:rPr>
                <w:color w:val="000000"/>
                <w:sz w:val="24"/>
              </w:rPr>
              <w:t>过去三年</w:t>
            </w:r>
          </w:p>
        </w:tc>
        <w:tc>
          <w:tcPr>
            <w:vAlign w:val="center"/>
          </w:tcPr>
          <w:p>
            <w:pPr>
              <w:jc w:val="center"/>
            </w:pPr>
            <w:r>
              <w:rPr>
                <w:color w:val="000000"/>
                <w:sz w:val="24"/>
              </w:rPr>
              <w:t>61.46%</w:t>
            </w:r>
          </w:p>
        </w:tc>
        <w:tc>
          <w:tcPr>
            <w:vAlign w:val="center"/>
          </w:tcPr>
          <w:p>
            <w:pPr>
              <w:jc w:val="center"/>
            </w:pPr>
            <w:r>
              <w:rPr>
                <w:color w:val="000000"/>
                <w:sz w:val="24"/>
              </w:rPr>
              <w:t>1.28%</w:t>
            </w:r>
          </w:p>
        </w:tc>
        <w:tc>
          <w:tcPr>
            <w:vAlign w:val="center"/>
          </w:tcPr>
          <w:p>
            <w:pPr>
              <w:jc w:val="center"/>
            </w:pPr>
            <w:r>
              <w:rPr>
                <w:color w:val="000000"/>
                <w:sz w:val="24"/>
              </w:rPr>
              <w:t>15.38%</w:t>
            </w:r>
          </w:p>
        </w:tc>
        <w:tc>
          <w:tcPr>
            <w:vAlign w:val="center"/>
          </w:tcPr>
          <w:p>
            <w:pPr>
              <w:jc w:val="center"/>
            </w:pPr>
            <w:r>
              <w:rPr>
                <w:color w:val="000000"/>
                <w:sz w:val="24"/>
              </w:rPr>
              <w:t>1.24%</w:t>
            </w:r>
          </w:p>
        </w:tc>
        <w:tc>
          <w:tcPr>
            <w:vAlign w:val="center"/>
          </w:tcPr>
          <w:p>
            <w:pPr>
              <w:jc w:val="center"/>
            </w:pPr>
            <w:r>
              <w:rPr>
                <w:color w:val="000000"/>
                <w:sz w:val="24"/>
              </w:rPr>
              <w:t>46.08%</w:t>
            </w:r>
          </w:p>
        </w:tc>
        <w:tc>
          <w:tcPr>
            <w:vAlign w:val="center"/>
          </w:tcPr>
          <w:p>
            <w:pPr>
              <w:jc w:val="center"/>
            </w:pPr>
            <w:r>
              <w:rPr>
                <w:color w:val="000000"/>
                <w:sz w:val="24"/>
              </w:rPr>
              <w:t>0.04%</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70.44%</w:t>
            </w:r>
          </w:p>
        </w:tc>
        <w:tc>
          <w:tcPr>
            <w:vAlign w:val="center"/>
          </w:tcPr>
          <w:p>
            <w:pPr>
              <w:jc w:val="center"/>
            </w:pPr>
            <w:r>
              <w:rPr>
                <w:color w:val="000000"/>
                <w:sz w:val="24"/>
              </w:rPr>
              <w:t>1.27%</w:t>
            </w:r>
          </w:p>
        </w:tc>
        <w:tc>
          <w:tcPr>
            <w:vAlign w:val="center"/>
          </w:tcPr>
          <w:p>
            <w:pPr>
              <w:jc w:val="center"/>
            </w:pPr>
            <w:r>
              <w:rPr>
                <w:color w:val="000000"/>
                <w:sz w:val="24"/>
              </w:rPr>
              <w:t>19.31%</w:t>
            </w:r>
          </w:p>
        </w:tc>
        <w:tc>
          <w:tcPr>
            <w:vAlign w:val="center"/>
          </w:tcPr>
          <w:p>
            <w:pPr>
              <w:jc w:val="center"/>
            </w:pPr>
            <w:r>
              <w:rPr>
                <w:color w:val="000000"/>
                <w:sz w:val="24"/>
              </w:rPr>
              <w:t>1.23%</w:t>
            </w:r>
          </w:p>
        </w:tc>
        <w:tc>
          <w:tcPr>
            <w:vAlign w:val="center"/>
          </w:tcPr>
          <w:p>
            <w:pPr>
              <w:jc w:val="center"/>
            </w:pPr>
            <w:r>
              <w:rPr>
                <w:color w:val="000000"/>
                <w:sz w:val="24"/>
              </w:rPr>
              <w:t>51.13%</w:t>
            </w:r>
          </w:p>
        </w:tc>
        <w:tc>
          <w:tcPr>
            <w:vAlign w:val="center"/>
          </w:tcPr>
          <w:p>
            <w:pPr>
              <w:jc w:val="center"/>
            </w:pPr>
            <w:r>
              <w:rPr>
                <w:color w:val="000000"/>
                <w:sz w:val="24"/>
              </w:rPr>
              <w:t>0.04%</w:t>
            </w:r>
          </w:p>
        </w:tc>
      </w:tr>
    </w:tbl>
    <w:p w:rsidP="009B2EE9" w:rsidR="009B2EE9" w:rsidRDefault="009B2EE9"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Pr="00370BEA">
        <w:rPr>
          <w:rStyle w:val="af8"/>
          <w:rFonts w:hint="eastAsia"/>
          <w:color w:val="000000"/>
          <w:sz w:val="24"/>
          <w:shd w:color="auto" w:fill="FFFFFF" w:val="clear"/>
        </w:rPr>
        <w:t/>
      </w:r>
      <w:proofErr w:type="spellStart"/>
      <w:r w:rsidRPr="00370BEA">
        <w:rPr>
          <w:rStyle w:val="af8"/>
          <w:rFonts w:hint="eastAsia"/>
          <w:color w:val="000000"/>
          <w:sz w:val="24"/>
          <w:shd w:color="auto" w:fill="FFFFFF" w:val="clear"/>
        </w:rPr>
        <w:t/>
      </w:r>
      <w:proofErr w:type="spellEnd"/>
      <w:r w:rsidRPr="00370BEA">
        <w:rPr>
          <w:rStyle w:val="af8"/>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9B2EE9" w:rsidR="009B2EE9" w:rsidRDefault="009B2EE9"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易方达50指数证券投资基金</w:t>
      </w:r>
    </w:p>
    <w:p w:rsidP="00A61166" w:rsidR="00A61166" w:rsidRDefault="009B2EE9">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A61166" w:rsidR="00A61166" w:rsidRDefault="009B2EE9">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易方达上证50指数A</w:t>
      </w:r>
    </w:p>
    <w:p w:rsidP="00A61166" w:rsidR="009B2EE9" w:rsidRDefault="00A61166" w:rsidRPr="00A61166">
      <w:pPr>
        <w:pStyle w:val="a5"/>
        <w:snapToGrid w:val="0"/>
        <w:spacing w:line="360" w:lineRule="auto"/>
        <w:jc w:val="center"/>
        <w:rPr>
          <w:rFonts w:ascii="Times New Roman" w:hAnsi="Times New Roman"/>
          <w:sz w:val="24"/>
          <w:szCs w:val="24"/>
        </w:rPr>
      </w:pPr>
      <w:r w:rsidRPr="00A61166">
        <w:rPr>
          <w:rFonts w:ascii="Times New Roman" w:hAnsi="Times New Roman"/>
          <w:sz w:val="24"/>
          <w:szCs w:val="24"/>
        </w:rPr>
        <w:t/>
      </w:r>
      <w:proofErr w:type="spellStart"/>
      <w:proofErr w:type="gramStart"/>
      <w:r w:rsidRPr="00A61166">
        <w:rPr>
          <w:rFonts w:ascii="Times New Roman" w:hAnsi="Times New Roman"/>
          <w:sz w:val="24"/>
          <w:szCs w:val="24"/>
        </w:rPr>
        <w:t/>
      </w:r>
      <w:proofErr w:type="spellEnd"/>
      <w:r w:rsidRPr="00A61166">
        <w:rPr>
          <w:rFonts w:ascii="Times New Roman" w:hAnsi="Times New Roman"/>
          <w:sz w:val="24"/>
          <w:szCs w:val="24"/>
        </w:rPr>
        <w:t/>
      </w:r>
      <w:proofErr w:type="gramEnd"/>
      <w:r w:rsidRPr="00A61166">
        <w:rPr>
          <w:rFonts w:ascii="Times New Roman" w:hAnsi="Times New Roman"/>
          <w:sz w:val="24"/>
          <w:szCs w:val="24"/>
        </w:rPr>
        <w:t>（2004年3月22日至2020年6月30日）</w:t>
      </w:r>
    </w:p>
    <w:p w:rsidP="009B2EE9" w:rsidR="009B2EE9" w:rsidRDefault="009B2EE9" w:rsidRPr="0078105B">
      <w:pPr>
        <w:pStyle w:val="20"/>
        <w:spacing w:line="288" w:lineRule="auto"/>
        <w:ind w:firstLine="0" w:firstLineChars="0"/>
        <w:jc w:val="center"/>
        <w:rPr>
          <w:color w:val="000000"/>
        </w:rPr>
      </w:pPr>
      <w:r>
        <w:rPr>
          <w:noProof/>
          <w:color w:val="000000"/>
        </w:rPr>
        <w:lastRenderedPageBreak/>
        <w:drawing>
          <wp:inline distB="0" distL="0" distR="0" distT="0">
            <wp:extent cx="5538470" cy="3275965"/>
            <wp:effectExtent b="0" l="0" r="0" t="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rrowheads="1"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8470" cy="3275965"/>
                    </a:xfrm>
                    <a:prstGeom prst="rect">
                      <a:avLst/>
                    </a:prstGeom>
                    <a:noFill/>
                    <a:ln>
                      <a:noFill/>
                    </a:ln>
                  </pic:spPr>
                </pic:pic>
              </a:graphicData>
            </a:graphic>
          </wp:inline>
        </w:drawing>
      </w:r>
    </w:p>
    <w:p w:rsidP="00A61166" w:rsidR="00A61166" w:rsidRDefault="009B2EE9">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易方达上证50指数C</w:t>
      </w:r>
    </w:p>
    <w:p w:rsidP="00A61166" w:rsidR="009B2EE9" w:rsidRDefault="00A61166" w:rsidRPr="00A61166">
      <w:pPr>
        <w:pStyle w:val="a5"/>
        <w:snapToGrid w:val="0"/>
        <w:spacing w:line="360" w:lineRule="auto"/>
        <w:jc w:val="center"/>
        <w:rPr>
          <w:rFonts w:ascii="Times New Roman" w:hAnsi="Times New Roman"/>
          <w:sz w:val="24"/>
          <w:szCs w:val="24"/>
        </w:rPr>
      </w:pPr>
      <w:r w:rsidRPr="00A61166">
        <w:rPr>
          <w:rFonts w:ascii="Times New Roman" w:hAnsi="Times New Roman"/>
          <w:sz w:val="24"/>
          <w:szCs w:val="24"/>
        </w:rPr>
        <w:t/>
      </w:r>
      <w:proofErr w:type="spellStart"/>
      <w:proofErr w:type="gramStart"/>
      <w:r w:rsidRPr="00A61166">
        <w:rPr>
          <w:rFonts w:ascii="Times New Roman" w:hAnsi="Times New Roman" w:hint="eastAsia"/>
          <w:sz w:val="24"/>
          <w:szCs w:val="24"/>
        </w:rPr>
        <w:t/>
      </w:r>
      <w:r w:rsidRPr="00A61166">
        <w:rPr>
          <w:rFonts w:ascii="Times New Roman" w:hAnsi="Times New Roman"/>
          <w:sz w:val="24"/>
          <w:szCs w:val="24"/>
        </w:rPr>
        <w:t/>
      </w:r>
      <w:r w:rsidRPr="00A61166">
        <w:rPr>
          <w:rFonts w:ascii="Times New Roman" w:hAnsi="Times New Roman" w:hint="eastAsia"/>
          <w:sz w:val="24"/>
          <w:szCs w:val="24"/>
        </w:rPr>
        <w:t/>
      </w:r>
      <w:r w:rsidRPr="00A61166">
        <w:rPr>
          <w:rFonts w:ascii="Times New Roman" w:hAnsi="Times New Roman"/>
          <w:sz w:val="24"/>
          <w:szCs w:val="24"/>
        </w:rPr>
        <w:t/>
      </w:r>
      <w:proofErr w:type="spellEnd"/>
      <w:r w:rsidRPr="00A61166">
        <w:rPr>
          <w:rFonts w:ascii="Times New Roman" w:hAnsi="Times New Roman"/>
          <w:sz w:val="24"/>
          <w:szCs w:val="24"/>
        </w:rPr>
        <w:t/>
      </w:r>
      <w:proofErr w:type="gramEnd"/>
      <w:r w:rsidRPr="00A61166">
        <w:rPr>
          <w:rFonts w:ascii="Times New Roman" w:hAnsi="Times New Roman"/>
          <w:sz w:val="24"/>
          <w:szCs w:val="24"/>
        </w:rPr>
        <w:t>（2017年6月7日至2020年6月30日）</w:t>
      </w:r>
    </w:p>
    <w:p w:rsidP="009B2EE9" w:rsidR="009B2EE9" w:rsidRDefault="009B2EE9" w:rsidRPr="0078105B">
      <w:pPr>
        <w:pStyle w:val="20"/>
        <w:spacing w:line="288" w:lineRule="auto"/>
        <w:ind w:firstLine="0" w:firstLineChars="0"/>
        <w:jc w:val="center"/>
        <w:rPr>
          <w:color w:val="000000"/>
        </w:rPr>
      </w:pPr>
      <w:r>
        <w:rPr>
          <w:noProof/>
          <w:color w:val="000000"/>
        </w:rPr>
        <w:drawing>
          <wp:inline distB="0" distL="0" distR="0" distT="0">
            <wp:extent cx="5538470" cy="3275965"/>
            <wp:effectExtent b="0" l="0" r="0" t="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rrowheads="1"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8470" cy="3275965"/>
                    </a:xfrm>
                    <a:prstGeom prst="rect">
                      <a:avLst/>
                    </a:prstGeom>
                    <a:noFill/>
                    <a:ln>
                      <a:noFill/>
                    </a:ln>
                  </pic:spPr>
                </pic:pic>
              </a:graphicData>
            </a:graphic>
          </wp:inline>
        </w:drawing>
      </w:r>
    </w:p>
    <w:p>
      <w:pPr>
        <w:spacing w:line="360" w:lineRule="auto"/>
        <w:ind w:firstLine="480" w:firstLineChars="200"/>
        <w:rPr>
          <w:rFonts w:hAnsi="宋体"/>
          <w:color w:val="000000"/>
          <w:sz w:val="24"/>
        </w:rPr>
      </w:pPr>
      <w:r>
        <w:rPr>
          <w:color w:val="000000"/>
          <w:sz w:val="24"/>
        </w:rPr>
        <w:t>注：1.自2017年6月6日起，本基金增设C类份额类别，份额首次确认日为2017年6月7日，增设当期的相关数据和指标按实际存续期计算。</w:t>
      </w:r>
    </w:p>
    <w:p w:rsidP="009B2EE9" w:rsidR="00A62673" w:rsidRDefault="009B2EE9" w:rsidRPr="00EC5CE0">
      <w:pPr>
        <w:spacing w:line="360" w:lineRule="auto"/>
        <w:ind w:firstLine="480" w:firstLineChars="200"/>
        <w:rPr>
          <w:rFonts w:hAnsi="宋体"/>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2.自基金合同生效至报告期末，A类基金份额净值增长率为497.98%，同期业绩比较基准收益率为174.52%；C类基金份额净值增长率为70.44%，同期业绩比较基准收益率为19.31%。</w:t>
      </w:r>
    </w:p>
    <w:p w:rsidP="006C1D5C" w:rsidR="00A62673" w:rsidRDefault="00A62673" w:rsidRPr="00C1648E">
      <w:pPr>
        <w:tabs>
          <w:tab w:pos="1800" w:val="left"/>
        </w:tabs>
        <w:spacing w:line="288" w:lineRule="auto"/>
        <w:rPr>
          <w:color w:val="000000"/>
          <w:sz w:val="24"/>
        </w:rPr>
      </w:pPr>
    </w:p>
    <w:p w:rsidP="00F729DC" w:rsidR="00A62673" w:rsidRDefault="00A62673" w:rsidRPr="00EC5CE0">
      <w:pPr>
        <w:pStyle w:val="1"/>
        <w:spacing w:after="312" w:afterLines="100" w:before="312" w:beforeLines="100" w:line="360" w:lineRule="auto"/>
        <w:jc w:val="center"/>
        <w:rPr>
          <w:rFonts w:ascii="宋体" w:cs="Arial"/>
          <w:color w:val="000000"/>
          <w:kern w:val="0"/>
          <w:sz w:val="24"/>
          <w:szCs w:val="24"/>
        </w:rPr>
      </w:pPr>
      <w:r w:rsidRPr="00EC5CE0">
        <w:rPr>
          <w:rFonts w:ascii="宋体" w:cs="Arial" w:hAnsi="宋体" w:hint="eastAsia"/>
          <w:color w:val="000000"/>
          <w:kern w:val="0"/>
          <w:sz w:val="24"/>
          <w:szCs w:val="24"/>
        </w:rPr>
        <w:t>§</w:t>
      </w:r>
      <w:r w:rsidRPr="00EC5CE0">
        <w:rPr>
          <w:rFonts w:ascii="宋体" w:cs="Arial" w:hAnsi="宋体"/>
          <w:color w:val="000000"/>
          <w:kern w:val="0"/>
          <w:sz w:val="24"/>
          <w:szCs w:val="24"/>
        </w:rPr>
        <w:t xml:space="preserve">4  </w:t>
      </w:r>
      <w:r w:rsidRPr="00EC5CE0">
        <w:rPr>
          <w:rFonts w:ascii="宋体" w:cs="Arial" w:hAnsi="宋体" w:hint="eastAsia"/>
          <w:color w:val="000000"/>
          <w:kern w:val="0"/>
          <w:sz w:val="24"/>
          <w:szCs w:val="24"/>
        </w:rPr>
        <w:t>管理人报告</w:t>
      </w:r>
    </w:p>
    <w:p w:rsidP="007467A8" w:rsidR="007467A8" w:rsidRDefault="00A62673" w:rsidRPr="0078105B">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 xml:space="preserve">4.1 </w:t>
      </w:r>
      <w:r w:rsidRPr="00EC5CE0">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7467A8" w:rsidRPr="0078105B" w:rsidTr="002C4578">
        <w:trPr>
          <w:cantSplit/>
        </w:trPr>
        <w:tc>
          <w:tcPr>
            <w:tcW w:type="dxa" w:w="567"/>
            <w:vMerge w:val="restart"/>
            <w:vAlign w:val="center"/>
          </w:tcPr>
          <w:p w:rsidP="002C4578" w:rsidR="007467A8" w:rsidRDefault="007467A8"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2C4578" w:rsidR="007467A8" w:rsidRDefault="007467A8"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2C4578" w:rsidR="007467A8" w:rsidRDefault="007467A8"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2C4578" w:rsidR="007467A8" w:rsidRDefault="007467A8"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2C4578" w:rsidR="007467A8" w:rsidRDefault="007467A8"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7467A8" w:rsidRPr="0078105B" w:rsidTr="002C4578">
        <w:trPr>
          <w:cantSplit/>
        </w:trPr>
        <w:tc>
          <w:tcPr>
            <w:tcW w:type="dxa" w:w="567"/>
            <w:vMerge/>
            <w:vAlign w:val="center"/>
          </w:tcPr>
          <w:p w:rsidP="002C4578" w:rsidR="007467A8" w:rsidRDefault="007467A8" w:rsidRPr="00FA472B">
            <w:pPr>
              <w:autoSpaceDE w:val="0"/>
              <w:autoSpaceDN w:val="0"/>
              <w:adjustRightInd w:val="0"/>
              <w:spacing w:before="29" w:line="288" w:lineRule="auto"/>
              <w:ind w:left="15"/>
              <w:jc w:val="center"/>
              <w:rPr>
                <w:color w:val="000000"/>
                <w:kern w:val="0"/>
                <w:sz w:val="24"/>
              </w:rPr>
            </w:pPr>
          </w:p>
        </w:tc>
        <w:tc>
          <w:tcPr>
            <w:tcW w:type="dxa" w:w="2835"/>
            <w:vMerge/>
          </w:tcPr>
          <w:p w:rsidP="002C4578" w:rsidR="007467A8" w:rsidRDefault="007467A8"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2C4578" w:rsidR="007467A8" w:rsidRDefault="007467A8"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2C4578" w:rsidR="007467A8" w:rsidRDefault="007467A8"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2C4578" w:rsidR="007467A8" w:rsidRDefault="007467A8"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2C4578" w:rsidR="007467A8" w:rsidRDefault="007467A8"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张胜记</w:t>
            </w:r>
          </w:p>
        </w:tc>
        <w:tc>
          <w:tcPr>
            <w:vAlign w:val="center"/>
          </w:tcPr>
          <w:p>
            <w:pPr>
              <w:jc w:val="left"/>
            </w:pPr>
            <w:r>
              <w:rPr>
                <w:color w:val="000000"/>
                <w:sz w:val="24"/>
              </w:rPr>
              <w:t>本基金的基金经理、易方达标普全球高端消费品指数增强型证券投资基金的基金经理、指数增强投资部联席总经理</w:t>
            </w:r>
          </w:p>
        </w:tc>
        <w:tc>
          <w:tcPr>
            <w:vAlign w:val="center"/>
          </w:tcPr>
          <w:p>
            <w:pPr>
              <w:jc w:val="center"/>
            </w:pPr>
            <w:r>
              <w:rPr>
                <w:color w:val="000000"/>
                <w:sz w:val="24"/>
              </w:rPr>
              <w:t>2012-09-28</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易方达基金管理有限公司投资经理助理、基金经理助理、行业研究员、指数与量化投资部总经理助理、指数与量化投资部副总经理、指数及增强投资部副总经理、指数投资部总经理、易方达沪深300交易型开放式指数发起式证券投资基金联接基金（原易方达沪深300指数证券投资基金）基金经理、易方达上证中盘交易型开放式指数证券投资基金基金经理、易方达上证中盘交易型开放式指数证券投资基金联接基金基金经理、易方达标普医疗保健指数证券投资基金（LOF）基金经理、易方达标普500指数证券投资基金（LOF）基金经理、易方达标普生物科技指数证券投资基金（LOF）基金经理、易方达标普信息科技指数证券投资基金（LOF）基金经理、易方达香港恒生综合小型股指数证券投资基金（LOF）基金经理、易方达原油证券投资基金（QDII）基金经理、易方达恒生中国企业交易型开放式指数证券投资基金联接基金基金经理、易方达恒生中国企业交易型开放式指数证券投资基金基金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7467A8" w:rsidR="00560F37" w:rsidRDefault="007467A8" w:rsidRPr="00232B03">
      <w:pPr>
        <w:autoSpaceDE w:val="0"/>
        <w:autoSpaceDN w:val="0"/>
        <w:adjustRightInd w:val="0"/>
        <w:spacing w:line="360" w:lineRule="auto"/>
        <w:ind w:firstLine="480" w:firstLineChars="200"/>
        <w:jc w:val="left"/>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560F37"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4.2</w:t>
      </w:r>
      <w:r w:rsidRPr="00EC5CE0">
        <w:rPr>
          <w:rFonts w:ascii="宋体" w:hAnsi="宋体" w:hint="eastAsia"/>
          <w:b/>
          <w:bCs/>
          <w:color w:val="000000"/>
          <w:sz w:val="24"/>
        </w:rPr>
        <w:t>管理人对报告期内本基金运作遵规守信情况的说明</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proofErr w:type="gramStart"/>
      <w:r w:rsidRPr="00DC315B">
        <w:rPr>
          <w:color w:val="000000"/>
          <w:sz w:val="24"/>
        </w:rPr>
        <w:t/>
      </w:r>
      <w:proofErr w:type="spellEnd"/>
      <w:proofErr w:type="gramEnd"/>
      <w:r w:rsidRPr="00DC315B">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5A2DCB"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 xml:space="preserve">4.3 </w:t>
      </w:r>
      <w:r w:rsidRPr="00EC5CE0">
        <w:rPr>
          <w:rFonts w:ascii="宋体" w:cs="Arial" w:hAnsi="宋体" w:hint="eastAsia"/>
          <w:b/>
          <w:color w:val="000000"/>
          <w:kern w:val="0"/>
          <w:sz w:val="24"/>
        </w:rPr>
        <w:t>公平交易专项说明</w:t>
      </w:r>
    </w:p>
    <w:p w:rsidP="005A2DCB" w:rsidR="00A62673" w:rsidRDefault="00A62673" w:rsidRPr="00EC5CE0">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EC5CE0">
          <w:rPr>
            <w:rFonts w:ascii="宋体" w:hAnsi="宋体"/>
            <w:sz w:val="24"/>
          </w:rPr>
          <w:t>4.3.1</w:t>
        </w:r>
      </w:smartTag>
      <w:r w:rsidRPr="00EC5CE0">
        <w:rPr>
          <w:rFonts w:ascii="宋体" w:hAnsi="宋体" w:hint="eastAsia"/>
          <w:sz w:val="24"/>
        </w:rPr>
        <w:t>公平交易制度的执行情况</w:t>
      </w:r>
    </w:p>
    <w:p w:rsidP="005A2769" w:rsidR="00A62673" w:rsidRDefault="00A62673" w:rsidRPr="00DC315B">
      <w:pPr>
        <w:spacing w:line="360" w:lineRule="auto"/>
        <w:ind w:firstLine="480" w:firstLineChars="200"/>
        <w:rPr>
          <w:color w:val="000000"/>
          <w:sz w:val="24"/>
        </w:rPr>
      </w:pPr>
      <w:r w:rsidRPr="00DC315B">
        <w:rPr>
          <w:color w:val="000000"/>
          <w:sz w:val="24"/>
        </w:rPr>
        <w:lastRenderedPageBreak/>
        <w:t/>
      </w:r>
      <w:proofErr w:type="spellStart"/>
      <w:r w:rsidRPr="00DC315B">
        <w:rPr>
          <w:color w:val="000000"/>
          <w:sz w:val="24"/>
        </w:rPr>
        <w:t/>
      </w:r>
      <w:proofErr w:type="spellEnd"/>
      <w:r w:rsidRPr="00DC315B">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5A2DCB" w:rsidR="00A62673" w:rsidRDefault="00A62673" w:rsidRPr="00EC5CE0">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EC5CE0">
          <w:rPr>
            <w:rFonts w:ascii="宋体" w:hAnsi="宋体"/>
            <w:sz w:val="24"/>
          </w:rPr>
          <w:t>4.3.2</w:t>
        </w:r>
      </w:smartTag>
      <w:r w:rsidRPr="00EC5CE0">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本报告期内，未发现本基金有可能导致不公平交易和利益输送的异常交易。</w:t>
      </w:r>
    </w:p>
    <w:p w:rsidP="005A2DCB"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 xml:space="preserve">4.4 </w:t>
      </w:r>
      <w:r w:rsidRPr="00EC5CE0">
        <w:rPr>
          <w:rFonts w:ascii="宋体" w:cs="Arial" w:hAnsi="宋体" w:hint="eastAsia"/>
          <w:b/>
          <w:color w:val="000000"/>
          <w:kern w:val="0"/>
          <w:sz w:val="24"/>
        </w:rPr>
        <w:t>报告期内基金的投资策略和业绩表现说明</w:t>
      </w:r>
    </w:p>
    <w:p w:rsidP="005A2DCB" w:rsidR="00A62673" w:rsidRDefault="00A62673" w:rsidRPr="00EC5CE0">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EC5CE0">
          <w:rPr>
            <w:rFonts w:ascii="宋体" w:hAnsi="宋体"/>
            <w:sz w:val="24"/>
          </w:rPr>
          <w:t>4.4.1</w:t>
        </w:r>
      </w:smartTag>
      <w:r w:rsidRPr="00EC5CE0">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第二季度，中国有效控制了新冠肺炎疫情的传播，国内经济逐步复苏。国外进入疫情爆发阶段，全球经济陷入阶段性衰退。1-5月全国规模以上工业增加值同比下降2.8%，全国固定资产投资同比下降6.3%，房地产开发投资同比下降0.3%。社会消费品零售总额同比下降13.5%，前五个月全国住宅累计销售面积同比下降11.8%。在猪肉、原油价格下跌的带动下，国内的通胀水平回落，5月份居民消费价格指数（CPI）同比上涨2.4%，工业生产者出厂价格指数（PPI）同比下降3.7%。为对冲疫情对经济的负面影响，我国货币政策保持宽松，央行降低再贷款再贴现利率，5月末国内广义货币供应量M2同比增长11.1%，增速加快。财政政策更为积极，抗疫特别国债发行，减税降费政策扩大。报告期内，A股大幅反弹，上证指数上涨8.52%，上证50指数上涨9.40%。从行业表现来看，休闲服务、电子、医药生物、食品饮料等行业大幅上涨；建筑装饰、纺织服装、采掘等行业下跌。</w:t>
      </w:r>
    </w:p>
    <w:p w:rsidP="005A2769" w:rsidR="00A62673" w:rsidRDefault="00A62673" w:rsidRPr="00DC315B">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本基金是跟踪上证50指数的指数增强型基金，力争通过主动指数增强的投资方法，获取长期稳定超越基准的业绩回报。报告期内，本基金股票仓位维持在90%以上，根据对市场形势的判断，对食品饮料、医药等行业有一定的超配，对银行、券商等行业有所低配。同时，降低了化工等板块的权重，增加了休闲服务等板块的配置。本基金报告期内业绩战胜基准指数。</w:t>
      </w:r>
    </w:p>
    <w:p w:rsidP="005A2DCB" w:rsidR="00A62673" w:rsidRDefault="00A62673" w:rsidRPr="00EC5CE0">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EC5CE0">
          <w:rPr>
            <w:rFonts w:ascii="宋体" w:hAnsi="宋体"/>
            <w:sz w:val="24"/>
          </w:rPr>
          <w:t>4.4.2</w:t>
        </w:r>
      </w:smartTag>
      <w:r w:rsidRPr="00EC5CE0">
        <w:rPr>
          <w:rFonts w:ascii="宋体" w:hAnsi="宋体" w:hint="eastAsia"/>
          <w:sz w:val="24"/>
        </w:rPr>
        <w:t>报告期内基金的业绩表现</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截至报告期末，本基金A类基金份额净值为1.9247元，本报告期份额净值增长率为15.37%，同期业绩比较基准收益率为9.40%；C类基金份额净值为1.9097元，本报告期份额净值增长率为15.30%，同期业绩比较基准收益率为9.40%。年化跟踪误差4.69%，超过合同规定的目标控制范围，主要是投资组合与指数权重的偏差有所扩大所致。</w:t>
      </w:r>
    </w:p>
    <w:p w:rsidP="00F729DC" w:rsidR="00A62673" w:rsidRDefault="00A62673" w:rsidRPr="00EC5CE0">
      <w:pPr>
        <w:pStyle w:val="1"/>
        <w:spacing w:after="312" w:afterLines="100" w:before="312" w:beforeLines="100" w:line="360" w:lineRule="auto"/>
        <w:jc w:val="center"/>
        <w:rPr>
          <w:rFonts w:ascii="宋体" w:cs="Arial"/>
          <w:color w:val="000000"/>
          <w:kern w:val="0"/>
          <w:sz w:val="24"/>
          <w:szCs w:val="24"/>
        </w:rPr>
      </w:pPr>
      <w:r w:rsidRPr="00EC5CE0">
        <w:rPr>
          <w:rFonts w:ascii="宋体" w:cs="Arial" w:hAnsi="宋体" w:hint="eastAsia"/>
          <w:color w:val="000000"/>
          <w:kern w:val="0"/>
          <w:sz w:val="24"/>
          <w:szCs w:val="24"/>
        </w:rPr>
        <w:t>§</w:t>
      </w:r>
      <w:r w:rsidRPr="00EC5CE0">
        <w:rPr>
          <w:rFonts w:ascii="宋体" w:cs="Arial" w:hAnsi="宋体"/>
          <w:color w:val="000000"/>
          <w:kern w:val="0"/>
          <w:sz w:val="24"/>
          <w:szCs w:val="24"/>
        </w:rPr>
        <w:t xml:space="preserve">5  </w:t>
      </w:r>
      <w:r w:rsidRPr="00EC5CE0">
        <w:rPr>
          <w:rFonts w:ascii="宋体" w:cs="Arial" w:hAnsi="宋体" w:hint="eastAsia"/>
          <w:color w:val="000000"/>
          <w:kern w:val="0"/>
          <w:sz w:val="24"/>
          <w:szCs w:val="24"/>
        </w:rPr>
        <w:t>投资组合报告</w:t>
      </w:r>
    </w:p>
    <w:p w:rsidP="00045BEC"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 xml:space="preserve">5.1 </w:t>
      </w:r>
      <w:r w:rsidRPr="00EC5CE0">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序号</w:t>
            </w:r>
          </w:p>
        </w:tc>
        <w:tc>
          <w:tcPr>
            <w:tcW w:type="dxa" w:w="3357"/>
            <w:vAlign w:val="center"/>
          </w:tcPr>
          <w:p w:rsidP="006B315F" w:rsidR="00A62673" w:rsidRDefault="00A62673" w:rsidRPr="00C1648E">
            <w:pPr>
              <w:spacing w:before="29" w:line="360" w:lineRule="auto"/>
              <w:ind w:left="17"/>
              <w:jc w:val="center"/>
              <w:rPr>
                <w:color w:val="000000"/>
                <w:sz w:val="24"/>
              </w:rPr>
            </w:pPr>
            <w:r w:rsidRPr="00C1648E">
              <w:rPr>
                <w:color w:val="000000"/>
                <w:sz w:val="24"/>
              </w:rPr>
              <w:t>项目</w:t>
            </w:r>
          </w:p>
        </w:tc>
        <w:tc>
          <w:tcPr>
            <w:tcW w:type="dxa" w:w="2977"/>
            <w:vAlign w:val="center"/>
          </w:tcPr>
          <w:p w:rsidP="005A2769" w:rsidR="00A62673" w:rsidRDefault="00A62673" w:rsidRPr="00C1648E">
            <w:pPr>
              <w:spacing w:before="29" w:line="360" w:lineRule="auto"/>
              <w:ind w:left="17"/>
              <w:jc w:val="center"/>
              <w:rPr>
                <w:color w:val="000000"/>
                <w:sz w:val="24"/>
              </w:rPr>
            </w:pPr>
            <w:r w:rsidRPr="00C1648E">
              <w:rPr>
                <w:color w:val="000000"/>
                <w:sz w:val="24"/>
              </w:rPr>
              <w:t>金额</w:t>
            </w:r>
            <w:r w:rsidR="005A2769" w:rsidRPr="00C1648E">
              <w:rPr>
                <w:color w:val="000000"/>
                <w:sz w:val="24"/>
              </w:rPr>
              <w:t>（元）</w:t>
            </w:r>
          </w:p>
        </w:tc>
        <w:tc>
          <w:tcPr>
            <w:tcW w:type="dxa" w:w="1843"/>
            <w:vAlign w:val="center"/>
          </w:tcPr>
          <w:p w:rsidP="005A2769" w:rsidR="00A62673" w:rsidRDefault="00A62673" w:rsidRPr="00C1648E">
            <w:pPr>
              <w:spacing w:before="29" w:line="360" w:lineRule="auto"/>
              <w:ind w:left="17"/>
              <w:jc w:val="center"/>
              <w:rPr>
                <w:color w:val="000000"/>
                <w:sz w:val="24"/>
              </w:rPr>
            </w:pPr>
            <w:r w:rsidRPr="00C1648E">
              <w:rPr>
                <w:color w:val="000000"/>
                <w:sz w:val="24"/>
              </w:rPr>
              <w:t>占基金总资产的比例</w:t>
            </w:r>
            <w:r w:rsidR="005A2769" w:rsidRPr="00C1648E">
              <w:rPr>
                <w:color w:val="000000"/>
                <w:sz w:val="24"/>
              </w:rPr>
              <w:t>（</w:t>
            </w:r>
            <w:r w:rsidR="005A2769" w:rsidRPr="00C1648E">
              <w:rPr>
                <w:color w:val="000000"/>
                <w:sz w:val="24"/>
              </w:rPr>
              <w:t>%</w:t>
            </w:r>
            <w:r w:rsidR="005A2769" w:rsidRPr="00C1648E">
              <w:rPr>
                <w:color w:val="000000"/>
                <w:sz w:val="24"/>
              </w:rPr>
              <w:t>）</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1</w:t>
            </w: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权益投资</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18,638,760,192.10</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93.70</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其中：股票</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18,638,760,192.10</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93.70</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2</w:t>
            </w: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固定收益投资</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r w:rsidRPr="00C1648E">
              <w:rPr>
                <w:color w:val="000000"/>
                <w:sz w:val="24"/>
              </w:rPr>
              <w:lastRenderedPageBreak/>
              <w:t/>
            </w:r>
            <w:proofErr w:type="spellEnd"/>
            <w:r w:rsidRPr="00C1648E">
              <w:rPr>
                <w:color w:val="000000"/>
                <w:sz w:val="24"/>
              </w:rPr>
              <w:t>372,931,200.00</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lastRenderedPageBreak/>
              <w:t/>
            </w:r>
            <w:r w:rsidRPr="00C1648E">
              <w:rPr>
                <w:color w:val="000000"/>
                <w:sz w:val="24"/>
              </w:rPr>
              <w:lastRenderedPageBreak/>
              <w:t>1.87</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其中：债券</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372,931,200.00</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1.87</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p>
        </w:tc>
        <w:tc>
          <w:tcPr>
            <w:tcW w:type="dxa" w:w="3357"/>
            <w:vAlign w:val="center"/>
          </w:tcPr>
          <w:p w:rsidP="006B315F" w:rsidR="00A62673" w:rsidRDefault="00A62673" w:rsidRPr="00C1648E">
            <w:pPr>
              <w:autoSpaceDE w:val="0"/>
              <w:autoSpaceDN w:val="0"/>
              <w:adjustRightInd w:val="0"/>
              <w:spacing w:before="29" w:line="360" w:lineRule="auto"/>
              <w:ind w:left="17"/>
              <w:jc w:val="left"/>
              <w:rPr>
                <w:color w:val="000000"/>
                <w:sz w:val="24"/>
              </w:rPr>
            </w:pPr>
            <w:r w:rsidRPr="00C1648E">
              <w:rPr>
                <w:color w:val="000000"/>
                <w:sz w:val="24"/>
              </w:rPr>
              <w:t>资产支持证券</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w:t>
            </w:r>
          </w:p>
        </w:tc>
      </w:tr>
      <w:tr w:rsidR="00A62673" w:rsidRPr="00264E55" w:rsidTr="006B315F">
        <w:trPr>
          <w:jc w:val="center"/>
        </w:trPr>
        <w:tc>
          <w:tcPr>
            <w:tcW w:type="dxa" w:w="720"/>
          </w:tcPr>
          <w:p w:rsidP="006B315F" w:rsidR="00A62673" w:rsidRDefault="00A62673" w:rsidRPr="00C1648E">
            <w:pPr>
              <w:spacing w:before="29" w:line="360" w:lineRule="auto"/>
              <w:ind w:left="17"/>
              <w:jc w:val="center"/>
              <w:rPr>
                <w:color w:val="000000"/>
                <w:sz w:val="24"/>
              </w:rPr>
            </w:pPr>
            <w:r w:rsidRPr="00C1648E">
              <w:rPr>
                <w:color w:val="000000"/>
                <w:sz w:val="24"/>
              </w:rPr>
              <w:t>3</w:t>
            </w:r>
          </w:p>
        </w:tc>
        <w:tc>
          <w:tcPr>
            <w:tcW w:type="dxa" w:w="3357"/>
          </w:tcPr>
          <w:p w:rsidP="005A2769" w:rsidR="00A62673" w:rsidRDefault="00A62673" w:rsidRPr="00C1648E">
            <w:pPr>
              <w:spacing w:before="29" w:line="360" w:lineRule="auto"/>
              <w:ind w:left="105" w:leftChars="50"/>
              <w:rPr>
                <w:color w:val="000000"/>
                <w:sz w:val="24"/>
              </w:rPr>
            </w:pPr>
            <w:r w:rsidRPr="00C1648E">
              <w:rPr>
                <w:color w:val="000000"/>
                <w:sz w:val="24"/>
              </w:rPr>
              <w:t>贵金属投资</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4</w:t>
            </w:r>
          </w:p>
        </w:tc>
        <w:tc>
          <w:tcPr>
            <w:tcW w:type="dxa" w:w="3357"/>
            <w:vAlign w:val="center"/>
          </w:tcPr>
          <w:p w:rsidP="006B315F" w:rsidR="00A62673" w:rsidRDefault="00A62673" w:rsidRPr="00C1648E">
            <w:pPr>
              <w:spacing w:before="29" w:line="360" w:lineRule="auto"/>
              <w:ind w:left="17"/>
              <w:jc w:val="left"/>
              <w:rPr>
                <w:color w:val="000000"/>
                <w:sz w:val="24"/>
              </w:rPr>
            </w:pPr>
            <w:r w:rsidRPr="00C1648E">
              <w:rPr>
                <w:color w:val="000000"/>
                <w:sz w:val="24"/>
              </w:rPr>
              <w:t>金融衍生品投资</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5</w:t>
            </w: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买入返售金融资产</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r w:rsidRPr="00C1648E">
              <w:rPr>
                <w:color w:val="000000"/>
                <w:sz w:val="24"/>
              </w:rPr>
              <w:lastRenderedPageBreak/>
              <w:t/>
            </w:r>
            <w:proofErr w:type="spellEnd"/>
            <w:r w:rsidRPr="00C1648E">
              <w:rPr>
                <w:color w:val="000000"/>
                <w:sz w:val="24"/>
              </w:rPr>
              <w:t>-</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lastRenderedPageBreak/>
              <w:t/>
            </w:r>
            <w:r w:rsidRPr="00C1648E">
              <w:rPr>
                <w:color w:val="000000"/>
                <w:sz w:val="24"/>
              </w:rPr>
              <w:lastRenderedPageBreak/>
              <w:t>-</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其中：买断式回购的买入返售金融资产</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6</w:t>
            </w: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银行存款和结算备付金合计</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700,860,861.05</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3.52</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7</w:t>
            </w:r>
          </w:p>
        </w:tc>
        <w:tc>
          <w:tcPr>
            <w:tcW w:type="dxa" w:w="3357"/>
            <w:vAlign w:val="center"/>
          </w:tcPr>
          <w:p w:rsidP="006B315F" w:rsidR="00A62673" w:rsidRDefault="00A62673" w:rsidRPr="00C1648E">
            <w:pPr>
              <w:jc w:val="left"/>
              <w:rPr>
                <w:sz w:val="24"/>
              </w:rPr>
            </w:pPr>
            <w:r w:rsidRPr="00C1648E">
              <w:rPr>
                <w:color w:val="000000"/>
                <w:sz w:val="24"/>
              </w:rPr>
              <w:t>其他资产</w:t>
            </w:r>
          </w:p>
        </w:tc>
        <w:tc>
          <w:tcPr>
            <w:tcW w:type="dxa" w:w="2977"/>
            <w:vAlign w:val="center"/>
          </w:tcPr>
          <w:p w:rsidP="006B315F" w:rsidR="00A62673" w:rsidRDefault="00A62673" w:rsidRPr="00C1648E">
            <w:pPr>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178,481,260.04</w:t>
            </w:r>
          </w:p>
        </w:tc>
        <w:tc>
          <w:tcPr>
            <w:tcW w:type="dxa" w:w="1843"/>
            <w:vAlign w:val="center"/>
          </w:tcPr>
          <w:p w:rsidP="006B315F" w:rsidR="00A62673" w:rsidRDefault="00A62673" w:rsidRPr="00C1648E">
            <w:pPr>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0.90</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
            </w:r>
            <w:r w:rsidRPr="00C1648E">
              <w:rPr>
                <w:color w:val="000000"/>
                <w:sz w:val="24"/>
              </w:rPr>
              <w:lastRenderedPageBreak/>
              <w:t>8</w:t>
            </w:r>
          </w:p>
        </w:tc>
        <w:tc>
          <w:tcPr>
            <w:tcW w:type="dxa" w:w="3357"/>
            <w:vAlign w:val="center"/>
          </w:tcPr>
          <w:p w:rsidP="006B315F" w:rsidR="00A62673" w:rsidRDefault="00A62673" w:rsidRPr="00C1648E">
            <w:pPr>
              <w:jc w:val="left"/>
              <w:rPr>
                <w:sz w:val="24"/>
              </w:rPr>
            </w:pPr>
            <w:r w:rsidRPr="00C1648E">
              <w:rPr>
                <w:color w:val="000000"/>
                <w:sz w:val="24"/>
              </w:rPr>
              <w:lastRenderedPageBreak/>
              <w:t>合计</w:t>
            </w:r>
          </w:p>
        </w:tc>
        <w:tc>
          <w:tcPr>
            <w:tcW w:type="dxa" w:w="2977"/>
            <w:vAlign w:val="center"/>
          </w:tcPr>
          <w:p w:rsidP="006B315F" w:rsidR="00A62673" w:rsidRDefault="00A62673" w:rsidRPr="00C1648E">
            <w:pPr>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19,891,033,513.19</w:t>
            </w:r>
          </w:p>
        </w:tc>
        <w:tc>
          <w:tcPr>
            <w:tcW w:type="dxa" w:w="1843"/>
            <w:vAlign w:val="center"/>
          </w:tcPr>
          <w:p w:rsidP="006B315F" w:rsidR="00A62673" w:rsidRDefault="00A62673" w:rsidRPr="00C1648E">
            <w:pPr>
              <w:jc w:val="right"/>
              <w:rPr>
                <w:color w:val="000000"/>
                <w:sz w:val="24"/>
              </w:rPr>
            </w:pPr>
            <w:r w:rsidRPr="00C1648E">
              <w:rPr>
                <w:color w:val="000000"/>
                <w:sz w:val="24"/>
              </w:rPr>
              <w:t/>
            </w:r>
            <w:proofErr w:type="spellStart"/>
            <w:r w:rsidRPr="00C1648E">
              <w:rPr>
                <w:color w:val="000000"/>
                <w:sz w:val="24"/>
              </w:rPr>
              <w:t/>
            </w:r>
            <w:r w:rsidRPr="00C1648E">
              <w:rPr>
                <w:color w:val="000000"/>
                <w:sz w:val="24"/>
              </w:rPr>
              <w:lastRenderedPageBreak/>
              <w:t/>
            </w:r>
            <w:proofErr w:type="spellEnd"/>
            <w:r w:rsidRPr="00C1648E">
              <w:rPr>
                <w:color w:val="000000"/>
                <w:sz w:val="24"/>
              </w:rPr>
              <w:t>100.00</w:t>
            </w:r>
          </w:p>
        </w:tc>
      </w:tr>
    </w:tbl>
    <w:p w:rsidP="008624F9" w:rsidR="008624F9" w:rsidRDefault="008624F9">
      <w:pPr>
        <w:autoSpaceDE w:val="0"/>
        <w:autoSpaceDN w:val="0"/>
        <w:adjustRightInd w:val="0"/>
        <w:spacing w:line="360" w:lineRule="auto"/>
        <w:jc w:val="left"/>
        <w:rPr>
          <w:rFonts w:eastAsiaTheme="minorEastAsia"/>
          <w:b/>
          <w:color w:themeColor="text1" w:val="000000"/>
          <w:kern w:val="0"/>
          <w:sz w:val="24"/>
        </w:rPr>
      </w:pPr>
      <w:r w:rsidRPr="00105C87">
        <w:rPr>
          <w:rFonts w:eastAsiaTheme="minorEastAsia"/>
          <w:b/>
          <w:color w:themeColor="text1" w:val="000000"/>
          <w:kern w:val="0"/>
          <w:sz w:val="24"/>
        </w:rPr>
        <w:t xml:space="preserve">5.2 </w:t>
      </w:r>
      <w:r w:rsidRPr="00105C87">
        <w:rPr>
          <w:rFonts w:eastAsiaTheme="minorEastAsia"/>
          <w:b/>
          <w:color w:themeColor="text1" w:val="000000"/>
          <w:kern w:val="0"/>
          <w:sz w:val="24"/>
        </w:rPr>
        <w:t>报告期末按行业分类的股票投资组合</w:t>
      </w:r>
    </w:p>
    <w:p w:rsidP="008624F9" w:rsidR="008D2265" w:rsidRDefault="008D2265" w:rsidRPr="008D2265">
      <w:pPr>
        <w:autoSpaceDE w:val="0"/>
        <w:autoSpaceDN w:val="0"/>
        <w:adjustRightInd w:val="0"/>
        <w:spacing w:line="360" w:lineRule="auto"/>
        <w:jc w:val="left"/>
        <w:rPr>
          <w:rFonts w:eastAsiaTheme="minorEastAsia"/>
          <w:b/>
          <w:color w:themeColor="text1" w:val="000000"/>
          <w:kern w:val="0"/>
          <w:sz w:val="24"/>
        </w:rPr>
      </w:pPr>
      <w:r>
        <w:rPr>
          <w:rFonts w:eastAsiaTheme="minorEastAsia" w:hint="eastAsia"/>
          <w:b/>
          <w:color w:themeColor="text1" w:val="000000"/>
          <w:kern w:val="0"/>
          <w:sz w:val="24"/>
        </w:rPr>
        <w:t>5.2.1</w:t>
      </w:r>
      <w:r w:rsidRPr="008D2265">
        <w:rPr>
          <w:rFonts w:eastAsiaTheme="minorEastAsia" w:hint="eastAsia"/>
          <w:b/>
          <w:color w:themeColor="text1" w:val="000000"/>
          <w:kern w:val="0"/>
          <w:sz w:val="24"/>
        </w:rPr>
        <w:t>报告期末按行业分类的境内股票投资组合</w:t>
      </w:r>
    </w:p>
    <w:p w:rsidP="008624F9" w:rsidR="008624F9" w:rsidRDefault="008624F9" w:rsidRPr="00105C87">
      <w:pPr>
        <w:autoSpaceDE w:val="0"/>
        <w:autoSpaceDN w:val="0"/>
        <w:adjustRightInd w:val="0"/>
        <w:spacing w:line="360" w:lineRule="auto"/>
        <w:jc w:val="left"/>
        <w:rPr>
          <w:rFonts w:eastAsiaTheme="minorEastAsia"/>
          <w:b/>
          <w:color w:themeColor="text1"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105C87">
          <w:rPr>
            <w:rFonts w:eastAsiaTheme="minorEastAsia"/>
            <w:b/>
            <w:color w:themeColor="text1" w:val="000000"/>
            <w:kern w:val="0"/>
            <w:sz w:val="24"/>
          </w:rPr>
          <w:t>5.2.1</w:t>
        </w:r>
        <w:r w:rsidR="008D2265">
          <w:rPr>
            <w:rFonts w:eastAsiaTheme="minorEastAsia"/>
            <w:b/>
            <w:color w:themeColor="text1" w:val="000000"/>
            <w:kern w:val="0"/>
            <w:sz w:val="24"/>
          </w:rPr>
          <w:t>.1</w:t>
        </w:r>
      </w:smartTag>
      <w:r w:rsidRPr="00105C87">
        <w:rPr>
          <w:rFonts w:eastAsiaTheme="minorEastAsia"/>
          <w:b/>
          <w:color w:themeColor="text1" w:val="000000"/>
          <w:kern w:val="0"/>
          <w:sz w:val="24"/>
        </w:rPr>
        <w:t>积极投资按行业分类的股票投资组合</w:t>
      </w:r>
    </w:p>
    <w:tbl>
      <w:tblPr>
        <w:tblW w:type="dxa" w:w="8731"/>
        <w:tblInd w:type="dxa" w:w="1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624F9" w:rsidRPr="00105C87" w:rsidTr="006D2AB1">
        <w:trPr>
          <w:trHeight w:val="390"/>
        </w:trPr>
        <w:tc>
          <w:tcPr>
            <w:tcW w:type="dxa" w:w="540"/>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代码</w:t>
            </w: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行业类别</w:t>
            </w:r>
          </w:p>
        </w:tc>
        <w:tc>
          <w:tcPr>
            <w:tcW w:type="dxa" w:w="2852"/>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占基金资产净值比例（％）</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A</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农、林、牧、渔业</w:t>
            </w:r>
          </w:p>
        </w:tc>
        <w:tc>
          <w:tcPr>
            <w:tcW w:type="dxa" w:w="2852"/>
            <w:vAlign w:val="center"/>
          </w:tcPr>
          <w:p w:rsidP="002C4578" w:rsidR="008624F9" w:rsidRDefault="008624F9" w:rsidRPr="00105C87">
            <w:pPr>
              <w:autoSpaceDE w:val="0"/>
              <w:autoSpaceDN w:val="0"/>
              <w:adjustRightInd w:val="0"/>
              <w:spacing w:before="29" w:line="360" w:lineRule="auto"/>
              <w:ind w:left="15"/>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autoSpaceDE w:val="0"/>
              <w:autoSpaceDN w:val="0"/>
              <w:adjustRightInd w:val="0"/>
              <w:spacing w:before="29" w:line="360" w:lineRule="auto"/>
              <w:ind w:left="15"/>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B</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采矿业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C</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制造业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2,730,023,468.92</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13.88</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D</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电力、热力、燃气及水生产和供应业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12,766.32</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0.00</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E</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建筑业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F</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批发和零售业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r w:rsidRPr="00105C87">
              <w:rPr>
                <w:rFonts w:eastAsiaTheme="minorEastAsia"/>
                <w:color w:themeColor="text1" w:val="000000"/>
                <w:sz w:val="24"/>
              </w:rPr>
              <w:lastRenderedPageBreak/>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lastRenderedPageBreak/>
              <w:t>G</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交通运输、仓储和邮政业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311,206,788.60</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1.58</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H</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住宿和餐饮业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I</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信息传输、软件和信息技术服务业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190,731.77</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0.00</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J</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金融业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686,637,657.60</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3.49</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K</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房地产业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L</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租赁和商务服务业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M</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科学研究和技术服务业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N</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水利、环境和公共设施管理业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O</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居民服务、修理和其他服务业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r w:rsidRPr="00105C87">
              <w:rPr>
                <w:rFonts w:eastAsiaTheme="minorEastAsia"/>
                <w:color w:themeColor="text1" w:val="000000"/>
                <w:sz w:val="24"/>
              </w:rPr>
              <w:lastRenderedPageBreak/>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lastRenderedPageBreak/>
              <w:t/>
            </w:r>
            <w:r w:rsidRPr="00105C87">
              <w:rPr>
                <w:rFonts w:eastAsiaTheme="minorEastAsia"/>
                <w:color w:themeColor="text1" w:val="000000"/>
                <w:sz w:val="24"/>
              </w:rPr>
              <w:lastRenderedPageBreak/>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lastRenderedPageBreak/>
              <w:t>P</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教育</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Q</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卫生和社会工作</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R</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文化、体育和娱乐业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S</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综合</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合计</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3,728,071,413.21</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18.95</w:t>
            </w:r>
          </w:p>
        </w:tc>
      </w:tr>
    </w:tbl>
    <w:p w:rsidP="008624F9" w:rsidR="008624F9" w:rsidRDefault="008624F9" w:rsidRPr="00105C87">
      <w:pPr>
        <w:autoSpaceDE w:val="0"/>
        <w:autoSpaceDN w:val="0"/>
        <w:adjustRightInd w:val="0"/>
        <w:spacing w:line="360" w:lineRule="auto"/>
        <w:jc w:val="left"/>
        <w:rPr>
          <w:rFonts w:eastAsiaTheme="minorEastAsia"/>
          <w:b/>
          <w:color w:themeColor="text1" w:val="000000"/>
          <w:kern w:val="0"/>
          <w:sz w:val="24"/>
        </w:rPr>
      </w:pPr>
      <w:r w:rsidRPr="00105C87">
        <w:rPr>
          <w:rFonts w:eastAsiaTheme="minorEastAsia"/>
          <w:b/>
          <w:color w:themeColor="text1" w:val="000000"/>
          <w:kern w:val="0"/>
          <w:sz w:val="24"/>
        </w:rPr>
        <w:t>5.2.</w:t>
      </w:r>
      <w:r w:rsidR="008D2265">
        <w:rPr>
          <w:rFonts w:eastAsiaTheme="minorEastAsia"/>
          <w:b/>
          <w:color w:themeColor="text1" w:val="000000"/>
          <w:kern w:val="0"/>
          <w:sz w:val="24"/>
        </w:rPr>
        <w:t>1.</w:t>
      </w:r>
      <w:r w:rsidRPr="00105C87">
        <w:rPr>
          <w:rFonts w:eastAsiaTheme="minorEastAsia"/>
          <w:b/>
          <w:color w:themeColor="text1" w:val="000000"/>
          <w:kern w:val="0"/>
          <w:sz w:val="24"/>
        </w:rPr>
        <w:t>2</w:t>
      </w:r>
      <w:r w:rsidRPr="00105C87">
        <w:rPr>
          <w:rFonts w:eastAsiaTheme="minorEastAsia"/>
          <w:b/>
          <w:color w:themeColor="text1" w:val="000000"/>
          <w:kern w:val="0"/>
          <w:sz w:val="24"/>
        </w:rPr>
        <w:t>指数投资按行业分类的股票投资组合</w:t>
      </w:r>
    </w:p>
    <w:tbl>
      <w:tblPr>
        <w:tblW w:type="dxa" w:w="8731"/>
        <w:tblInd w:type="dxa" w:w="1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624F9" w:rsidRPr="00105C87" w:rsidTr="006D2AB1">
        <w:trPr>
          <w:trHeight w:val="390"/>
        </w:trPr>
        <w:tc>
          <w:tcPr>
            <w:tcW w:type="dxa" w:w="540"/>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代码</w:t>
            </w: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行业类别</w:t>
            </w:r>
          </w:p>
        </w:tc>
        <w:tc>
          <w:tcPr>
            <w:tcW w:type="dxa" w:w="2852"/>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占基金资产净值比例（％）</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A</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农、林、牧、渔业</w:t>
            </w:r>
          </w:p>
        </w:tc>
        <w:tc>
          <w:tcPr>
            <w:tcW w:type="dxa" w:w="2852"/>
            <w:vAlign w:val="center"/>
          </w:tcPr>
          <w:p w:rsidP="002C4578" w:rsidR="008624F9" w:rsidRDefault="008624F9" w:rsidRPr="00105C87">
            <w:pPr>
              <w:autoSpaceDE w:val="0"/>
              <w:autoSpaceDN w:val="0"/>
              <w:adjustRightInd w:val="0"/>
              <w:spacing w:before="29" w:line="360" w:lineRule="auto"/>
              <w:ind w:left="15"/>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autoSpaceDE w:val="0"/>
              <w:autoSpaceDN w:val="0"/>
              <w:adjustRightInd w:val="0"/>
              <w:spacing w:before="29" w:line="360" w:lineRule="auto"/>
              <w:ind w:left="15"/>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lastRenderedPageBreak/>
              <w:t>B</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采矿业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153,379,375.40</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0.78</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C</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制造业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7,811,616,191.65</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39.70</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D</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电力、热力、燃气及水生产和供应业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E</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建筑业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775,802,941.02</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3.94</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F</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批发和零售业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G</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交通运输、仓储和邮政业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73,337,974.00</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0.37</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H</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住宿和餐饮业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I</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信息传输、软件和信息技术服务业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J</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金融业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r w:rsidRPr="00105C87">
              <w:rPr>
                <w:rFonts w:eastAsiaTheme="minorEastAsia"/>
                <w:color w:themeColor="text1" w:val="000000"/>
                <w:sz w:val="24"/>
              </w:rPr>
              <w:lastRenderedPageBreak/>
              <w:t/>
            </w:r>
            <w:proofErr w:type="spellEnd"/>
            <w:r w:rsidRPr="00105C87">
              <w:rPr>
                <w:rFonts w:eastAsiaTheme="minorEastAsia"/>
                <w:color w:themeColor="text1" w:val="000000"/>
                <w:sz w:val="24"/>
              </w:rPr>
              <w:t>5,095,949,887.69</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lastRenderedPageBreak/>
              <w:t/>
            </w:r>
            <w:proofErr w:type="spellStart"/>
            <w:r w:rsidRPr="00105C87">
              <w:rPr>
                <w:rFonts w:eastAsiaTheme="minorEastAsia"/>
                <w:color w:themeColor="text1" w:val="000000"/>
                <w:sz w:val="24"/>
              </w:rPr>
              <w:t/>
            </w:r>
            <w:r w:rsidRPr="00105C87">
              <w:rPr>
                <w:rFonts w:eastAsiaTheme="minorEastAsia"/>
                <w:color w:themeColor="text1" w:val="000000"/>
                <w:sz w:val="24"/>
              </w:rPr>
              <w:lastRenderedPageBreak/>
              <w:t/>
            </w:r>
            <w:proofErr w:type="spellEnd"/>
            <w:r w:rsidRPr="00105C87">
              <w:rPr>
                <w:rFonts w:eastAsiaTheme="minorEastAsia"/>
                <w:color w:themeColor="text1" w:val="000000"/>
                <w:sz w:val="24"/>
              </w:rPr>
              <w:t>25.90</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lastRenderedPageBreak/>
              <w:t>K</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房地产业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262,251,693.86</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1.33</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L</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租赁和商务服务业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527,015,031.27</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2.68</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M</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科学研究和技术服务业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211,335,684.00</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1.07</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N</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水利、环境和公共设施管理业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O</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居民服务、修理和其他服务业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P</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教育</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Q</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卫生和社会工作</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R</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文化、体育和娱乐业</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r w:rsidRPr="00105C87">
              <w:rPr>
                <w:rFonts w:eastAsiaTheme="minorEastAsia"/>
                <w:color w:themeColor="text1" w:val="000000"/>
                <w:sz w:val="24"/>
              </w:rPr>
              <w:lastRenderedPageBreak/>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lastRenderedPageBreak/>
              <w:t/>
            </w:r>
            <w:proofErr w:type="spellStart"/>
            <w:r w:rsidRPr="00105C87">
              <w:rPr>
                <w:rFonts w:eastAsiaTheme="minorEastAsia"/>
                <w:color w:themeColor="text1" w:val="000000"/>
                <w:sz w:val="24"/>
              </w:rPr>
              <w:t/>
            </w:r>
            <w:r w:rsidRPr="00105C87">
              <w:rPr>
                <w:rFonts w:eastAsiaTheme="minorEastAsia"/>
                <w:color w:themeColor="text1" w:val="000000"/>
                <w:sz w:val="24"/>
              </w:rPr>
              <w:lastRenderedPageBreak/>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lastRenderedPageBreak/>
              <w:t>S</w:t>
            </w: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综合</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6D2AB1">
        <w:trPr>
          <w:trHeight w:val="285"/>
        </w:trPr>
        <w:tc>
          <w:tcPr>
            <w:tcW w:type="dxa" w:w="540"/>
            <w:tcMar>
              <w:top w:type="dxa" w:w="15"/>
              <w:left w:type="dxa" w:w="15"/>
              <w:bottom w:type="dxa" w:w="0"/>
              <w:right w:type="dxa" w:w="15"/>
            </w:tcMar>
            <w:vAlign w:val="center"/>
          </w:tcPr>
          <w:p w:rsidP="002C4578" w:rsidR="008624F9" w:rsidRDefault="008624F9" w:rsidRPr="00105C87">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2C4578"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合计</w:t>
            </w:r>
          </w:p>
        </w:tc>
        <w:tc>
          <w:tcPr>
            <w:tcW w:type="dxa" w:w="2852"/>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14,910,688,778.89</w:t>
            </w:r>
          </w:p>
        </w:tc>
        <w:tc>
          <w:tcPr>
            <w:tcW w:type="dxa" w:w="1648"/>
            <w:tcMar>
              <w:top w:type="dxa" w:w="15"/>
              <w:left w:type="dxa" w:w="15"/>
              <w:bottom w:type="dxa" w:w="0"/>
              <w:right w:type="dxa" w:w="15"/>
            </w:tcMar>
            <w:vAlign w:val="center"/>
          </w:tcPr>
          <w:p w:rsidP="002C4578"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75.78</w:t>
            </w:r>
          </w:p>
        </w:tc>
      </w:tr>
    </w:tbl>
    <w:p w:rsidP="00774C7D" w:rsidR="00774C7D" w:rsidRDefault="00774C7D"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5.3</w:t>
      </w:r>
      <w:r w:rsidRPr="007F456A">
        <w:rPr>
          <w:rFonts w:ascii="宋体" w:cs="Arial" w:hAnsi="宋体" w:hint="eastAsia"/>
          <w:b/>
          <w:color w:val="000000"/>
          <w:kern w:val="0"/>
          <w:sz w:val="24"/>
        </w:rPr>
        <w:t>报告期末按公允价值占基金资产净值比例大小排序的股票投资明细</w:t>
      </w:r>
    </w:p>
    <w:p w:rsidP="00774C7D" w:rsidR="00774C7D" w:rsidRDefault="00774C7D" w:rsidRPr="00045BEC">
      <w:pPr>
        <w:spacing w:line="360" w:lineRule="auto"/>
        <w:rPr>
          <w:rFonts w:ascii="宋体"/>
          <w:b/>
          <w:sz w:val="24"/>
        </w:rPr>
      </w:pPr>
      <w:r w:rsidRPr="00045BEC">
        <w:rPr>
          <w:rFonts w:ascii="宋体" w:cs="Arial" w:hAnsi="宋体"/>
          <w:b/>
          <w:color w:val="000000"/>
          <w:kern w:val="0"/>
          <w:sz w:val="24"/>
        </w:rPr>
        <w:t>5.3.1</w:t>
      </w:r>
      <w:r w:rsidRPr="00045BEC">
        <w:rPr>
          <w:rFonts w:ascii="宋体" w:cs="Arial" w:hAnsi="宋体" w:hint="eastAsia"/>
          <w:b/>
          <w:color w:val="000000"/>
          <w:kern w:val="0"/>
          <w:sz w:val="24"/>
        </w:rPr>
        <w:t>期末</w:t>
      </w:r>
      <w:r w:rsidRPr="00045BEC">
        <w:rPr>
          <w:rFonts w:ascii="宋体" w:hAnsi="宋体" w:hint="eastAsia"/>
          <w:b/>
          <w:sz w:val="24"/>
        </w:rPr>
        <w:t>指数投资按公允价值占基金资产净值比例大小排序的前十名股票投资明细</w:t>
      </w:r>
    </w:p>
    <w:tbl>
      <w:tblPr>
        <w:tblW w:type="dxa" w:w="8897"/>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559"/>
        <w:gridCol w:w="1843"/>
        <w:gridCol w:w="2268"/>
        <w:gridCol w:w="1134"/>
      </w:tblGrid>
      <w:tr w:rsidR="00774C7D" w:rsidRPr="00EC5CE0" w:rsidTr="002C4578">
        <w:tc>
          <w:tcPr>
            <w:tcW w:type="dxa" w:w="817"/>
            <w:vAlign w:val="center"/>
          </w:tcPr>
          <w:p w:rsidP="002C4578" w:rsidR="00774C7D" w:rsidRDefault="00774C7D" w:rsidRPr="00C1648E">
            <w:pPr>
              <w:spacing w:before="29" w:line="360" w:lineRule="auto"/>
              <w:ind w:left="17"/>
              <w:jc w:val="center"/>
              <w:rPr>
                <w:color w:val="000000"/>
                <w:sz w:val="24"/>
              </w:rPr>
            </w:pPr>
            <w:r w:rsidRPr="00C1648E">
              <w:rPr>
                <w:color w:val="000000"/>
                <w:sz w:val="24"/>
              </w:rPr>
              <w:t>序号</w:t>
            </w:r>
          </w:p>
        </w:tc>
        <w:tc>
          <w:tcPr>
            <w:tcW w:type="dxa" w:w="1276"/>
            <w:vAlign w:val="center"/>
          </w:tcPr>
          <w:p w:rsidP="002C4578" w:rsidR="00774C7D" w:rsidRDefault="00774C7D" w:rsidRPr="00C1648E">
            <w:pPr>
              <w:spacing w:before="29" w:line="360" w:lineRule="auto"/>
              <w:ind w:left="17"/>
              <w:jc w:val="center"/>
              <w:rPr>
                <w:color w:val="000000"/>
                <w:sz w:val="24"/>
              </w:rPr>
            </w:pPr>
            <w:r w:rsidRPr="00C1648E">
              <w:rPr>
                <w:color w:val="000000"/>
                <w:sz w:val="24"/>
              </w:rPr>
              <w:t>股票代码</w:t>
            </w:r>
          </w:p>
        </w:tc>
        <w:tc>
          <w:tcPr>
            <w:tcW w:type="dxa" w:w="1559"/>
            <w:vAlign w:val="center"/>
          </w:tcPr>
          <w:p w:rsidP="002C4578" w:rsidR="00774C7D" w:rsidRDefault="00774C7D" w:rsidRPr="00C1648E">
            <w:pPr>
              <w:spacing w:before="29" w:line="360" w:lineRule="auto"/>
              <w:ind w:left="17"/>
              <w:jc w:val="center"/>
              <w:rPr>
                <w:color w:val="000000"/>
                <w:sz w:val="24"/>
              </w:rPr>
            </w:pPr>
            <w:r w:rsidRPr="00C1648E">
              <w:rPr>
                <w:color w:val="000000"/>
                <w:sz w:val="24"/>
              </w:rPr>
              <w:t>股票名称</w:t>
            </w:r>
          </w:p>
        </w:tc>
        <w:tc>
          <w:tcPr>
            <w:tcW w:type="dxa" w:w="1843"/>
            <w:vAlign w:val="center"/>
          </w:tcPr>
          <w:p w:rsidP="002C4578" w:rsidR="00774C7D" w:rsidRDefault="00774C7D" w:rsidRPr="00C1648E">
            <w:pPr>
              <w:spacing w:before="29" w:line="360" w:lineRule="auto"/>
              <w:ind w:left="17"/>
              <w:jc w:val="center"/>
              <w:rPr>
                <w:color w:val="000000"/>
                <w:sz w:val="24"/>
              </w:rPr>
            </w:pPr>
            <w:r w:rsidRPr="00C1648E">
              <w:rPr>
                <w:color w:val="000000"/>
                <w:sz w:val="24"/>
              </w:rPr>
              <w:t>数量（股）</w:t>
            </w:r>
          </w:p>
        </w:tc>
        <w:tc>
          <w:tcPr>
            <w:tcW w:type="dxa" w:w="2268"/>
            <w:vAlign w:val="center"/>
          </w:tcPr>
          <w:p w:rsidP="002C4578" w:rsidR="00774C7D" w:rsidRDefault="00774C7D" w:rsidRPr="00C1648E">
            <w:pPr>
              <w:autoSpaceDE w:val="0"/>
              <w:autoSpaceDN w:val="0"/>
              <w:adjustRightInd w:val="0"/>
              <w:spacing w:before="29" w:line="360" w:lineRule="auto"/>
              <w:ind w:left="17"/>
              <w:jc w:val="center"/>
              <w:rPr>
                <w:color w:val="000000"/>
                <w:sz w:val="24"/>
              </w:rPr>
            </w:pPr>
            <w:r w:rsidRPr="00C1648E">
              <w:rPr>
                <w:color w:val="000000"/>
                <w:sz w:val="24"/>
              </w:rPr>
              <w:t>公允价值（元）</w:t>
            </w:r>
          </w:p>
        </w:tc>
        <w:tc>
          <w:tcPr>
            <w:tcW w:type="dxa" w:w="1134"/>
            <w:vAlign w:val="center"/>
          </w:tcPr>
          <w:p w:rsidP="002C4578" w:rsidR="00774C7D" w:rsidRDefault="00774C7D" w:rsidRPr="00C1648E">
            <w:pPr>
              <w:spacing w:before="29" w:line="360" w:lineRule="auto"/>
              <w:ind w:left="17"/>
              <w:jc w:val="center"/>
              <w:rPr>
                <w:color w:val="000000"/>
                <w:sz w:val="24"/>
              </w:rPr>
            </w:pPr>
            <w:r w:rsidRPr="00C1648E">
              <w:rPr>
                <w:color w:val="000000"/>
                <w:sz w:val="24"/>
              </w:rPr>
              <w:t>占基金资产净值比例</w:t>
            </w:r>
            <w:r w:rsidRPr="00C1648E">
              <w:rPr>
                <w:color w:val="000000"/>
                <w:sz w:val="24"/>
              </w:rPr>
              <w:t>(</w:t>
            </w:r>
            <w:r w:rsidRPr="00C1648E">
              <w:rPr>
                <w:color w:val="000000"/>
                <w:sz w:val="24"/>
              </w:rPr>
              <w:t>％</w:t>
            </w:r>
            <w:r w:rsidRPr="00C1648E">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600519</w:t>
            </w:r>
          </w:p>
        </w:tc>
        <w:tc>
          <w:tcPr>
            <w:vAlign w:val="center"/>
          </w:tcPr>
          <w:p>
            <w:pPr>
              <w:jc w:val="center"/>
            </w:pPr>
            <w:r>
              <w:rPr>
                <w:color w:val="000000"/>
                <w:sz w:val="24"/>
              </w:rPr>
              <w:t>贵州茅台</w:t>
            </w:r>
          </w:p>
        </w:tc>
        <w:tc>
          <w:tcPr>
            <w:vAlign w:val="center"/>
          </w:tcPr>
          <w:p>
            <w:pPr>
              <w:jc w:val="right"/>
            </w:pPr>
            <w:r>
              <w:rPr>
                <w:color w:val="000000"/>
                <w:sz w:val="24"/>
              </w:rPr>
              <w:t>1,687,535</w:t>
            </w:r>
          </w:p>
        </w:tc>
        <w:tc>
          <w:tcPr>
            <w:vAlign w:val="center"/>
          </w:tcPr>
          <w:p>
            <w:pPr>
              <w:jc w:val="right"/>
            </w:pPr>
            <w:r>
              <w:rPr>
                <w:color w:val="000000"/>
                <w:sz w:val="24"/>
              </w:rPr>
              <w:t>2,468,661,200.80</w:t>
            </w:r>
          </w:p>
        </w:tc>
        <w:tc>
          <w:tcPr>
            <w:vAlign w:val="center"/>
          </w:tcPr>
          <w:p>
            <w:pPr>
              <w:jc w:val="right"/>
            </w:pPr>
            <w:r>
              <w:rPr>
                <w:color w:val="000000"/>
                <w:sz w:val="24"/>
              </w:rPr>
              <w:t>12.55</w:t>
            </w:r>
          </w:p>
        </w:tc>
      </w:tr>
      <w:tr>
        <w:tc>
          <w:tcPr>
            <w:vAlign w:val="center"/>
          </w:tcPr>
          <w:p>
            <w:pPr>
              <w:jc w:val="center"/>
            </w:pPr>
            <w:r>
              <w:rPr>
                <w:color w:val="000000"/>
                <w:sz w:val="24"/>
              </w:rPr>
              <w:t>2</w:t>
            </w:r>
          </w:p>
        </w:tc>
        <w:tc>
          <w:tcPr>
            <w:vAlign w:val="center"/>
          </w:tcPr>
          <w:p>
            <w:pPr>
              <w:jc w:val="center"/>
            </w:pPr>
            <w:r>
              <w:rPr>
                <w:color w:val="000000"/>
                <w:sz w:val="24"/>
              </w:rPr>
              <w:t>601318</w:t>
            </w:r>
          </w:p>
        </w:tc>
        <w:tc>
          <w:tcPr>
            <w:vAlign w:val="center"/>
          </w:tcPr>
          <w:p>
            <w:pPr>
              <w:jc w:val="center"/>
            </w:pPr>
            <w:r>
              <w:rPr>
                <w:color w:val="000000"/>
                <w:sz w:val="24"/>
              </w:rPr>
              <w:t>中国平安</w:t>
            </w:r>
          </w:p>
        </w:tc>
        <w:tc>
          <w:tcPr>
            <w:vAlign w:val="center"/>
          </w:tcPr>
          <w:p>
            <w:pPr>
              <w:jc w:val="right"/>
            </w:pPr>
            <w:r>
              <w:rPr>
                <w:color w:val="000000"/>
                <w:sz w:val="24"/>
              </w:rPr>
              <w:t>32,678,724</w:t>
            </w:r>
          </w:p>
        </w:tc>
        <w:tc>
          <w:tcPr>
            <w:vAlign w:val="center"/>
          </w:tcPr>
          <w:p>
            <w:pPr>
              <w:jc w:val="right"/>
            </w:pPr>
            <w:r>
              <w:rPr>
                <w:color w:val="000000"/>
                <w:sz w:val="24"/>
              </w:rPr>
              <w:t>2,333,260,893.60</w:t>
            </w:r>
          </w:p>
        </w:tc>
        <w:tc>
          <w:tcPr>
            <w:vAlign w:val="center"/>
          </w:tcPr>
          <w:p>
            <w:pPr>
              <w:jc w:val="right"/>
            </w:pPr>
            <w:r>
              <w:rPr>
                <w:color w:val="000000"/>
                <w:sz w:val="24"/>
              </w:rPr>
              <w:t>11.86</w:t>
            </w:r>
          </w:p>
        </w:tc>
      </w:tr>
      <w:tr>
        <w:tc>
          <w:tcPr>
            <w:vAlign w:val="center"/>
          </w:tcPr>
          <w:p>
            <w:pPr>
              <w:jc w:val="center"/>
            </w:pPr>
            <w:r>
              <w:rPr>
                <w:color w:val="000000"/>
                <w:sz w:val="24"/>
              </w:rPr>
              <w:t>3</w:t>
            </w:r>
          </w:p>
        </w:tc>
        <w:tc>
          <w:tcPr>
            <w:vAlign w:val="center"/>
          </w:tcPr>
          <w:p>
            <w:pPr>
              <w:jc w:val="center"/>
            </w:pPr>
            <w:r>
              <w:rPr>
                <w:color w:val="000000"/>
                <w:sz w:val="24"/>
              </w:rPr>
              <w:t>600276</w:t>
            </w:r>
          </w:p>
        </w:tc>
        <w:tc>
          <w:tcPr>
            <w:vAlign w:val="center"/>
          </w:tcPr>
          <w:p>
            <w:pPr>
              <w:jc w:val="center"/>
            </w:pPr>
            <w:r>
              <w:rPr>
                <w:color w:val="000000"/>
                <w:sz w:val="24"/>
              </w:rPr>
              <w:t>恒瑞医药</w:t>
            </w:r>
          </w:p>
        </w:tc>
        <w:tc>
          <w:tcPr>
            <w:vAlign w:val="center"/>
          </w:tcPr>
          <w:p>
            <w:pPr>
              <w:jc w:val="right"/>
            </w:pPr>
            <w:r>
              <w:rPr>
                <w:color w:val="000000"/>
                <w:sz w:val="24"/>
              </w:rPr>
              <w:t>20,870,768</w:t>
            </w:r>
          </w:p>
        </w:tc>
        <w:tc>
          <w:tcPr>
            <w:vAlign w:val="center"/>
          </w:tcPr>
          <w:p>
            <w:pPr>
              <w:jc w:val="right"/>
            </w:pPr>
            <w:r>
              <w:rPr>
                <w:color w:val="000000"/>
                <w:sz w:val="24"/>
              </w:rPr>
              <w:t>1,926,371,886.40</w:t>
            </w:r>
          </w:p>
        </w:tc>
        <w:tc>
          <w:tcPr>
            <w:vAlign w:val="center"/>
          </w:tcPr>
          <w:p>
            <w:pPr>
              <w:jc w:val="right"/>
            </w:pPr>
            <w:r>
              <w:rPr>
                <w:color w:val="000000"/>
                <w:sz w:val="24"/>
              </w:rPr>
              <w:t>9.79</w:t>
            </w:r>
          </w:p>
        </w:tc>
      </w:tr>
      <w:tr>
        <w:tc>
          <w:tcPr>
            <w:vAlign w:val="center"/>
          </w:tcPr>
          <w:p>
            <w:pPr>
              <w:jc w:val="center"/>
            </w:pPr>
            <w:r>
              <w:rPr>
                <w:color w:val="000000"/>
                <w:sz w:val="24"/>
              </w:rPr>
              <w:t>4</w:t>
            </w:r>
          </w:p>
        </w:tc>
        <w:tc>
          <w:tcPr>
            <w:vAlign w:val="center"/>
          </w:tcPr>
          <w:p>
            <w:pPr>
              <w:jc w:val="center"/>
            </w:pPr>
            <w:r>
              <w:rPr>
                <w:color w:val="000000"/>
                <w:sz w:val="24"/>
              </w:rPr>
              <w:t>600036</w:t>
            </w:r>
          </w:p>
        </w:tc>
        <w:tc>
          <w:tcPr>
            <w:vAlign w:val="center"/>
          </w:tcPr>
          <w:p>
            <w:pPr>
              <w:jc w:val="center"/>
            </w:pPr>
            <w:r>
              <w:rPr>
                <w:color w:val="000000"/>
                <w:sz w:val="24"/>
              </w:rPr>
              <w:t>招商银行</w:t>
            </w:r>
          </w:p>
        </w:tc>
        <w:tc>
          <w:tcPr>
            <w:vAlign w:val="center"/>
          </w:tcPr>
          <w:p>
            <w:pPr>
              <w:jc w:val="right"/>
            </w:pPr>
            <w:r>
              <w:rPr>
                <w:color w:val="000000"/>
                <w:sz w:val="24"/>
              </w:rPr>
              <w:t>54,702,045</w:t>
            </w:r>
          </w:p>
        </w:tc>
        <w:tc>
          <w:tcPr>
            <w:vAlign w:val="center"/>
          </w:tcPr>
          <w:p>
            <w:pPr>
              <w:jc w:val="right"/>
            </w:pPr>
            <w:r>
              <w:rPr>
                <w:color w:val="000000"/>
                <w:sz w:val="24"/>
              </w:rPr>
              <w:t>1,844,552,957.40</w:t>
            </w:r>
          </w:p>
        </w:tc>
        <w:tc>
          <w:tcPr>
            <w:vAlign w:val="center"/>
          </w:tcPr>
          <w:p>
            <w:pPr>
              <w:jc w:val="right"/>
            </w:pPr>
            <w:r>
              <w:rPr>
                <w:color w:val="000000"/>
                <w:sz w:val="24"/>
              </w:rPr>
              <w:t>9.37</w:t>
            </w:r>
          </w:p>
        </w:tc>
      </w:tr>
      <w:tr>
        <w:tc>
          <w:tcPr>
            <w:vAlign w:val="center"/>
          </w:tcPr>
          <w:p>
            <w:pPr>
              <w:jc w:val="center"/>
            </w:pPr>
            <w:r>
              <w:rPr>
                <w:color w:val="000000"/>
                <w:sz w:val="24"/>
              </w:rPr>
              <w:t>5</w:t>
            </w:r>
          </w:p>
        </w:tc>
        <w:tc>
          <w:tcPr>
            <w:vAlign w:val="center"/>
          </w:tcPr>
          <w:p>
            <w:pPr>
              <w:jc w:val="center"/>
            </w:pPr>
            <w:r>
              <w:rPr>
                <w:color w:val="000000"/>
                <w:sz w:val="24"/>
              </w:rPr>
              <w:t>600887</w:t>
            </w:r>
          </w:p>
        </w:tc>
        <w:tc>
          <w:tcPr>
            <w:vAlign w:val="center"/>
          </w:tcPr>
          <w:p>
            <w:pPr>
              <w:jc w:val="center"/>
            </w:pPr>
            <w:r>
              <w:rPr>
                <w:color w:val="000000"/>
                <w:sz w:val="24"/>
              </w:rPr>
              <w:t>伊利股份</w:t>
            </w:r>
          </w:p>
        </w:tc>
        <w:tc>
          <w:tcPr>
            <w:vAlign w:val="center"/>
          </w:tcPr>
          <w:p>
            <w:pPr>
              <w:jc w:val="right"/>
            </w:pPr>
            <w:r>
              <w:rPr>
                <w:color w:val="000000"/>
                <w:sz w:val="24"/>
              </w:rPr>
              <w:t>59,052,480</w:t>
            </w:r>
          </w:p>
        </w:tc>
        <w:tc>
          <w:tcPr>
            <w:vAlign w:val="center"/>
          </w:tcPr>
          <w:p>
            <w:pPr>
              <w:jc w:val="right"/>
            </w:pPr>
            <w:r>
              <w:rPr>
                <w:color w:val="000000"/>
                <w:sz w:val="24"/>
              </w:rPr>
              <w:t>1,838,303,702.40</w:t>
            </w:r>
          </w:p>
        </w:tc>
        <w:tc>
          <w:tcPr>
            <w:vAlign w:val="center"/>
          </w:tcPr>
          <w:p>
            <w:pPr>
              <w:jc w:val="right"/>
            </w:pPr>
            <w:r>
              <w:rPr>
                <w:color w:val="000000"/>
                <w:sz w:val="24"/>
              </w:rPr>
              <w:t>9.34</w:t>
            </w:r>
          </w:p>
        </w:tc>
      </w:tr>
      <w:tr>
        <w:tc>
          <w:tcPr>
            <w:vAlign w:val="center"/>
          </w:tcPr>
          <w:p>
            <w:pPr>
              <w:jc w:val="center"/>
            </w:pPr>
            <w:r>
              <w:rPr>
                <w:color w:val="000000"/>
                <w:sz w:val="24"/>
              </w:rPr>
              <w:t>6</w:t>
            </w:r>
          </w:p>
        </w:tc>
        <w:tc>
          <w:tcPr>
            <w:vAlign w:val="center"/>
          </w:tcPr>
          <w:p>
            <w:pPr>
              <w:jc w:val="center"/>
            </w:pPr>
            <w:r>
              <w:rPr>
                <w:color w:val="000000"/>
                <w:sz w:val="24"/>
              </w:rPr>
              <w:t>601668</w:t>
            </w:r>
          </w:p>
        </w:tc>
        <w:tc>
          <w:tcPr>
            <w:vAlign w:val="center"/>
          </w:tcPr>
          <w:p>
            <w:pPr>
              <w:jc w:val="center"/>
            </w:pPr>
            <w:r>
              <w:rPr>
                <w:color w:val="000000"/>
                <w:sz w:val="24"/>
              </w:rPr>
              <w:t>中国建筑</w:t>
            </w:r>
          </w:p>
        </w:tc>
        <w:tc>
          <w:tcPr>
            <w:vAlign w:val="center"/>
          </w:tcPr>
          <w:p>
            <w:pPr>
              <w:jc w:val="right"/>
            </w:pPr>
            <w:r>
              <w:rPr>
                <w:color w:val="000000"/>
                <w:sz w:val="24"/>
              </w:rPr>
              <w:t>162,642,126</w:t>
            </w:r>
          </w:p>
        </w:tc>
        <w:tc>
          <w:tcPr>
            <w:vAlign w:val="center"/>
          </w:tcPr>
          <w:p>
            <w:pPr>
              <w:jc w:val="right"/>
            </w:pPr>
            <w:r>
              <w:rPr>
                <w:color w:val="000000"/>
                <w:sz w:val="24"/>
              </w:rPr>
              <w:t>775,802,941.02</w:t>
            </w:r>
          </w:p>
        </w:tc>
        <w:tc>
          <w:tcPr>
            <w:vAlign w:val="center"/>
          </w:tcPr>
          <w:p>
            <w:pPr>
              <w:jc w:val="right"/>
            </w:pPr>
            <w:r>
              <w:rPr>
                <w:color w:val="000000"/>
                <w:sz w:val="24"/>
              </w:rPr>
              <w:t>3.94</w:t>
            </w:r>
          </w:p>
        </w:tc>
      </w:tr>
      <w:tr>
        <w:tc>
          <w:tcPr>
            <w:vAlign w:val="center"/>
          </w:tcPr>
          <w:p>
            <w:pPr>
              <w:jc w:val="center"/>
            </w:pPr>
            <w:r>
              <w:rPr>
                <w:color w:val="000000"/>
                <w:sz w:val="24"/>
              </w:rPr>
              <w:t>7</w:t>
            </w:r>
          </w:p>
        </w:tc>
        <w:tc>
          <w:tcPr>
            <w:vAlign w:val="center"/>
          </w:tcPr>
          <w:p>
            <w:pPr>
              <w:jc w:val="center"/>
            </w:pPr>
            <w:r>
              <w:rPr>
                <w:color w:val="000000"/>
                <w:sz w:val="24"/>
              </w:rPr>
              <w:t>601166</w:t>
            </w:r>
          </w:p>
        </w:tc>
        <w:tc>
          <w:tcPr>
            <w:vAlign w:val="center"/>
          </w:tcPr>
          <w:p>
            <w:pPr>
              <w:jc w:val="center"/>
            </w:pPr>
            <w:r>
              <w:rPr>
                <w:color w:val="000000"/>
                <w:sz w:val="24"/>
              </w:rPr>
              <w:t>兴业银行</w:t>
            </w:r>
          </w:p>
        </w:tc>
        <w:tc>
          <w:tcPr>
            <w:vAlign w:val="center"/>
          </w:tcPr>
          <w:p>
            <w:pPr>
              <w:jc w:val="right"/>
            </w:pPr>
            <w:r>
              <w:rPr>
                <w:color w:val="000000"/>
                <w:sz w:val="24"/>
              </w:rPr>
              <w:t>39,055,735</w:t>
            </w:r>
          </w:p>
        </w:tc>
        <w:tc>
          <w:tcPr>
            <w:vAlign w:val="center"/>
          </w:tcPr>
          <w:p>
            <w:pPr>
              <w:jc w:val="right"/>
            </w:pPr>
            <w:r>
              <w:rPr>
                <w:color w:val="000000"/>
                <w:sz w:val="24"/>
              </w:rPr>
              <w:t>616,299,498.30</w:t>
            </w:r>
          </w:p>
        </w:tc>
        <w:tc>
          <w:tcPr>
            <w:vAlign w:val="center"/>
          </w:tcPr>
          <w:p>
            <w:pPr>
              <w:jc w:val="right"/>
            </w:pPr>
            <w:r>
              <w:rPr>
                <w:color w:val="000000"/>
                <w:sz w:val="24"/>
              </w:rPr>
              <w:t>3.13</w:t>
            </w:r>
          </w:p>
        </w:tc>
      </w:tr>
      <w:tr>
        <w:tc>
          <w:tcPr>
            <w:vAlign w:val="center"/>
          </w:tcPr>
          <w:p>
            <w:pPr>
              <w:jc w:val="center"/>
            </w:pPr>
            <w:r>
              <w:rPr>
                <w:color w:val="000000"/>
                <w:sz w:val="24"/>
              </w:rPr>
              <w:t>8</w:t>
            </w:r>
          </w:p>
        </w:tc>
        <w:tc>
          <w:tcPr>
            <w:vAlign w:val="center"/>
          </w:tcPr>
          <w:p>
            <w:pPr>
              <w:jc w:val="center"/>
            </w:pPr>
            <w:r>
              <w:rPr>
                <w:color w:val="000000"/>
                <w:sz w:val="24"/>
              </w:rPr>
              <w:t>601888</w:t>
            </w:r>
          </w:p>
        </w:tc>
        <w:tc>
          <w:tcPr>
            <w:vAlign w:val="center"/>
          </w:tcPr>
          <w:p>
            <w:pPr>
              <w:jc w:val="center"/>
            </w:pPr>
            <w:r>
              <w:rPr>
                <w:color w:val="000000"/>
                <w:sz w:val="24"/>
              </w:rPr>
              <w:t>中国中免</w:t>
            </w:r>
          </w:p>
        </w:tc>
        <w:tc>
          <w:tcPr>
            <w:vAlign w:val="center"/>
          </w:tcPr>
          <w:p>
            <w:pPr>
              <w:jc w:val="right"/>
            </w:pPr>
            <w:r>
              <w:rPr>
                <w:color w:val="000000"/>
                <w:sz w:val="24"/>
              </w:rPr>
              <w:t>3,421,509</w:t>
            </w:r>
          </w:p>
        </w:tc>
        <w:tc>
          <w:tcPr>
            <w:vAlign w:val="center"/>
          </w:tcPr>
          <w:p>
            <w:pPr>
              <w:jc w:val="right"/>
            </w:pPr>
            <w:r>
              <w:rPr>
                <w:color w:val="000000"/>
                <w:sz w:val="24"/>
              </w:rPr>
              <w:t>527,015,031.27</w:t>
            </w:r>
          </w:p>
        </w:tc>
        <w:tc>
          <w:tcPr>
            <w:vAlign w:val="center"/>
          </w:tcPr>
          <w:p>
            <w:pPr>
              <w:jc w:val="right"/>
            </w:pPr>
            <w:r>
              <w:rPr>
                <w:color w:val="000000"/>
                <w:sz w:val="24"/>
              </w:rPr>
              <w:t>2.68</w:t>
            </w:r>
          </w:p>
        </w:tc>
      </w:tr>
      <w:tr>
        <w:tc>
          <w:tcPr>
            <w:vAlign w:val="center"/>
          </w:tcPr>
          <w:p>
            <w:pPr>
              <w:jc w:val="center"/>
            </w:pPr>
            <w:r>
              <w:rPr>
                <w:color w:val="000000"/>
                <w:sz w:val="24"/>
              </w:rPr>
              <w:t>9</w:t>
            </w:r>
          </w:p>
        </w:tc>
        <w:tc>
          <w:tcPr>
            <w:vAlign w:val="center"/>
          </w:tcPr>
          <w:p>
            <w:pPr>
              <w:jc w:val="center"/>
            </w:pPr>
            <w:r>
              <w:rPr>
                <w:color w:val="000000"/>
                <w:sz w:val="24"/>
              </w:rPr>
              <w:t>600031</w:t>
            </w:r>
          </w:p>
        </w:tc>
        <w:tc>
          <w:tcPr>
            <w:vAlign w:val="center"/>
          </w:tcPr>
          <w:p>
            <w:pPr>
              <w:jc w:val="center"/>
            </w:pPr>
            <w:r>
              <w:rPr>
                <w:color w:val="000000"/>
                <w:sz w:val="24"/>
              </w:rPr>
              <w:t>三一重工</w:t>
            </w:r>
          </w:p>
        </w:tc>
        <w:tc>
          <w:tcPr>
            <w:vAlign w:val="center"/>
          </w:tcPr>
          <w:p>
            <w:pPr>
              <w:jc w:val="right"/>
            </w:pPr>
            <w:r>
              <w:rPr>
                <w:color w:val="000000"/>
                <w:sz w:val="24"/>
              </w:rPr>
              <w:t>25,599,402</w:t>
            </w:r>
          </w:p>
        </w:tc>
        <w:tc>
          <w:tcPr>
            <w:vAlign w:val="center"/>
          </w:tcPr>
          <w:p>
            <w:pPr>
              <w:jc w:val="right"/>
            </w:pPr>
            <w:r>
              <w:rPr>
                <w:color w:val="000000"/>
                <w:sz w:val="24"/>
              </w:rPr>
              <w:t>480,244,781.52</w:t>
            </w:r>
          </w:p>
        </w:tc>
        <w:tc>
          <w:tcPr>
            <w:vAlign w:val="center"/>
          </w:tcPr>
          <w:p>
            <w:pPr>
              <w:jc w:val="right"/>
            </w:pPr>
            <w:r>
              <w:rPr>
                <w:color w:val="000000"/>
                <w:sz w:val="24"/>
              </w:rPr>
              <w:t>2.44</w:t>
            </w:r>
          </w:p>
        </w:tc>
      </w:tr>
      <w:tr>
        <w:tc>
          <w:tcPr>
            <w:vAlign w:val="center"/>
          </w:tcPr>
          <w:p>
            <w:pPr>
              <w:jc w:val="center"/>
            </w:pPr>
            <w:r>
              <w:rPr>
                <w:color w:val="000000"/>
                <w:sz w:val="24"/>
              </w:rPr>
              <w:t>10</w:t>
            </w:r>
          </w:p>
        </w:tc>
        <w:tc>
          <w:tcPr>
            <w:vAlign w:val="center"/>
          </w:tcPr>
          <w:p>
            <w:pPr>
              <w:jc w:val="center"/>
            </w:pPr>
            <w:r>
              <w:rPr>
                <w:color w:val="000000"/>
                <w:sz w:val="24"/>
              </w:rPr>
              <w:t>601012</w:t>
            </w:r>
          </w:p>
        </w:tc>
        <w:tc>
          <w:tcPr>
            <w:vAlign w:val="center"/>
          </w:tcPr>
          <w:p>
            <w:pPr>
              <w:jc w:val="center"/>
            </w:pPr>
            <w:r>
              <w:rPr>
                <w:color w:val="000000"/>
                <w:sz w:val="24"/>
              </w:rPr>
              <w:t>隆基股份</w:t>
            </w:r>
          </w:p>
        </w:tc>
        <w:tc>
          <w:tcPr>
            <w:vAlign w:val="center"/>
          </w:tcPr>
          <w:p>
            <w:pPr>
              <w:jc w:val="right"/>
            </w:pPr>
            <w:r>
              <w:rPr>
                <w:color w:val="000000"/>
                <w:sz w:val="24"/>
              </w:rPr>
              <w:t>9,199,872</w:t>
            </w:r>
          </w:p>
        </w:tc>
        <w:tc>
          <w:tcPr>
            <w:vAlign w:val="center"/>
          </w:tcPr>
          <w:p>
            <w:pPr>
              <w:jc w:val="right"/>
            </w:pPr>
            <w:r>
              <w:rPr>
                <w:color w:val="000000"/>
                <w:sz w:val="24"/>
              </w:rPr>
              <w:t>374,710,786.56</w:t>
            </w:r>
          </w:p>
        </w:tc>
        <w:tc>
          <w:tcPr>
            <w:vAlign w:val="center"/>
          </w:tcPr>
          <w:p>
            <w:pPr>
              <w:jc w:val="right"/>
            </w:pPr>
            <w:r>
              <w:rPr>
                <w:color w:val="000000"/>
                <w:sz w:val="24"/>
              </w:rPr>
              <w:t>1.90</w:t>
            </w:r>
          </w:p>
        </w:tc>
      </w:tr>
    </w:tbl>
    <w:p w:rsidP="00774C7D" w:rsidR="00774C7D" w:rsidRDefault="00774C7D" w:rsidRPr="00045BEC">
      <w:pPr>
        <w:spacing w:line="360" w:lineRule="auto"/>
        <w:rPr>
          <w:rFonts w:ascii="宋体"/>
          <w:b/>
          <w:sz w:val="24"/>
        </w:rPr>
      </w:pPr>
      <w:r w:rsidRPr="00045BEC">
        <w:rPr>
          <w:rFonts w:ascii="宋体" w:cs="Arial" w:hAnsi="宋体"/>
          <w:b/>
          <w:color w:val="000000"/>
          <w:kern w:val="0"/>
          <w:sz w:val="24"/>
        </w:rPr>
        <w:t>5.3.2</w:t>
      </w:r>
      <w:r w:rsidRPr="00045BEC">
        <w:rPr>
          <w:rFonts w:ascii="宋体" w:cs="Arial" w:hAnsi="宋体" w:hint="eastAsia"/>
          <w:b/>
          <w:color w:val="000000"/>
          <w:kern w:val="0"/>
          <w:sz w:val="24"/>
        </w:rPr>
        <w:t>期末</w:t>
      </w:r>
      <w:r w:rsidRPr="00045BEC">
        <w:rPr>
          <w:rFonts w:ascii="宋体" w:hAnsi="宋体" w:hint="eastAsia"/>
          <w:b/>
          <w:sz w:val="24"/>
        </w:rPr>
        <w:t>积极投资按公允价值占基金资产净值比例大小排序的前五名股票投资明细</w:t>
      </w:r>
    </w:p>
    <w:tbl>
      <w:tblPr>
        <w:tblW w:type="dxa" w:w="8897"/>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701"/>
        <w:gridCol w:w="1843"/>
        <w:gridCol w:w="2126"/>
        <w:gridCol w:w="1134"/>
      </w:tblGrid>
      <w:tr w:rsidR="00774C7D" w:rsidRPr="00EC5CE0" w:rsidTr="002C4578">
        <w:tc>
          <w:tcPr>
            <w:tcW w:type="dxa" w:w="817"/>
            <w:vAlign w:val="center"/>
          </w:tcPr>
          <w:p w:rsidP="002C4578" w:rsidR="00774C7D" w:rsidRDefault="00774C7D" w:rsidRPr="00C1648E">
            <w:pPr>
              <w:spacing w:before="29" w:line="360" w:lineRule="auto"/>
              <w:ind w:left="17"/>
              <w:jc w:val="center"/>
              <w:rPr>
                <w:color w:val="000000"/>
                <w:sz w:val="24"/>
              </w:rPr>
            </w:pPr>
            <w:r w:rsidRPr="00C1648E">
              <w:rPr>
                <w:color w:val="000000"/>
                <w:sz w:val="24"/>
              </w:rPr>
              <w:t>序号</w:t>
            </w:r>
          </w:p>
        </w:tc>
        <w:tc>
          <w:tcPr>
            <w:tcW w:type="dxa" w:w="1276"/>
            <w:vAlign w:val="center"/>
          </w:tcPr>
          <w:p w:rsidP="002C4578" w:rsidR="00774C7D" w:rsidRDefault="00774C7D" w:rsidRPr="00C1648E">
            <w:pPr>
              <w:spacing w:before="29" w:line="360" w:lineRule="auto"/>
              <w:ind w:left="17"/>
              <w:jc w:val="center"/>
              <w:rPr>
                <w:color w:val="000000"/>
                <w:sz w:val="24"/>
              </w:rPr>
            </w:pPr>
            <w:r w:rsidRPr="00C1648E">
              <w:rPr>
                <w:color w:val="000000"/>
                <w:sz w:val="24"/>
              </w:rPr>
              <w:t>股票代码</w:t>
            </w:r>
          </w:p>
        </w:tc>
        <w:tc>
          <w:tcPr>
            <w:tcW w:type="dxa" w:w="1701"/>
            <w:vAlign w:val="center"/>
          </w:tcPr>
          <w:p w:rsidP="002C4578" w:rsidR="00774C7D" w:rsidRDefault="00774C7D" w:rsidRPr="00C1648E">
            <w:pPr>
              <w:spacing w:before="29" w:line="360" w:lineRule="auto"/>
              <w:ind w:left="17"/>
              <w:jc w:val="center"/>
              <w:rPr>
                <w:color w:val="000000"/>
                <w:sz w:val="24"/>
              </w:rPr>
            </w:pPr>
            <w:r w:rsidRPr="00C1648E">
              <w:rPr>
                <w:color w:val="000000"/>
                <w:sz w:val="24"/>
              </w:rPr>
              <w:t>股票名称</w:t>
            </w:r>
          </w:p>
        </w:tc>
        <w:tc>
          <w:tcPr>
            <w:tcW w:type="dxa" w:w="1843"/>
            <w:vAlign w:val="center"/>
          </w:tcPr>
          <w:p w:rsidP="002C4578" w:rsidR="00774C7D" w:rsidRDefault="00774C7D" w:rsidRPr="00C1648E">
            <w:pPr>
              <w:spacing w:before="29" w:line="360" w:lineRule="auto"/>
              <w:ind w:left="17"/>
              <w:jc w:val="center"/>
              <w:rPr>
                <w:color w:val="000000"/>
                <w:sz w:val="24"/>
              </w:rPr>
            </w:pPr>
            <w:r w:rsidRPr="00C1648E">
              <w:rPr>
                <w:color w:val="000000"/>
                <w:sz w:val="24"/>
              </w:rPr>
              <w:t>数量（股）</w:t>
            </w:r>
          </w:p>
        </w:tc>
        <w:tc>
          <w:tcPr>
            <w:tcW w:type="dxa" w:w="2126"/>
            <w:vAlign w:val="center"/>
          </w:tcPr>
          <w:p w:rsidP="002C4578" w:rsidR="00774C7D" w:rsidRDefault="00774C7D" w:rsidRPr="00C1648E">
            <w:pPr>
              <w:autoSpaceDE w:val="0"/>
              <w:autoSpaceDN w:val="0"/>
              <w:adjustRightInd w:val="0"/>
              <w:spacing w:before="29" w:line="360" w:lineRule="auto"/>
              <w:ind w:left="17"/>
              <w:jc w:val="center"/>
              <w:rPr>
                <w:color w:val="000000"/>
                <w:sz w:val="24"/>
              </w:rPr>
            </w:pPr>
            <w:r w:rsidRPr="00C1648E">
              <w:rPr>
                <w:color w:val="000000"/>
                <w:sz w:val="24"/>
              </w:rPr>
              <w:t>公允价值（元）</w:t>
            </w:r>
          </w:p>
        </w:tc>
        <w:tc>
          <w:tcPr>
            <w:tcW w:type="dxa" w:w="1134"/>
            <w:vAlign w:val="center"/>
          </w:tcPr>
          <w:p w:rsidP="002C4578" w:rsidR="00774C7D" w:rsidRDefault="00774C7D" w:rsidRPr="00C1648E">
            <w:pPr>
              <w:spacing w:before="29" w:line="360" w:lineRule="auto"/>
              <w:ind w:left="17"/>
              <w:jc w:val="center"/>
              <w:rPr>
                <w:color w:val="000000"/>
                <w:sz w:val="24"/>
              </w:rPr>
            </w:pPr>
            <w:r w:rsidRPr="00C1648E">
              <w:rPr>
                <w:color w:val="000000"/>
                <w:sz w:val="24"/>
              </w:rPr>
              <w:t>占基金资产净值比例</w:t>
            </w:r>
            <w:r w:rsidRPr="00C1648E">
              <w:rPr>
                <w:color w:val="000000"/>
                <w:sz w:val="24"/>
              </w:rPr>
              <w:t>(</w:t>
            </w:r>
            <w:r w:rsidRPr="00C1648E">
              <w:rPr>
                <w:color w:val="000000"/>
                <w:sz w:val="24"/>
              </w:rPr>
              <w:t>％</w:t>
            </w:r>
            <w:r w:rsidRPr="00C1648E">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000858</w:t>
            </w:r>
          </w:p>
        </w:tc>
        <w:tc>
          <w:tcPr>
            <w:vAlign w:val="center"/>
          </w:tcPr>
          <w:p>
            <w:pPr>
              <w:jc w:val="center"/>
            </w:pPr>
            <w:r>
              <w:rPr>
                <w:color w:val="000000"/>
                <w:sz w:val="24"/>
              </w:rPr>
              <w:t>五粮液</w:t>
            </w:r>
          </w:p>
        </w:tc>
        <w:tc>
          <w:tcPr>
            <w:vAlign w:val="center"/>
          </w:tcPr>
          <w:p>
            <w:pPr>
              <w:jc w:val="right"/>
            </w:pPr>
            <w:r>
              <w:rPr>
                <w:color w:val="000000"/>
                <w:sz w:val="24"/>
              </w:rPr>
              <w:t>5,521,600</w:t>
            </w:r>
          </w:p>
        </w:tc>
        <w:tc>
          <w:tcPr>
            <w:vAlign w:val="center"/>
          </w:tcPr>
          <w:p>
            <w:pPr>
              <w:jc w:val="right"/>
            </w:pPr>
            <w:r>
              <w:rPr>
                <w:color w:val="000000"/>
                <w:sz w:val="24"/>
              </w:rPr>
              <w:t>944,856,192.00</w:t>
            </w:r>
          </w:p>
        </w:tc>
        <w:tc>
          <w:tcPr>
            <w:vAlign w:val="center"/>
          </w:tcPr>
          <w:p>
            <w:pPr>
              <w:jc w:val="right"/>
            </w:pPr>
            <w:r>
              <w:rPr>
                <w:color w:val="000000"/>
                <w:sz w:val="24"/>
              </w:rPr>
              <w:t>4.80</w:t>
            </w:r>
          </w:p>
        </w:tc>
      </w:tr>
      <w:tr>
        <w:tc>
          <w:tcPr>
            <w:vAlign w:val="center"/>
          </w:tcPr>
          <w:p>
            <w:pPr>
              <w:jc w:val="center"/>
            </w:pPr>
            <w:r>
              <w:rPr>
                <w:color w:val="000000"/>
                <w:sz w:val="24"/>
              </w:rPr>
              <w:t>2</w:t>
            </w:r>
          </w:p>
        </w:tc>
        <w:tc>
          <w:tcPr>
            <w:vAlign w:val="center"/>
          </w:tcPr>
          <w:p>
            <w:pPr>
              <w:jc w:val="center"/>
            </w:pPr>
            <w:r>
              <w:rPr>
                <w:color w:val="000000"/>
                <w:sz w:val="24"/>
              </w:rPr>
              <w:t>000661</w:t>
            </w:r>
          </w:p>
        </w:tc>
        <w:tc>
          <w:tcPr>
            <w:vAlign w:val="center"/>
          </w:tcPr>
          <w:p>
            <w:pPr>
              <w:jc w:val="center"/>
            </w:pPr>
            <w:r>
              <w:rPr>
                <w:color w:val="000000"/>
                <w:sz w:val="24"/>
              </w:rPr>
              <w:t>长春高新</w:t>
            </w:r>
          </w:p>
        </w:tc>
        <w:tc>
          <w:tcPr>
            <w:vAlign w:val="center"/>
          </w:tcPr>
          <w:p>
            <w:pPr>
              <w:jc w:val="right"/>
            </w:pPr>
            <w:r>
              <w:rPr>
                <w:color w:val="000000"/>
                <w:sz w:val="24"/>
              </w:rPr>
              <w:t>1,864,000</w:t>
            </w:r>
          </w:p>
        </w:tc>
        <w:tc>
          <w:tcPr>
            <w:vAlign w:val="center"/>
          </w:tcPr>
          <w:p>
            <w:pPr>
              <w:jc w:val="right"/>
            </w:pPr>
            <w:r>
              <w:rPr>
                <w:color w:val="000000"/>
                <w:sz w:val="24"/>
              </w:rPr>
              <w:t>811,399,200.00</w:t>
            </w:r>
          </w:p>
        </w:tc>
        <w:tc>
          <w:tcPr>
            <w:vAlign w:val="center"/>
          </w:tcPr>
          <w:p>
            <w:pPr>
              <w:jc w:val="right"/>
            </w:pPr>
            <w:r>
              <w:rPr>
                <w:color w:val="000000"/>
                <w:sz w:val="24"/>
              </w:rPr>
              <w:t>4.12</w:t>
            </w:r>
          </w:p>
        </w:tc>
      </w:tr>
      <w:tr>
        <w:tc>
          <w:tcPr>
            <w:vAlign w:val="center"/>
          </w:tcPr>
          <w:p>
            <w:pPr>
              <w:jc w:val="center"/>
            </w:pPr>
            <w:r>
              <w:rPr>
                <w:color w:val="000000"/>
                <w:sz w:val="24"/>
              </w:rPr>
              <w:t>3</w:t>
            </w:r>
          </w:p>
        </w:tc>
        <w:tc>
          <w:tcPr>
            <w:vAlign w:val="center"/>
          </w:tcPr>
          <w:p>
            <w:pPr>
              <w:jc w:val="center"/>
            </w:pPr>
            <w:r>
              <w:rPr>
                <w:color w:val="000000"/>
                <w:sz w:val="24"/>
              </w:rPr>
              <w:t>002007</w:t>
            </w:r>
          </w:p>
        </w:tc>
        <w:tc>
          <w:tcPr>
            <w:vAlign w:val="center"/>
          </w:tcPr>
          <w:p>
            <w:pPr>
              <w:jc w:val="center"/>
            </w:pPr>
            <w:r>
              <w:rPr>
                <w:color w:val="000000"/>
                <w:sz w:val="24"/>
              </w:rPr>
              <w:t>华兰生物</w:t>
            </w:r>
          </w:p>
        </w:tc>
        <w:tc>
          <w:tcPr>
            <w:vAlign w:val="center"/>
          </w:tcPr>
          <w:p>
            <w:pPr>
              <w:jc w:val="right"/>
            </w:pPr>
            <w:r>
              <w:rPr>
                <w:color w:val="000000"/>
                <w:sz w:val="24"/>
              </w:rPr>
              <w:t>15,832,096</w:t>
            </w:r>
          </w:p>
        </w:tc>
        <w:tc>
          <w:tcPr>
            <w:vAlign w:val="center"/>
          </w:tcPr>
          <w:p>
            <w:pPr>
              <w:jc w:val="right"/>
            </w:pPr>
            <w:r>
              <w:rPr>
                <w:color w:val="000000"/>
                <w:sz w:val="24"/>
              </w:rPr>
              <w:t>793,346,330.56</w:t>
            </w:r>
          </w:p>
        </w:tc>
        <w:tc>
          <w:tcPr>
            <w:vAlign w:val="center"/>
          </w:tcPr>
          <w:p>
            <w:pPr>
              <w:jc w:val="right"/>
            </w:pPr>
            <w:r>
              <w:rPr>
                <w:color w:val="000000"/>
                <w:sz w:val="24"/>
              </w:rPr>
              <w:t>4.03</w:t>
            </w:r>
          </w:p>
        </w:tc>
      </w:tr>
      <w:tr>
        <w:tc>
          <w:tcPr>
            <w:vAlign w:val="center"/>
          </w:tcPr>
          <w:p>
            <w:pPr>
              <w:jc w:val="center"/>
            </w:pPr>
            <w:r>
              <w:rPr>
                <w:color w:val="000000"/>
                <w:sz w:val="24"/>
              </w:rPr>
              <w:t>4</w:t>
            </w:r>
          </w:p>
        </w:tc>
        <w:tc>
          <w:tcPr>
            <w:vAlign w:val="center"/>
          </w:tcPr>
          <w:p>
            <w:pPr>
              <w:jc w:val="center"/>
            </w:pPr>
            <w:r>
              <w:rPr>
                <w:color w:val="000000"/>
                <w:sz w:val="24"/>
              </w:rPr>
              <w:t>000001</w:t>
            </w:r>
          </w:p>
        </w:tc>
        <w:tc>
          <w:tcPr>
            <w:vAlign w:val="center"/>
          </w:tcPr>
          <w:p>
            <w:pPr>
              <w:jc w:val="center"/>
            </w:pPr>
            <w:r>
              <w:rPr>
                <w:color w:val="000000"/>
                <w:sz w:val="24"/>
              </w:rPr>
              <w:t>平安银行</w:t>
            </w:r>
          </w:p>
        </w:tc>
        <w:tc>
          <w:tcPr>
            <w:vAlign w:val="center"/>
          </w:tcPr>
          <w:p>
            <w:pPr>
              <w:jc w:val="right"/>
            </w:pPr>
            <w:r>
              <w:rPr>
                <w:color w:val="000000"/>
                <w:sz w:val="24"/>
              </w:rPr>
              <w:t>53,643,567</w:t>
            </w:r>
          </w:p>
        </w:tc>
        <w:tc>
          <w:tcPr>
            <w:vAlign w:val="center"/>
          </w:tcPr>
          <w:p>
            <w:pPr>
              <w:jc w:val="right"/>
            </w:pPr>
            <w:r>
              <w:rPr>
                <w:color w:val="000000"/>
                <w:sz w:val="24"/>
              </w:rPr>
              <w:t>686,637,657.60</w:t>
            </w:r>
          </w:p>
        </w:tc>
        <w:tc>
          <w:tcPr>
            <w:vAlign w:val="center"/>
          </w:tcPr>
          <w:p>
            <w:pPr>
              <w:jc w:val="right"/>
            </w:pPr>
            <w:r>
              <w:rPr>
                <w:color w:val="000000"/>
                <w:sz w:val="24"/>
              </w:rPr>
              <w:t>3.49</w:t>
            </w:r>
          </w:p>
        </w:tc>
      </w:tr>
      <w:tr>
        <w:tc>
          <w:tcPr>
            <w:vAlign w:val="center"/>
          </w:tcPr>
          <w:p>
            <w:pPr>
              <w:jc w:val="center"/>
            </w:pPr>
            <w:r>
              <w:rPr>
                <w:color w:val="000000"/>
                <w:sz w:val="24"/>
              </w:rPr>
              <w:t>5</w:t>
            </w:r>
          </w:p>
        </w:tc>
        <w:tc>
          <w:tcPr>
            <w:vAlign w:val="center"/>
          </w:tcPr>
          <w:p>
            <w:pPr>
              <w:jc w:val="center"/>
            </w:pPr>
            <w:r>
              <w:rPr>
                <w:color w:val="000000"/>
                <w:sz w:val="24"/>
              </w:rPr>
              <w:t>002352</w:t>
            </w:r>
          </w:p>
        </w:tc>
        <w:tc>
          <w:tcPr>
            <w:vAlign w:val="center"/>
          </w:tcPr>
          <w:p>
            <w:pPr>
              <w:jc w:val="center"/>
            </w:pPr>
            <w:r>
              <w:rPr>
                <w:color w:val="000000"/>
                <w:sz w:val="24"/>
              </w:rPr>
              <w:t>顺丰控股</w:t>
            </w:r>
          </w:p>
        </w:tc>
        <w:tc>
          <w:tcPr>
            <w:vAlign w:val="center"/>
          </w:tcPr>
          <w:p>
            <w:pPr>
              <w:jc w:val="right"/>
            </w:pPr>
            <w:r>
              <w:rPr>
                <w:color w:val="000000"/>
                <w:sz w:val="24"/>
              </w:rPr>
              <w:t>5,689,338</w:t>
            </w:r>
          </w:p>
        </w:tc>
        <w:tc>
          <w:tcPr>
            <w:vAlign w:val="center"/>
          </w:tcPr>
          <w:p>
            <w:pPr>
              <w:jc w:val="right"/>
            </w:pPr>
            <w:r>
              <w:rPr>
                <w:color w:val="000000"/>
                <w:sz w:val="24"/>
              </w:rPr>
              <w:t>311,206,788.60</w:t>
            </w:r>
          </w:p>
        </w:tc>
        <w:tc>
          <w:tcPr>
            <w:vAlign w:val="center"/>
          </w:tcPr>
          <w:p>
            <w:pPr>
              <w:jc w:val="right"/>
            </w:pPr>
            <w:r>
              <w:rPr>
                <w:color w:val="000000"/>
                <w:sz w:val="24"/>
              </w:rPr>
              <w:t>1.58</w:t>
            </w:r>
          </w:p>
        </w:tc>
      </w:tr>
    </w:tbl>
    <w:p w:rsidP="00712EE5" w:rsidR="00712EE5" w:rsidRDefault="00A62673" w:rsidRPr="00712EE5">
      <w:pPr>
        <w:autoSpaceDE w:val="0"/>
        <w:autoSpaceDN w:val="0"/>
        <w:adjustRightInd w:val="0"/>
        <w:spacing w:line="360" w:lineRule="auto"/>
        <w:jc w:val="left"/>
        <w:rPr>
          <w:rFonts w:eastAsiaTheme="minorEastAsia"/>
          <w:b/>
          <w:color w:themeColor="text1" w:val="000000"/>
          <w:kern w:val="0"/>
          <w:sz w:val="24"/>
        </w:rPr>
      </w:pPr>
      <w:r w:rsidRPr="00EC5CE0">
        <w:rPr>
          <w:rFonts w:ascii="宋体" w:cs="Arial" w:hAnsi="宋体"/>
          <w:b/>
          <w:color w:val="000000"/>
          <w:kern w:val="0"/>
          <w:sz w:val="24"/>
        </w:rPr>
        <w:t xml:space="preserve">5.4 </w:t>
      </w:r>
      <w:r w:rsidRPr="00EC5CE0">
        <w:rPr>
          <w:rFonts w:ascii="宋体" w:cs="Arial" w:hAnsi="宋体" w:hint="eastAsia"/>
          <w:b/>
          <w:color w:val="000000"/>
          <w:kern w:val="0"/>
          <w:sz w:val="24"/>
        </w:rPr>
        <w:t>报告期末按债券品种分类的债券投资组合</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1242"/>
        <w:gridCol w:w="2835"/>
        <w:gridCol w:w="2694"/>
        <w:gridCol w:w="1757"/>
      </w:tblGrid>
      <w:tr w:rsidR="00712EE5" w:rsidRPr="00712EE5" w:rsidTr="002C4578">
        <w:tc>
          <w:tcPr>
            <w:tcW w:type="dxa" w:w="1242"/>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t>序号</w:t>
            </w: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
            </w:r>
          </w:p>
        </w:tc>
        <w:tc>
          <w:tcPr>
            <w:tcW w:type="dxa" w:w="2835"/>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t>债券品种</w:t>
            </w:r>
          </w:p>
        </w:tc>
        <w:tc>
          <w:tcPr>
            <w:tcW w:type="dxa" w:w="2694"/>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t>公允价值</w:t>
            </w:r>
            <w:r w:rsidRPr="00712EE5">
              <w:rPr>
                <w:rFonts w:eastAsiaTheme="minorEastAsia"/>
                <w:color w:themeColor="text1" w:val="000000"/>
                <w:sz w:val="24"/>
              </w:rPr>
              <w:t>(</w:t>
            </w:r>
            <w:r w:rsidRPr="00712EE5">
              <w:rPr>
                <w:rFonts w:eastAsiaTheme="minorEastAsia"/>
                <w:color w:themeColor="text1" w:val="000000"/>
                <w:sz w:val="24"/>
              </w:rPr>
              <w:t>元</w:t>
            </w:r>
            <w:r w:rsidRPr="00712EE5">
              <w:rPr>
                <w:rFonts w:eastAsiaTheme="minorEastAsia"/>
                <w:color w:themeColor="text1" w:val="000000"/>
                <w:sz w:val="24"/>
              </w:rPr>
              <w:t>)</w:t>
            </w:r>
          </w:p>
        </w:tc>
        <w:tc>
          <w:tcPr>
            <w:tcW w:type="dxa" w:w="1757"/>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t>占基金资产净值比例</w:t>
            </w:r>
            <w:r w:rsidRPr="00712EE5">
              <w:rPr>
                <w:rFonts w:eastAsiaTheme="minorEastAsia"/>
                <w:color w:themeColor="text1" w:val="000000"/>
                <w:sz w:val="24"/>
              </w:rPr>
              <w:t>(</w:t>
            </w:r>
            <w:r w:rsidRPr="00712EE5">
              <w:rPr>
                <w:rFonts w:eastAsiaTheme="minorEastAsia"/>
                <w:color w:themeColor="text1" w:val="000000"/>
                <w:sz w:val="24"/>
              </w:rPr>
              <w:t>％</w:t>
            </w:r>
            <w:r w:rsidRPr="00712EE5">
              <w:rPr>
                <w:rFonts w:eastAsiaTheme="minorEastAsia"/>
                <w:color w:themeColor="text1" w:val="000000"/>
                <w:sz w:val="24"/>
              </w:rPr>
              <w:t>)</w:t>
            </w:r>
          </w:p>
        </w:tc>
      </w:tr>
      <w:tr w:rsidR="00712EE5" w:rsidRPr="00712EE5" w:rsidTr="002C4578">
        <w:tc>
          <w:tcPr>
            <w:tcW w:type="dxa" w:w="1242"/>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t>1</w:t>
            </w:r>
          </w:p>
        </w:tc>
        <w:tc>
          <w:tcPr>
            <w:tcW w:type="dxa" w:w="2835"/>
            <w:shd w:color="auto" w:fill="auto" w:val="clear"/>
            <w:vAlign w:val="center"/>
          </w:tcPr>
          <w:p w:rsidP="002C4578" w:rsidR="00712EE5" w:rsidRDefault="00712EE5" w:rsidRPr="00712EE5">
            <w:pPr>
              <w:spacing w:before="29" w:line="360" w:lineRule="auto"/>
              <w:ind w:left="17"/>
              <w:jc w:val="left"/>
              <w:rPr>
                <w:rFonts w:eastAsiaTheme="minorEastAsia"/>
                <w:color w:themeColor="text1" w:val="000000"/>
                <w:sz w:val="24"/>
              </w:rPr>
            </w:pPr>
            <w:r w:rsidRPr="00712EE5">
              <w:rPr>
                <w:rFonts w:eastAsiaTheme="minorEastAsia"/>
                <w:color w:themeColor="text1" w:val="000000"/>
                <w:sz w:val="24"/>
              </w:rPr>
              <w:t>国家债券</w:t>
            </w:r>
          </w:p>
        </w:tc>
        <w:tc>
          <w:tcPr>
            <w:tcW w:type="dxa" w:w="2694"/>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w:t>
            </w:r>
          </w:p>
        </w:tc>
        <w:tc>
          <w:tcPr>
            <w:tcW w:type="dxa" w:w="1757"/>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r w:rsidRPr="00712EE5">
              <w:rPr>
                <w:rFonts w:eastAsiaTheme="minorEastAsia"/>
                <w:color w:themeColor="text1" w:val="000000"/>
                <w:sz w:val="24"/>
              </w:rPr>
              <w:lastRenderedPageBreak/>
              <w:t>-</w:t>
            </w:r>
          </w:p>
        </w:tc>
      </w:tr>
      <w:tr w:rsidR="00712EE5" w:rsidRPr="00712EE5" w:rsidTr="002C4578">
        <w:tc>
          <w:tcPr>
            <w:tcW w:type="dxa" w:w="1242"/>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lastRenderedPageBreak/>
              <w:t>2</w:t>
            </w:r>
          </w:p>
        </w:tc>
        <w:tc>
          <w:tcPr>
            <w:tcW w:type="dxa" w:w="2835"/>
            <w:shd w:color="auto" w:fill="auto" w:val="clear"/>
            <w:vAlign w:val="center"/>
          </w:tcPr>
          <w:p w:rsidP="002C4578" w:rsidR="00712EE5" w:rsidRDefault="00712EE5" w:rsidRPr="00712EE5">
            <w:pPr>
              <w:spacing w:before="29" w:line="360" w:lineRule="auto"/>
              <w:ind w:left="17"/>
              <w:jc w:val="left"/>
              <w:rPr>
                <w:rFonts w:eastAsiaTheme="minorEastAsia"/>
                <w:color w:themeColor="text1" w:val="000000"/>
                <w:sz w:val="24"/>
              </w:rPr>
            </w:pPr>
            <w:r w:rsidRPr="00712EE5">
              <w:rPr>
                <w:rFonts w:eastAsiaTheme="minorEastAsia"/>
                <w:color w:themeColor="text1" w:val="000000"/>
                <w:sz w:val="24"/>
              </w:rPr>
              <w:t>央行票据</w:t>
            </w:r>
          </w:p>
        </w:tc>
        <w:tc>
          <w:tcPr>
            <w:tcW w:type="dxa" w:w="2694"/>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w:t>
            </w:r>
          </w:p>
        </w:tc>
        <w:tc>
          <w:tcPr>
            <w:tcW w:type="dxa" w:w="1757"/>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w:t>
            </w:r>
          </w:p>
        </w:tc>
      </w:tr>
      <w:tr w:rsidR="00712EE5" w:rsidRPr="00712EE5" w:rsidTr="002C4578">
        <w:tc>
          <w:tcPr>
            <w:tcW w:type="dxa" w:w="1242"/>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t>3</w:t>
            </w:r>
          </w:p>
        </w:tc>
        <w:tc>
          <w:tcPr>
            <w:tcW w:type="dxa" w:w="2835"/>
            <w:shd w:color="auto" w:fill="auto" w:val="clear"/>
            <w:vAlign w:val="center"/>
          </w:tcPr>
          <w:p w:rsidP="002C4578" w:rsidR="00712EE5" w:rsidRDefault="00712EE5" w:rsidRPr="00712EE5">
            <w:pPr>
              <w:spacing w:before="29" w:line="360" w:lineRule="auto"/>
              <w:ind w:left="17"/>
              <w:jc w:val="left"/>
              <w:rPr>
                <w:rFonts w:eastAsiaTheme="minorEastAsia"/>
                <w:color w:themeColor="text1" w:val="000000"/>
                <w:sz w:val="24"/>
              </w:rPr>
            </w:pPr>
            <w:r w:rsidRPr="00712EE5">
              <w:rPr>
                <w:rFonts w:eastAsiaTheme="minorEastAsia"/>
                <w:color w:themeColor="text1" w:val="000000"/>
                <w:sz w:val="24"/>
              </w:rPr>
              <w:t>金融债券</w:t>
            </w:r>
          </w:p>
        </w:tc>
        <w:tc>
          <w:tcPr>
            <w:tcW w:type="dxa" w:w="2694"/>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371,702,000.00</w:t>
            </w:r>
          </w:p>
        </w:tc>
        <w:tc>
          <w:tcPr>
            <w:tcW w:type="dxa" w:w="1757"/>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1.89</w:t>
            </w:r>
          </w:p>
        </w:tc>
      </w:tr>
      <w:tr w:rsidR="00712EE5" w:rsidRPr="00712EE5" w:rsidTr="002C4578">
        <w:tc>
          <w:tcPr>
            <w:tcW w:type="dxa" w:w="1242"/>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p>
        </w:tc>
        <w:tc>
          <w:tcPr>
            <w:tcW w:type="dxa" w:w="2835"/>
            <w:shd w:color="auto" w:fill="auto" w:val="clear"/>
            <w:vAlign w:val="center"/>
          </w:tcPr>
          <w:p w:rsidP="002C4578" w:rsidR="00712EE5" w:rsidRDefault="00712EE5" w:rsidRPr="00712EE5">
            <w:pPr>
              <w:spacing w:before="29" w:line="360" w:lineRule="auto"/>
              <w:ind w:left="17"/>
              <w:jc w:val="left"/>
              <w:rPr>
                <w:rFonts w:eastAsiaTheme="minorEastAsia"/>
                <w:color w:themeColor="text1" w:val="000000"/>
                <w:sz w:val="24"/>
              </w:rPr>
            </w:pPr>
            <w:r w:rsidRPr="00712EE5">
              <w:rPr>
                <w:rFonts w:eastAsiaTheme="minorEastAsia"/>
                <w:color w:themeColor="text1" w:val="000000"/>
                <w:sz w:val="24"/>
              </w:rPr>
              <w:t>其中：政策性金融债</w:t>
            </w:r>
          </w:p>
        </w:tc>
        <w:tc>
          <w:tcPr>
            <w:tcW w:type="dxa" w:w="2694"/>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371,702,000.00</w:t>
            </w:r>
          </w:p>
        </w:tc>
        <w:tc>
          <w:tcPr>
            <w:tcW w:type="dxa" w:w="1757"/>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1.89</w:t>
            </w:r>
          </w:p>
        </w:tc>
      </w:tr>
      <w:tr w:rsidR="00712EE5" w:rsidRPr="00712EE5" w:rsidTr="002C4578">
        <w:tc>
          <w:tcPr>
            <w:tcW w:type="dxa" w:w="1242"/>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t>4</w:t>
            </w:r>
          </w:p>
        </w:tc>
        <w:tc>
          <w:tcPr>
            <w:tcW w:type="dxa" w:w="2835"/>
            <w:shd w:color="auto" w:fill="auto" w:val="clear"/>
            <w:vAlign w:val="center"/>
          </w:tcPr>
          <w:p w:rsidP="002C4578" w:rsidR="00712EE5" w:rsidRDefault="00712EE5" w:rsidRPr="00712EE5">
            <w:pPr>
              <w:spacing w:before="29" w:line="360" w:lineRule="auto"/>
              <w:ind w:left="17"/>
              <w:jc w:val="left"/>
              <w:rPr>
                <w:rFonts w:eastAsiaTheme="minorEastAsia"/>
                <w:color w:themeColor="text1" w:val="000000"/>
                <w:sz w:val="24"/>
              </w:rPr>
            </w:pPr>
            <w:r w:rsidRPr="00712EE5">
              <w:rPr>
                <w:rFonts w:eastAsiaTheme="minorEastAsia"/>
                <w:color w:themeColor="text1" w:val="000000"/>
                <w:sz w:val="24"/>
              </w:rPr>
              <w:t>企业债券</w:t>
            </w:r>
          </w:p>
        </w:tc>
        <w:tc>
          <w:tcPr>
            <w:tcW w:type="dxa" w:w="2694"/>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w:t>
            </w:r>
          </w:p>
        </w:tc>
        <w:tc>
          <w:tcPr>
            <w:tcW w:type="dxa" w:w="1757"/>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w:t>
            </w:r>
          </w:p>
        </w:tc>
      </w:tr>
      <w:tr w:rsidR="00712EE5" w:rsidRPr="00712EE5" w:rsidTr="002C4578">
        <w:tc>
          <w:tcPr>
            <w:tcW w:type="dxa" w:w="1242"/>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t>5</w:t>
            </w:r>
          </w:p>
        </w:tc>
        <w:tc>
          <w:tcPr>
            <w:tcW w:type="dxa" w:w="2835"/>
            <w:shd w:color="auto" w:fill="auto" w:val="clear"/>
            <w:vAlign w:val="center"/>
          </w:tcPr>
          <w:p w:rsidP="002C4578" w:rsidR="00712EE5" w:rsidRDefault="00712EE5" w:rsidRPr="00712EE5">
            <w:pPr>
              <w:spacing w:before="29" w:line="360" w:lineRule="auto"/>
              <w:ind w:left="17"/>
              <w:jc w:val="left"/>
              <w:rPr>
                <w:rFonts w:eastAsiaTheme="minorEastAsia"/>
                <w:color w:themeColor="text1" w:val="000000"/>
                <w:sz w:val="24"/>
              </w:rPr>
            </w:pPr>
            <w:r w:rsidRPr="00712EE5">
              <w:rPr>
                <w:rFonts w:eastAsiaTheme="minorEastAsia"/>
                <w:color w:themeColor="text1" w:val="000000"/>
                <w:sz w:val="24"/>
              </w:rPr>
              <w:t>企业短期融资券</w:t>
            </w:r>
          </w:p>
        </w:tc>
        <w:tc>
          <w:tcPr>
            <w:tcW w:type="dxa" w:w="2694"/>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r w:rsidRPr="00712EE5">
              <w:rPr>
                <w:rFonts w:eastAsiaTheme="minorEastAsia"/>
                <w:color w:themeColor="text1" w:val="000000"/>
                <w:sz w:val="24"/>
              </w:rPr>
              <w:lastRenderedPageBreak/>
              <w:t/>
            </w:r>
            <w:proofErr w:type="spellEnd"/>
            <w:r w:rsidRPr="00712EE5">
              <w:rPr>
                <w:rFonts w:eastAsiaTheme="minorEastAsia"/>
                <w:color w:themeColor="text1" w:val="000000"/>
                <w:sz w:val="24"/>
              </w:rPr>
              <w:t>-</w:t>
            </w:r>
          </w:p>
        </w:tc>
        <w:tc>
          <w:tcPr>
            <w:tcW w:type="dxa" w:w="1757"/>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lastRenderedPageBreak/>
              <w:t/>
            </w:r>
            <w:r w:rsidRPr="00712EE5">
              <w:rPr>
                <w:rFonts w:eastAsiaTheme="minorEastAsia"/>
                <w:color w:themeColor="text1" w:val="000000"/>
                <w:sz w:val="24"/>
              </w:rPr>
              <w:lastRenderedPageBreak/>
              <w:t>-</w:t>
            </w:r>
          </w:p>
        </w:tc>
      </w:tr>
      <w:tr w:rsidR="00712EE5" w:rsidRPr="00712EE5" w:rsidTr="002C4578">
        <w:tc>
          <w:tcPr>
            <w:tcW w:type="dxa" w:w="1242"/>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lastRenderedPageBreak/>
              <w:t>6</w:t>
            </w:r>
          </w:p>
        </w:tc>
        <w:tc>
          <w:tcPr>
            <w:tcW w:type="dxa" w:w="2835"/>
            <w:shd w:color="auto" w:fill="auto" w:val="clear"/>
            <w:vAlign w:val="center"/>
          </w:tcPr>
          <w:p w:rsidP="002C4578" w:rsidR="00712EE5" w:rsidRDefault="00712EE5" w:rsidRPr="00712EE5">
            <w:pPr>
              <w:spacing w:before="29" w:line="360" w:lineRule="auto"/>
              <w:ind w:left="17"/>
              <w:jc w:val="left"/>
              <w:rPr>
                <w:rFonts w:eastAsiaTheme="minorEastAsia"/>
                <w:color w:themeColor="text1" w:val="000000"/>
                <w:sz w:val="24"/>
              </w:rPr>
            </w:pPr>
            <w:r w:rsidRPr="00712EE5">
              <w:rPr>
                <w:rFonts w:eastAsiaTheme="minorEastAsia"/>
                <w:color w:themeColor="text1" w:val="000000"/>
                <w:sz w:val="24"/>
              </w:rPr>
              <w:t>中期票据</w:t>
            </w:r>
          </w:p>
        </w:tc>
        <w:tc>
          <w:tcPr>
            <w:tcW w:type="dxa" w:w="2694"/>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w:t>
            </w:r>
          </w:p>
        </w:tc>
        <w:tc>
          <w:tcPr>
            <w:tcW w:type="dxa" w:w="1757"/>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w:t>
            </w:r>
          </w:p>
        </w:tc>
      </w:tr>
      <w:tr w:rsidR="00712EE5" w:rsidRPr="00712EE5" w:rsidTr="002C4578">
        <w:tc>
          <w:tcPr>
            <w:tcW w:type="dxa" w:w="1242"/>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t>7</w:t>
            </w:r>
          </w:p>
        </w:tc>
        <w:tc>
          <w:tcPr>
            <w:tcW w:type="dxa" w:w="2835"/>
            <w:shd w:color="auto" w:fill="auto" w:val="clear"/>
            <w:vAlign w:val="center"/>
          </w:tcPr>
          <w:p w:rsidP="002C4578" w:rsidR="00712EE5" w:rsidRDefault="00712EE5" w:rsidRPr="00712EE5">
            <w:pPr>
              <w:spacing w:before="29" w:line="360" w:lineRule="auto"/>
              <w:ind w:left="17"/>
              <w:jc w:val="left"/>
              <w:rPr>
                <w:rFonts w:eastAsiaTheme="minorEastAsia"/>
                <w:color w:themeColor="text1" w:val="000000"/>
                <w:sz w:val="24"/>
              </w:rPr>
            </w:pPr>
            <w:r w:rsidRPr="00712EE5">
              <w:rPr>
                <w:rFonts w:eastAsiaTheme="minorEastAsia"/>
                <w:color w:themeColor="text1" w:val="000000"/>
                <w:sz w:val="24"/>
              </w:rPr>
              <w:t>可转债</w:t>
            </w:r>
            <w:r w:rsidR="00165A09" w:rsidRPr="00165A09">
              <w:rPr>
                <w:rFonts w:eastAsiaTheme="minorEastAsia" w:hint="eastAsia"/>
                <w:color w:themeColor="text1" w:val="000000"/>
                <w:sz w:val="24"/>
              </w:rPr>
              <w:t>（可交换债）</w:t>
            </w:r>
          </w:p>
        </w:tc>
        <w:tc>
          <w:tcPr>
            <w:tcW w:type="dxa" w:w="2694"/>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1,229,200.00</w:t>
            </w:r>
          </w:p>
        </w:tc>
        <w:tc>
          <w:tcPr>
            <w:tcW w:type="dxa" w:w="1757"/>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0.01</w:t>
            </w:r>
          </w:p>
        </w:tc>
      </w:tr>
      <w:tr w:rsidR="00712EE5" w:rsidRPr="00712EE5" w:rsidTr="002C4578">
        <w:tc>
          <w:tcPr>
            <w:tcW w:type="dxa" w:w="1242"/>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t>8</w:t>
            </w:r>
          </w:p>
        </w:tc>
        <w:tc>
          <w:tcPr>
            <w:tcW w:type="dxa" w:w="2835"/>
            <w:shd w:color="auto" w:fill="auto" w:val="clear"/>
            <w:vAlign w:val="center"/>
          </w:tcPr>
          <w:p w:rsidP="002C4578" w:rsidR="00712EE5" w:rsidRDefault="00712EE5" w:rsidRPr="00712EE5">
            <w:pPr>
              <w:spacing w:before="29" w:line="360" w:lineRule="auto"/>
              <w:ind w:left="17"/>
              <w:jc w:val="left"/>
              <w:rPr>
                <w:rFonts w:eastAsiaTheme="minorEastAsia"/>
                <w:color w:themeColor="text1" w:val="000000"/>
                <w:sz w:val="24"/>
              </w:rPr>
            </w:pPr>
            <w:r w:rsidRPr="00712EE5">
              <w:rPr>
                <w:rFonts w:eastAsiaTheme="minorEastAsia"/>
                <w:color w:themeColor="text1" w:val="000000"/>
                <w:sz w:val="24"/>
              </w:rPr>
              <w:t>同业存单</w:t>
            </w:r>
          </w:p>
        </w:tc>
        <w:tc>
          <w:tcPr>
            <w:tcW w:type="dxa" w:w="2694"/>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w:t>
            </w:r>
          </w:p>
        </w:tc>
        <w:tc>
          <w:tcPr>
            <w:tcW w:type="dxa" w:w="1757"/>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w:t>
            </w:r>
          </w:p>
        </w:tc>
      </w:tr>
      <w:tr w:rsidR="00712EE5" w:rsidRPr="00712EE5" w:rsidTr="002C4578">
        <w:tc>
          <w:tcPr>
            <w:tcW w:type="dxa" w:w="1242"/>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t>9</w:t>
            </w:r>
          </w:p>
        </w:tc>
        <w:tc>
          <w:tcPr>
            <w:tcW w:type="dxa" w:w="2835"/>
            <w:shd w:color="auto" w:fill="auto" w:val="clear"/>
            <w:vAlign w:val="center"/>
          </w:tcPr>
          <w:p w:rsidP="002C4578" w:rsidR="00712EE5" w:rsidRDefault="00712EE5" w:rsidRPr="00712EE5">
            <w:pPr>
              <w:spacing w:before="29" w:line="360" w:lineRule="auto"/>
              <w:ind w:left="17"/>
              <w:jc w:val="left"/>
              <w:rPr>
                <w:rFonts w:eastAsiaTheme="minorEastAsia"/>
                <w:color w:themeColor="text1" w:val="000000"/>
                <w:sz w:val="24"/>
              </w:rPr>
            </w:pPr>
            <w:r w:rsidRPr="00712EE5">
              <w:rPr>
                <w:rFonts w:eastAsiaTheme="minorEastAsia"/>
                <w:color w:themeColor="text1" w:val="000000"/>
                <w:sz w:val="24"/>
              </w:rPr>
              <w:t>其他</w:t>
            </w:r>
          </w:p>
        </w:tc>
        <w:tc>
          <w:tcPr>
            <w:tcW w:type="dxa" w:w="2694"/>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r w:rsidRPr="00712EE5">
              <w:rPr>
                <w:rFonts w:eastAsiaTheme="minorEastAsia"/>
                <w:color w:themeColor="text1" w:val="000000"/>
                <w:sz w:val="24"/>
              </w:rPr>
              <w:lastRenderedPageBreak/>
              <w:t/>
            </w:r>
            <w:proofErr w:type="spellEnd"/>
            <w:r w:rsidRPr="00712EE5">
              <w:rPr>
                <w:rFonts w:eastAsiaTheme="minorEastAsia"/>
                <w:color w:themeColor="text1" w:val="000000"/>
                <w:sz w:val="24"/>
              </w:rPr>
              <w:t>-</w:t>
            </w:r>
          </w:p>
        </w:tc>
        <w:tc>
          <w:tcPr>
            <w:tcW w:type="dxa" w:w="1757"/>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lastRenderedPageBreak/>
              <w:t/>
            </w:r>
            <w:proofErr w:type="spellStart"/>
            <w:r w:rsidRPr="00712EE5">
              <w:rPr>
                <w:rFonts w:eastAsiaTheme="minorEastAsia"/>
                <w:color w:themeColor="text1" w:val="000000"/>
                <w:sz w:val="24"/>
              </w:rPr>
              <w:t/>
            </w:r>
            <w:r w:rsidRPr="00712EE5">
              <w:rPr>
                <w:rFonts w:eastAsiaTheme="minorEastAsia"/>
                <w:color w:themeColor="text1" w:val="000000"/>
                <w:sz w:val="24"/>
              </w:rPr>
              <w:lastRenderedPageBreak/>
              <w:t/>
            </w:r>
            <w:proofErr w:type="spellEnd"/>
            <w:r w:rsidRPr="00712EE5">
              <w:rPr>
                <w:rFonts w:eastAsiaTheme="minorEastAsia"/>
                <w:color w:themeColor="text1" w:val="000000"/>
                <w:sz w:val="24"/>
              </w:rPr>
              <w:t>-</w:t>
            </w:r>
          </w:p>
        </w:tc>
      </w:tr>
      <w:tr w:rsidR="00712EE5" w:rsidRPr="00712EE5" w:rsidTr="002C4578">
        <w:tc>
          <w:tcPr>
            <w:tcW w:type="dxa" w:w="1242"/>
            <w:shd w:color="auto" w:fill="auto" w:val="clear"/>
            <w:vAlign w:val="center"/>
          </w:tcPr>
          <w:p w:rsidP="002C4578" w:rsidR="00712EE5" w:rsidRDefault="00712EE5" w:rsidRPr="00712EE5">
            <w:pPr>
              <w:spacing w:before="29" w:line="360" w:lineRule="auto"/>
              <w:ind w:left="17"/>
              <w:jc w:val="center"/>
              <w:rPr>
                <w:rFonts w:eastAsiaTheme="minorEastAsia"/>
                <w:color w:themeColor="text1" w:val="000000"/>
                <w:sz w:val="24"/>
              </w:rPr>
            </w:pPr>
            <w:r w:rsidRPr="00712EE5">
              <w:rPr>
                <w:rFonts w:eastAsiaTheme="minorEastAsia"/>
                <w:color w:themeColor="text1" w:val="000000"/>
                <w:sz w:val="24"/>
              </w:rPr>
              <w:lastRenderedPageBreak/>
              <w:t>10</w:t>
            </w:r>
          </w:p>
        </w:tc>
        <w:tc>
          <w:tcPr>
            <w:tcW w:type="dxa" w:w="2835"/>
            <w:shd w:color="auto" w:fill="auto" w:val="clear"/>
            <w:vAlign w:val="center"/>
          </w:tcPr>
          <w:p w:rsidP="002C4578" w:rsidR="00712EE5" w:rsidRDefault="00712EE5" w:rsidRPr="00712EE5">
            <w:pPr>
              <w:spacing w:before="29" w:line="360" w:lineRule="auto"/>
              <w:ind w:left="17"/>
              <w:jc w:val="left"/>
              <w:rPr>
                <w:rFonts w:eastAsiaTheme="minorEastAsia"/>
                <w:color w:themeColor="text1" w:val="000000"/>
                <w:sz w:val="24"/>
              </w:rPr>
            </w:pPr>
            <w:r w:rsidRPr="00712EE5">
              <w:rPr>
                <w:rFonts w:eastAsiaTheme="minorEastAsia"/>
                <w:color w:themeColor="text1" w:val="000000"/>
                <w:sz w:val="24"/>
              </w:rPr>
              <w:t>合计</w:t>
            </w:r>
          </w:p>
        </w:tc>
        <w:tc>
          <w:tcPr>
            <w:tcW w:type="dxa" w:w="2694"/>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372,931,200.00</w:t>
            </w:r>
          </w:p>
        </w:tc>
        <w:tc>
          <w:tcPr>
            <w:tcW w:type="dxa" w:w="1757"/>
            <w:shd w:color="auto" w:fill="auto" w:val="clear"/>
            <w:vAlign w:val="center"/>
          </w:tcPr>
          <w:p w:rsidP="002C4578" w:rsidR="00712EE5" w:rsidRDefault="00712EE5" w:rsidRPr="00712EE5">
            <w:pPr>
              <w:spacing w:before="29" w:line="360" w:lineRule="auto"/>
              <w:ind w:left="17"/>
              <w:jc w:val="right"/>
              <w:rPr>
                <w:rFonts w:eastAsiaTheme="minorEastAsia"/>
                <w:color w:themeColor="text1" w:val="000000"/>
                <w:sz w:val="24"/>
              </w:rPr>
            </w:pPr>
            <w:r w:rsidRPr="00712EE5">
              <w:rPr>
                <w:rFonts w:eastAsiaTheme="minorEastAsia"/>
                <w:color w:themeColor="text1" w:val="000000"/>
                <w:sz w:val="24"/>
              </w:rPr>
              <w:t/>
            </w:r>
            <w:proofErr w:type="spellStart"/>
            <w:r w:rsidRPr="00712EE5">
              <w:rPr>
                <w:rFonts w:eastAsiaTheme="minorEastAsia"/>
                <w:color w:themeColor="text1" w:val="000000"/>
                <w:sz w:val="24"/>
              </w:rPr>
              <w:t/>
            </w:r>
            <w:proofErr w:type="spellEnd"/>
            <w:r w:rsidRPr="00712EE5">
              <w:rPr>
                <w:rFonts w:eastAsiaTheme="minorEastAsia"/>
                <w:color w:themeColor="text1" w:val="000000"/>
                <w:sz w:val="24"/>
              </w:rPr>
              <w:t>1.90</w:t>
            </w:r>
          </w:p>
        </w:tc>
      </w:tr>
    </w:tbl>
    <w:p w:rsidP="00045BEC"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 xml:space="preserve">5.5 </w:t>
      </w:r>
      <w:r w:rsidRPr="00EC5CE0">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EC5CE0">
        <w:rPr>
          <w:rFonts w:ascii="宋体" w:cs="Arial" w:hAnsi="宋体" w:hint="eastAsia"/>
          <w:b/>
          <w:color w:val="000000"/>
          <w:kern w:val="0"/>
          <w:sz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559"/>
        <w:gridCol w:w="1468"/>
        <w:gridCol w:w="1651"/>
        <w:gridCol w:w="1843"/>
        <w:gridCol w:w="1190"/>
      </w:tblGrid>
      <w:tr w:rsidR="00A62673" w:rsidRPr="00EC5CE0" w:rsidTr="0029046D">
        <w:tc>
          <w:tcPr>
            <w:tcW w:type="dxa" w:w="817"/>
            <w:vAlign w:val="center"/>
          </w:tcPr>
          <w:p w:rsidP="00C21C43" w:rsidR="00A62673" w:rsidRDefault="00A62673" w:rsidRPr="00C1648E">
            <w:pPr>
              <w:spacing w:before="29" w:line="360" w:lineRule="auto"/>
              <w:ind w:left="17"/>
              <w:jc w:val="center"/>
              <w:rPr>
                <w:color w:val="000000"/>
                <w:sz w:val="24"/>
              </w:rPr>
            </w:pPr>
            <w:r w:rsidRPr="00C1648E">
              <w:rPr>
                <w:color w:val="000000"/>
                <w:sz w:val="24"/>
              </w:rPr>
              <w:t>序号</w:t>
            </w:r>
          </w:p>
        </w:tc>
        <w:tc>
          <w:tcPr>
            <w:tcW w:type="dxa" w:w="1559"/>
            <w:vAlign w:val="center"/>
          </w:tcPr>
          <w:p w:rsidP="00C21C43" w:rsidR="00A62673" w:rsidRDefault="00A62673" w:rsidRPr="00C1648E">
            <w:pPr>
              <w:spacing w:before="29" w:line="360" w:lineRule="auto"/>
              <w:ind w:left="17"/>
              <w:jc w:val="center"/>
              <w:rPr>
                <w:color w:val="000000"/>
                <w:sz w:val="24"/>
              </w:rPr>
            </w:pPr>
            <w:r w:rsidRPr="00C1648E">
              <w:rPr>
                <w:color w:val="000000"/>
                <w:sz w:val="24"/>
              </w:rPr>
              <w:t>债券代码</w:t>
            </w:r>
          </w:p>
        </w:tc>
        <w:tc>
          <w:tcPr>
            <w:tcW w:type="dxa" w:w="1468"/>
            <w:vAlign w:val="center"/>
          </w:tcPr>
          <w:p w:rsidP="00C21C43" w:rsidR="00A62673" w:rsidRDefault="00A62673" w:rsidRPr="00C1648E">
            <w:pPr>
              <w:spacing w:before="29" w:line="360" w:lineRule="auto"/>
              <w:ind w:left="17"/>
              <w:jc w:val="center"/>
              <w:rPr>
                <w:color w:val="000000"/>
                <w:sz w:val="24"/>
              </w:rPr>
            </w:pPr>
            <w:r w:rsidRPr="00C1648E">
              <w:rPr>
                <w:color w:val="000000"/>
                <w:sz w:val="24"/>
              </w:rPr>
              <w:t>债券名称</w:t>
            </w:r>
          </w:p>
        </w:tc>
        <w:tc>
          <w:tcPr>
            <w:tcW w:type="dxa" w:w="1651"/>
            <w:vAlign w:val="center"/>
          </w:tcPr>
          <w:p w:rsidP="00C21C43" w:rsidR="00A62673" w:rsidRDefault="00A62673" w:rsidRPr="00C1648E">
            <w:pPr>
              <w:spacing w:before="29" w:line="360" w:lineRule="auto"/>
              <w:ind w:left="17"/>
              <w:jc w:val="center"/>
              <w:rPr>
                <w:color w:val="000000"/>
                <w:sz w:val="24"/>
              </w:rPr>
            </w:pPr>
            <w:r w:rsidRPr="00C1648E">
              <w:rPr>
                <w:color w:val="000000"/>
                <w:sz w:val="24"/>
              </w:rPr>
              <w:t>数量</w:t>
            </w:r>
            <w:r w:rsidR="005A2769" w:rsidRPr="00C1648E">
              <w:rPr>
                <w:color w:val="000000"/>
                <w:sz w:val="24"/>
              </w:rPr>
              <w:t>（张）</w:t>
            </w:r>
          </w:p>
        </w:tc>
        <w:tc>
          <w:tcPr>
            <w:tcW w:type="dxa" w:w="1843"/>
            <w:vAlign w:val="center"/>
          </w:tcPr>
          <w:p w:rsidP="00C21C43" w:rsidR="00A62673" w:rsidRDefault="00A62673" w:rsidRPr="00C1648E">
            <w:pPr>
              <w:spacing w:before="29" w:line="360" w:lineRule="auto"/>
              <w:ind w:left="17"/>
              <w:jc w:val="center"/>
              <w:rPr>
                <w:color w:val="000000"/>
                <w:sz w:val="24"/>
              </w:rPr>
            </w:pPr>
            <w:r w:rsidRPr="00C1648E">
              <w:rPr>
                <w:color w:val="000000"/>
                <w:sz w:val="24"/>
              </w:rPr>
              <w:t>公允价值</w:t>
            </w:r>
            <w:r w:rsidR="005A2769" w:rsidRPr="00C1648E">
              <w:rPr>
                <w:color w:val="000000"/>
                <w:sz w:val="24"/>
              </w:rPr>
              <w:t>（元）</w:t>
            </w:r>
          </w:p>
        </w:tc>
        <w:tc>
          <w:tcPr>
            <w:tcW w:type="dxa" w:w="1190"/>
            <w:vAlign w:val="center"/>
          </w:tcPr>
          <w:p w:rsidP="00C21C43" w:rsidR="00A62673" w:rsidRDefault="00A62673" w:rsidRPr="00C1648E">
            <w:pPr>
              <w:spacing w:before="29" w:line="360" w:lineRule="auto"/>
              <w:ind w:left="17"/>
              <w:jc w:val="center"/>
              <w:rPr>
                <w:color w:val="000000"/>
                <w:sz w:val="24"/>
              </w:rPr>
            </w:pPr>
            <w:r w:rsidRPr="00C1648E">
              <w:rPr>
                <w:color w:val="000000"/>
                <w:sz w:val="24"/>
              </w:rPr>
              <w:t>占基金资产净值比例</w:t>
            </w:r>
            <w:r w:rsidRPr="00C1648E">
              <w:rPr>
                <w:color w:val="000000"/>
                <w:sz w:val="24"/>
              </w:rPr>
              <w:t>(</w:t>
            </w:r>
            <w:r w:rsidRPr="00C1648E">
              <w:rPr>
                <w:color w:val="000000"/>
                <w:sz w:val="24"/>
              </w:rPr>
              <w:t>％</w:t>
            </w:r>
            <w:r w:rsidRPr="00C1648E">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170209</w:t>
            </w:r>
          </w:p>
        </w:tc>
        <w:tc>
          <w:tcPr>
            <w:vAlign w:val="center"/>
          </w:tcPr>
          <w:p>
            <w:pPr>
              <w:jc w:val="center"/>
            </w:pPr>
            <w:r>
              <w:rPr>
                <w:color w:val="000000"/>
                <w:sz w:val="24"/>
              </w:rPr>
              <w:t>17国开09</w:t>
            </w:r>
          </w:p>
        </w:tc>
        <w:tc>
          <w:tcPr>
            <w:vAlign w:val="center"/>
          </w:tcPr>
          <w:p>
            <w:pPr>
              <w:jc w:val="right"/>
            </w:pPr>
            <w:r>
              <w:rPr>
                <w:color w:val="000000"/>
                <w:sz w:val="24"/>
              </w:rPr>
              <w:t>3,700,000</w:t>
            </w:r>
          </w:p>
        </w:tc>
        <w:tc>
          <w:tcPr>
            <w:vAlign w:val="center"/>
          </w:tcPr>
          <w:p>
            <w:pPr>
              <w:jc w:val="right"/>
            </w:pPr>
            <w:r>
              <w:rPr>
                <w:color w:val="000000"/>
                <w:sz w:val="24"/>
              </w:rPr>
              <w:t>371,702,000.00</w:t>
            </w:r>
          </w:p>
        </w:tc>
        <w:tc>
          <w:tcPr>
            <w:vAlign w:val="center"/>
          </w:tcPr>
          <w:p>
            <w:pPr>
              <w:jc w:val="right"/>
            </w:pPr>
            <w:r>
              <w:rPr>
                <w:color w:val="000000"/>
                <w:sz w:val="24"/>
              </w:rPr>
              <w:t>1.89</w:t>
            </w:r>
          </w:p>
        </w:tc>
      </w:tr>
      <w:tr>
        <w:tc>
          <w:tcPr>
            <w:vAlign w:val="center"/>
          </w:tcPr>
          <w:p>
            <w:pPr>
              <w:jc w:val="center"/>
            </w:pPr>
            <w:r>
              <w:rPr>
                <w:color w:val="000000"/>
                <w:sz w:val="24"/>
              </w:rPr>
              <w:t>2</w:t>
            </w:r>
          </w:p>
        </w:tc>
        <w:tc>
          <w:tcPr>
            <w:vAlign w:val="center"/>
          </w:tcPr>
          <w:p>
            <w:pPr>
              <w:jc w:val="center"/>
            </w:pPr>
            <w:r>
              <w:rPr>
                <w:color w:val="000000"/>
                <w:sz w:val="24"/>
              </w:rPr>
              <w:t>128113</w:t>
            </w:r>
          </w:p>
        </w:tc>
        <w:tc>
          <w:tcPr>
            <w:vAlign w:val="center"/>
          </w:tcPr>
          <w:p>
            <w:pPr>
              <w:jc w:val="center"/>
            </w:pPr>
            <w:r>
              <w:rPr>
                <w:color w:val="000000"/>
                <w:sz w:val="24"/>
              </w:rPr>
              <w:t>比音转债</w:t>
            </w:r>
          </w:p>
        </w:tc>
        <w:tc>
          <w:tcPr>
            <w:vAlign w:val="center"/>
          </w:tcPr>
          <w:p>
            <w:pPr>
              <w:jc w:val="right"/>
            </w:pPr>
            <w:r>
              <w:rPr>
                <w:color w:val="000000"/>
                <w:sz w:val="24"/>
              </w:rPr>
              <w:t>12,292</w:t>
            </w:r>
          </w:p>
        </w:tc>
        <w:tc>
          <w:tcPr>
            <w:vAlign w:val="center"/>
          </w:tcPr>
          <w:p>
            <w:pPr>
              <w:jc w:val="right"/>
            </w:pPr>
            <w:r>
              <w:rPr>
                <w:color w:val="000000"/>
                <w:sz w:val="24"/>
              </w:rPr>
              <w:t>1,229,200.00</w:t>
            </w:r>
          </w:p>
        </w:tc>
        <w:tc>
          <w:tcPr>
            <w:vAlign w:val="center"/>
          </w:tcPr>
          <w:p>
            <w:pPr>
              <w:jc w:val="right"/>
            </w:pPr>
            <w:r>
              <w:rPr>
                <w:color w:val="000000"/>
                <w:sz w:val="24"/>
              </w:rPr>
              <w:t>0.01</w:t>
            </w:r>
          </w:p>
        </w:tc>
      </w:tr>
    </w:tbl>
    <w:p w:rsidP="00045BEC"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5.6</w:t>
      </w:r>
      <w:r w:rsidRPr="00EC5CE0">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EC5CE0">
        <w:rPr>
          <w:rFonts w:ascii="宋体" w:cs="Arial" w:hAnsi="宋体" w:hint="eastAsia"/>
          <w:b/>
          <w:color w:val="000000"/>
          <w:kern w:val="0"/>
          <w:sz w:val="24"/>
        </w:rPr>
        <w:t>的前十名资产支持证券投资明细</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r w:rsidRPr="00DC315B">
        <w:rPr>
          <w:color w:val="000000"/>
          <w:sz w:val="24"/>
        </w:rPr>
        <w:t/>
      </w:r>
      <w:proofErr w:type="spellEnd"/>
      <w:r w:rsidRPr="00DC315B">
        <w:rPr>
          <w:color w:val="000000"/>
          <w:sz w:val="24"/>
        </w:rPr>
        <w:t>本基金本报告期末未持有资产支持证券。</w:t>
      </w:r>
    </w:p>
    <w:p w:rsidP="008021E8" w:rsidR="00A62673" w:rsidRDefault="00A62673"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r w:rsidRPr="00DC315B">
        <w:rPr>
          <w:color w:val="000000"/>
          <w:sz w:val="24"/>
        </w:rPr>
        <w:t/>
      </w:r>
      <w:proofErr w:type="spellEnd"/>
      <w:r w:rsidRPr="00DC315B">
        <w:rPr>
          <w:color w:val="000000"/>
          <w:sz w:val="24"/>
        </w:rPr>
        <w:t>本基金本报告期末未持有贵金属。</w:t>
      </w:r>
    </w:p>
    <w:p w:rsidP="00045BEC" w:rsidR="00A62673" w:rsidRDefault="00A62673" w:rsidRPr="00EC5CE0">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
      </w:r>
      <w:r w:rsidRPr="00EC5CE0">
        <w:rPr>
          <w:rFonts w:ascii="宋体" w:cs="Arial"/>
          <w:b/>
          <w:color w:val="000000"/>
          <w:kern w:val="0"/>
          <w:sz w:val="24"/>
        </w:rPr>
        <w:t>5.</w:t>
      </w:r>
      <w:r>
        <w:rPr>
          <w:rFonts w:ascii="宋体" w:cs="Arial"/>
          <w:b/>
          <w:color w:val="000000"/>
          <w:kern w:val="0"/>
          <w:sz w:val="24"/>
        </w:rPr>
        <w:t/>
      </w:r>
      <w:r>
        <w:rPr>
          <w:rFonts w:ascii="宋体" w:cs="Arial" w:hAnsi="宋体"/>
          <w:b/>
          <w:color w:val="000000"/>
          <w:kern w:val="0"/>
          <w:sz w:val="24"/>
        </w:rPr>
        <w:t/>
      </w:r>
      <w:r w:rsidRPr="00EC5CE0">
        <w:rPr>
          <w:rFonts w:ascii="宋体" w:cs="Arial"/>
          <w:b/>
          <w:color w:val="000000"/>
          <w:kern w:val="0"/>
          <w:sz w:val="24"/>
        </w:rPr>
        <w:t>8</w:t>
      </w:r>
      <w:r w:rsidRPr="00EC5CE0">
        <w:rPr>
          <w:rFonts w:ascii="宋体" w:hAnsi="宋体" w:hint="eastAsia"/>
          <w:b/>
          <w:bCs/>
          <w:color w:val="000000"/>
          <w:sz w:val="24"/>
        </w:rPr>
        <w:t>报告期末按公允价值占基金资产净值比例大小排</w:t>
      </w:r>
      <w:r>
        <w:rPr>
          <w:rFonts w:ascii="宋体" w:hAnsi="宋体" w:hint="eastAsia"/>
          <w:b/>
          <w:bCs/>
          <w:color w:val="000000"/>
          <w:sz w:val="24"/>
        </w:rPr>
        <w:t>序</w:t>
      </w:r>
      <w:r w:rsidRPr="00EC5CE0">
        <w:rPr>
          <w:rFonts w:ascii="宋体" w:hAnsi="宋体" w:hint="eastAsia"/>
          <w:b/>
          <w:bCs/>
          <w:color w:val="000000"/>
          <w:sz w:val="24"/>
        </w:rPr>
        <w:t>的前五名权证投</w:t>
      </w:r>
      <w:r w:rsidRPr="00EC5CE0">
        <w:rPr>
          <w:rFonts w:ascii="宋体" w:hAnsi="宋体" w:hint="eastAsia"/>
          <w:b/>
          <w:bCs/>
          <w:color w:val="000000"/>
          <w:sz w:val="24"/>
        </w:rPr>
        <w:lastRenderedPageBreak/>
        <w:t>资明细</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r w:rsidRPr="00DC315B">
        <w:rPr>
          <w:color w:val="000000"/>
          <w:sz w:val="24"/>
        </w:rPr>
        <w:t/>
      </w:r>
      <w:proofErr w:type="spellEnd"/>
      <w:r w:rsidRPr="00DC315B">
        <w:rPr>
          <w:color w:val="000000"/>
          <w:sz w:val="24"/>
        </w:rPr>
        <w:t>本基金本报告期末未持有权证。</w:t>
      </w:r>
    </w:p>
    <w:p w:rsidP="00045BEC" w:rsidR="00A62673" w:rsidRDefault="00A62673" w:rsidRPr="00EC5CE0">
      <w:pPr>
        <w:adjustRightInd w:val="0"/>
        <w:snapToGrid w:val="0"/>
        <w:spacing w:line="360" w:lineRule="auto"/>
        <w:rPr>
          <w:rFonts w:ascii="宋体"/>
          <w:b/>
          <w:sz w:val="24"/>
        </w:rPr>
      </w:pPr>
      <w:r w:rsidRPr="00EC5CE0">
        <w:rPr>
          <w:rFonts w:ascii="宋体"/>
          <w:b/>
          <w:sz w:val="24"/>
        </w:rPr>
        <w:t/>
      </w:r>
      <w:proofErr w:type="spellStart"/>
      <w:r w:rsidRPr="00EC5CE0">
        <w:rPr>
          <w:rFonts w:ascii="宋体" w:hAnsi="宋体"/>
          <w:b/>
          <w:sz w:val="24"/>
        </w:rPr>
        <w:t/>
      </w:r>
      <w:proofErr w:type="spellEnd"/>
      <w:r w:rsidRPr="00EC5CE0">
        <w:rPr>
          <w:rFonts w:ascii="宋体" w:hAnsi="宋体"/>
          <w:b/>
          <w:sz w:val="24"/>
        </w:rPr>
        <w:t xml:space="preserve">5.9 </w:t>
      </w:r>
      <w:r w:rsidRPr="00EC5CE0">
        <w:rPr>
          <w:rFonts w:ascii="宋体" w:hAnsi="宋体" w:hint="eastAsia"/>
          <w:b/>
          <w:sz w:val="24"/>
        </w:rPr>
        <w:t>报告期末本基金投资的股指期货交易情况说明</w:t>
      </w:r>
    </w:p>
    <w:p w:rsidP="00494580" w:rsidR="00494580" w:rsidRDefault="00494580">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045BEC" w:rsidR="00A62673" w:rsidRDefault="00A62673" w:rsidRPr="00EC5CE0">
      <w:pPr>
        <w:adjustRightInd w:val="0"/>
        <w:snapToGrid w:val="0"/>
        <w:spacing w:line="360" w:lineRule="auto"/>
        <w:rPr>
          <w:rFonts w:ascii="宋体"/>
          <w:b/>
          <w:sz w:val="24"/>
        </w:rPr>
      </w:pPr>
      <w:r w:rsidRPr="00EC5CE0">
        <w:rPr>
          <w:rFonts w:ascii="宋体"/>
          <w:b/>
          <w:sz w:val="24"/>
        </w:rPr>
        <w:t/>
      </w:r>
      <w:proofErr w:type="spellStart"/>
      <w:r w:rsidRPr="00EC5CE0">
        <w:rPr>
          <w:rFonts w:ascii="宋体" w:hAnsi="宋体"/>
          <w:b/>
          <w:sz w:val="24"/>
        </w:rPr>
        <w:t/>
      </w:r>
      <w:proofErr w:type="spellEnd"/>
      <w:r w:rsidRPr="00EC5CE0">
        <w:rPr>
          <w:rFonts w:ascii="宋体" w:hAnsi="宋体"/>
          <w:b/>
          <w:sz w:val="24"/>
        </w:rPr>
        <w:t>5.10</w:t>
      </w:r>
      <w:r w:rsidRPr="00EC5CE0">
        <w:rPr>
          <w:rFonts w:ascii="宋体" w:hAnsi="宋体" w:hint="eastAsia"/>
          <w:b/>
          <w:sz w:val="24"/>
        </w:rPr>
        <w:t>报告期末本基金投资的国债期货交易情况说明</w:t>
      </w:r>
    </w:p>
    <w:p w:rsidP="00C27466" w:rsidR="00C27466" w:rsidRDefault="00C27466">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045BEC"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b/>
          <w:color w:val="000000"/>
          <w:kern w:val="0"/>
          <w:sz w:val="24"/>
        </w:rPr>
        <w:t/>
      </w:r>
      <w:r w:rsidRPr="00EC5CE0">
        <w:rPr>
          <w:rFonts w:ascii="宋体" w:cs="Arial" w:hAnsi="宋体"/>
          <w:b/>
          <w:color w:val="000000"/>
          <w:kern w:val="0"/>
          <w:sz w:val="24"/>
        </w:rPr>
        <w:t>5.11</w:t>
      </w:r>
      <w:r w:rsidRPr="00EC5CE0">
        <w:rPr>
          <w:rFonts w:ascii="宋体" w:cs="Arial" w:hAnsi="宋体" w:hint="eastAsia"/>
          <w:b/>
          <w:color w:val="000000"/>
          <w:kern w:val="0"/>
          <w:sz w:val="24"/>
        </w:rPr>
        <w:t>投资组合报告附注</w:t>
      </w:r>
    </w:p>
    <w:p w:rsidP="00045BEC" w:rsidR="00A62673" w:rsidRDefault="00DD51D8" w:rsidRPr="00C1648E">
      <w:pPr>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A62673" w:rsidRPr="00EC5CE0">
        <w:rPr>
          <w:rFonts w:ascii="宋体"/>
          <w:color w:val="000000"/>
          <w:sz w:val="24"/>
        </w:rPr>
        <w:t/>
      </w:r>
      <w:proofErr w:type="gramStart"/>
      <w:r w:rsidR="00A62673" w:rsidRPr="00EC5CE0">
        <w:rPr>
          <w:rFonts w:ascii="宋体" w:hAnsi="宋体"/>
          <w:color w:val="000000"/>
          <w:sz w:val="24"/>
        </w:rPr>
        <w:t/>
      </w:r>
      <w:proofErr w:type="gramEnd"/>
      <w:r w:rsidR="00A62673" w:rsidRPr="00EC5CE0">
        <w:rPr>
          <w:rFonts w:ascii="宋体" w:hAnsi="宋体"/>
          <w:color w:val="000000"/>
          <w:sz w:val="24"/>
        </w:rPr>
        <w:t>5.11.1</w:t>
      </w:r>
      <w:r w:rsidR="00A4276F">
        <w:rPr>
          <w:rFonts w:ascii="宋体" w:hAnsi="宋体" w:hint="eastAsia"/>
          <w:color w:val="000000"/>
          <w:sz w:val="24"/>
        </w:rPr>
        <w:t xml:space="preserve"> </w:t>
      </w:r>
      <w:r w:rsidR="00A62673" w:rsidRPr="00C1648E">
        <w:rPr>
          <w:color w:val="000000"/>
          <w:sz w:val="24"/>
        </w:rPr>
        <w:t>2019年7月8日，中国银行保险监督管理委员会上海监管局对招商银行股份有限公司信用卡中心2016年9月至2018年6月在为部分客户办理信用卡业务时，未遵守总授信额度管理制度的违法违规事实，处以责令改正，并处罚款20万元的行政处罚。</w:t>
      </w:r>
    </w:p>
    <w:p>
      <w:pPr>
        <w:spacing w:line="360" w:lineRule="auto"/>
        <w:rPr>
          <w:color w:val="000000"/>
          <w:sz w:val="24"/>
        </w:rPr>
      </w:pPr>
      <w:r>
        <w:rPr>
          <w:color w:val="000000"/>
          <w:sz w:val="24"/>
        </w:rPr>
        <w:t>2019年8月12日，中国银行保险监督管理委员会上海监管局针对平安银行股份有限公司资金运营中心2017年末至2018年9月信息科技风险管理严重违反审慎经营规则的违法违规事实，责令改正，并处罚款20万元。2020年1 月20日，中国银行保险监督管理委员会深圳监管局对平安银行股份有限公司的以下违法违规事实：“1.汽车金融事业部将贷款调查的核心事项委托第三方完成；2.代理保险销售的人员为非商业银行人员；3.汽车消费贷款风险分类结果不能反映真实风险水平；4.个人消费贷款风险分类结果不能反映真实风险水平；5.个人经营性贷款分类结果不能反映真实风险水平；6.汽车消费贷款和汽车抵押贷款贷前调查存在缺失；7.汽车消费及经营贷款审查不到位；8.个人汽车贷款和汽车抵押贷款业务存在同一抵押物重复抵押；9.个别汽车消费贷款和汽车抵押贷款用途管控不力，贷款资金被挪用；10.个人消费贷款及个人经营性贷款用途管控不力，贷款资金被挪用；11.部分个人消费贷款未按要求进行受托支付；12.信用卡现金分期用途管控不力；13.代销产品风险评级结果与合作机构评级结果不一致，未采用较高风险评级的评级结果；14.代销产品底层资产涉及本行非标资产，没有实现代销业务与其他业务的风险隔离；15.“双录”管理审慎性不足，理财销售人员销售话术不当”， 罚款720万元。</w:t>
      </w:r>
    </w:p>
    <w:p>
      <w:pPr>
        <w:spacing w:line="360" w:lineRule="auto"/>
        <w:rPr>
          <w:color w:val="000000"/>
          <w:sz w:val="24"/>
        </w:rPr>
      </w:pPr>
      <w:r>
        <w:rPr>
          <w:color w:val="000000"/>
          <w:sz w:val="24"/>
        </w:rPr>
        <w:t>2019年8月7日，江西省交通建设工程质量监督管理局对中国建筑股份有限公司违反交通法规的行为罚款五万元。2019年9月18日，深圳市住房和建设局对中国建筑股份有限公司违反《中华人民共和国安全生产法》第三十八条第一款“生产经营单位应当建立健全生产安全事故隐患排查治理制度，采取技术、管理措施，及时发现并消除事故隐患，事故隐患排查治理情况应当如实记录，并向从业人员通报”的行为罚款50000元。2019年11月4日，国家税务总局北京市海淀区税务局对中国建筑股份有限公司未依法履行职责的行为进行罚款。2020年3月19日，西安市人力资源和社会保障局依据《西安市农民工工资保障办法》第二十三条第一项，对中国建筑股份有限公司 “未按本办法规定预存农民工工资支付保证金”的行为罚款10000元。2020年5月7日，江西省交通建设工程质量监督管理局对中国建筑股份有限公司“中国建筑股份有限公司井冈山航电枢纽工程项目A1合同段从事电焊作业的陈子高未按照国家有关规定经专门的安全作业培训取得相应特种作业资格”的行为罚款2万元。</w:t>
      </w:r>
    </w:p>
    <w:p>
      <w:pPr>
        <w:spacing w:line="360" w:lineRule="auto"/>
        <w:rPr>
          <w:color w:val="000000"/>
          <w:sz w:val="24"/>
        </w:rPr>
      </w:pPr>
      <w:r>
        <w:rPr>
          <w:color w:val="000000"/>
          <w:sz w:val="24"/>
        </w:rPr>
        <w:t>除招商银行、平安银行、中国建筑外，本基金投资的前十名证券的发行主体本期没有出现被监管部门立案调查，或在报告编制日前一年内受到公开谴责、处罚的情形。</w:t>
      </w:r>
    </w:p>
    <w:p w:rsidP="00045BEC" w:rsidR="00A62673" w:rsidRDefault="00DD51D8" w:rsidRPr="00C1648E">
      <w:pPr>
        <w:spacing w:line="360" w:lineRule="auto"/>
        <w:rPr>
          <w:color w:val="000000"/>
          <w:sz w:val="24"/>
        </w:rPr>
      </w:pPr>
      <w:r>
        <w:rPr>
          <w:rFonts w:hint="eastAsia"/>
          <w:color w:val="000000"/>
          <w:sz w:val="24"/>
        </w:rPr>
        <w:t/>
      </w:r>
      <w:r w:rsidR="00A62673" w:rsidRPr="00EC5CE0">
        <w:rPr>
          <w:rFonts w:ascii="宋体" w:hAnsi="宋体"/>
          <w:color w:val="000000"/>
          <w:sz w:val="24"/>
        </w:rPr>
        <w:t>5.11.2</w:t>
      </w:r>
      <w:r w:rsidR="00A4276F">
        <w:rPr>
          <w:rFonts w:ascii="宋体" w:hAnsi="宋体" w:hint="eastAsia"/>
          <w:color w:val="000000"/>
          <w:sz w:val="24"/>
        </w:rPr>
        <w:t xml:space="preserve"> </w:t>
      </w:r>
      <w:r w:rsidR="00A62673" w:rsidRPr="00C1648E">
        <w:rPr>
          <w:color w:val="000000"/>
          <w:sz w:val="24"/>
        </w:rPr>
        <w:t>本基金投资的前十名股票没有超出基金合同规定的备选股票库。</w:t>
      </w:r>
    </w:p>
    <w:p w:rsidP="00045BEC" w:rsidR="00A62673" w:rsidRDefault="00A62673" w:rsidRPr="00977154">
      <w:pPr>
        <w:autoSpaceDE w:val="0"/>
        <w:autoSpaceDN w:val="0"/>
        <w:adjustRightInd w:val="0"/>
        <w:spacing w:line="360" w:lineRule="auto"/>
        <w:jc w:val="left"/>
        <w:rPr>
          <w:rFonts w:ascii="宋体" w:cs="Arial"/>
          <w:color w:val="000000"/>
          <w:kern w:val="0"/>
          <w:sz w:val="24"/>
        </w:rPr>
      </w:pPr>
      <w:r w:rsidRPr="00977154">
        <w:rPr>
          <w:rFonts w:ascii="宋体"/>
          <w:color w:val="000000"/>
          <w:kern w:val="0"/>
          <w:sz w:val="24"/>
        </w:rPr>
        <w:t/>
      </w:r>
      <w:r w:rsidRPr="00977154">
        <w:rPr>
          <w:rFonts w:ascii="宋体" w:hAnsi="宋体"/>
          <w:color w:val="000000"/>
          <w:kern w:val="0"/>
          <w:sz w:val="24"/>
        </w:rPr>
        <w:t>5.11.3</w:t>
      </w:r>
      <w:r w:rsidR="00F26236">
        <w:rPr>
          <w:rFonts w:ascii="宋体" w:cs="Arial" w:hAnsi="宋体" w:hint="eastAsia"/>
          <w:color w:val="000000"/>
          <w:kern w:val="0"/>
          <w:sz w:val="24"/>
        </w:rPr>
        <w:t>其他</w:t>
      </w:r>
      <w:bookmarkStart w:id="2" w:name="_GoBack"/>
      <w:bookmarkEnd w:id="2"/>
      <w:r w:rsidRPr="00977154">
        <w:rPr>
          <w:rFonts w:ascii="宋体" w:cs="Arial" w:hAnsi="宋体" w:hint="eastAsia"/>
          <w:color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44"/>
        <w:gridCol w:w="2761"/>
        <w:gridCol w:w="4808"/>
      </w:tblGrid>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7"/>
              <w:jc w:val="center"/>
              <w:rPr>
                <w:color w:val="000000"/>
                <w:kern w:val="0"/>
                <w:sz w:val="24"/>
              </w:rPr>
            </w:pPr>
            <w:r w:rsidRPr="00C1648E">
              <w:rPr>
                <w:color w:val="000000"/>
                <w:kern w:val="0"/>
                <w:sz w:val="24"/>
              </w:rPr>
              <w:t>序号</w:t>
            </w:r>
          </w:p>
        </w:tc>
        <w:tc>
          <w:tcPr>
            <w:tcW w:type="dxa" w:w="2761"/>
            <w:vAlign w:val="center"/>
          </w:tcPr>
          <w:p w:rsidP="006B315F" w:rsidR="00A62673" w:rsidRDefault="00A62673" w:rsidRPr="00C1648E">
            <w:pPr>
              <w:autoSpaceDE w:val="0"/>
              <w:autoSpaceDN w:val="0"/>
              <w:adjustRightInd w:val="0"/>
              <w:spacing w:before="29" w:line="360" w:lineRule="auto"/>
              <w:ind w:left="17"/>
              <w:jc w:val="center"/>
              <w:rPr>
                <w:color w:val="000000"/>
                <w:kern w:val="0"/>
                <w:sz w:val="24"/>
              </w:rPr>
            </w:pPr>
            <w:r w:rsidRPr="00C1648E">
              <w:rPr>
                <w:color w:val="000000"/>
                <w:kern w:val="0"/>
                <w:sz w:val="24"/>
              </w:rPr>
              <w:t>名称</w:t>
            </w:r>
          </w:p>
        </w:tc>
        <w:tc>
          <w:tcPr>
            <w:tcW w:type="dxa" w:w="4808"/>
            <w:vAlign w:val="center"/>
          </w:tcPr>
          <w:p w:rsidP="006B315F" w:rsidR="00A62673" w:rsidRDefault="00A62673" w:rsidRPr="00C1648E">
            <w:pPr>
              <w:autoSpaceDE w:val="0"/>
              <w:autoSpaceDN w:val="0"/>
              <w:adjustRightInd w:val="0"/>
              <w:spacing w:before="29" w:line="360" w:lineRule="auto"/>
              <w:ind w:left="17"/>
              <w:jc w:val="center"/>
              <w:rPr>
                <w:color w:val="000000"/>
                <w:kern w:val="0"/>
                <w:sz w:val="24"/>
              </w:rPr>
            </w:pPr>
            <w:r w:rsidRPr="00C1648E">
              <w:rPr>
                <w:color w:val="000000"/>
                <w:kern w:val="0"/>
                <w:sz w:val="24"/>
              </w:rPr>
              <w:t>金额</w:t>
            </w:r>
            <w:r w:rsidR="005A2769" w:rsidRPr="00C1648E">
              <w:rPr>
                <w:color w:val="000000"/>
                <w:kern w:val="0"/>
                <w:sz w:val="24"/>
              </w:rPr>
              <w:t>（元）</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kern w:val="0"/>
                <w:sz w:val="24"/>
              </w:rPr>
            </w:pPr>
            <w:r w:rsidRPr="00C1648E">
              <w:rPr>
                <w:color w:val="000000"/>
                <w:sz w:val="24"/>
              </w:rPr>
              <w:t>1</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存出保证金</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949,135.37</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2</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应收证券清算款</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20,095,096.17</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3</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应收股利</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4</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应收利息</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12,433,460.57</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5</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应收申购款</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145,003,567.93</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6</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其他应收款</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w:t>
            </w:r>
          </w:p>
        </w:tc>
      </w:tr>
      <w:tr w:rsidR="00A62673" w:rsidRPr="00EC5CE0" w:rsidTr="006B315F">
        <w:tc>
          <w:tcPr>
            <w:tcW w:type="dxa" w:w="944"/>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7</w:t>
            </w:r>
          </w:p>
        </w:tc>
        <w:tc>
          <w:tcPr>
            <w:tcW w:type="dxa" w:w="2761"/>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待摊费用</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8</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其他</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lastRenderedPageBreak/>
              <w:t>9</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合计</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178,481,260.04</w:t>
            </w:r>
          </w:p>
        </w:tc>
      </w:tr>
    </w:tbl>
    <w:p w:rsidP="00045BEC" w:rsidR="00A62673" w:rsidRDefault="00A62673" w:rsidRPr="00977154">
      <w:pPr>
        <w:autoSpaceDE w:val="0"/>
        <w:autoSpaceDN w:val="0"/>
        <w:adjustRightInd w:val="0"/>
        <w:spacing w:line="360" w:lineRule="auto"/>
        <w:jc w:val="left"/>
        <w:rPr>
          <w:rFonts w:ascii="宋体" w:cs="Arial"/>
          <w:color w:val="000000"/>
          <w:kern w:val="0"/>
          <w:sz w:val="24"/>
        </w:rPr>
      </w:pPr>
      <w:r w:rsidRPr="00977154">
        <w:rPr>
          <w:rFonts w:ascii="宋体"/>
          <w:color w:val="000000"/>
          <w:kern w:val="0"/>
          <w:sz w:val="24"/>
        </w:rPr>
        <w:t/>
      </w:r>
      <w:r w:rsidRPr="00977154">
        <w:rPr>
          <w:rFonts w:ascii="宋体" w:hAnsi="宋体"/>
          <w:color w:val="000000"/>
          <w:kern w:val="0"/>
          <w:sz w:val="24"/>
        </w:rPr>
        <w:t>5.11.4</w:t>
      </w:r>
      <w:r w:rsidRPr="00977154">
        <w:rPr>
          <w:rFonts w:ascii="宋体" w:cs="Arial" w:hAnsi="宋体" w:hint="eastAsia"/>
          <w:color w:val="000000"/>
          <w:kern w:val="0"/>
          <w:sz w:val="24"/>
        </w:rPr>
        <w:t>报告期末持有的处于转股期的可转换债券明细</w:t>
      </w:r>
    </w:p>
    <w:p w:rsidP="00DC315B" w:rsidR="00A62673" w:rsidRDefault="00A62673" w:rsidRPr="00DC315B">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r w:rsidRPr="00DC315B">
        <w:rPr>
          <w:color w:val="000000"/>
          <w:sz w:val="24"/>
        </w:rPr>
        <w:t/>
      </w:r>
      <w:proofErr w:type="spellEnd"/>
      <w:r w:rsidRPr="00DC315B">
        <w:rPr>
          <w:color w:val="000000"/>
          <w:sz w:val="24"/>
        </w:rPr>
        <w:t>本基金本报告期末未持有处于转股期的可转换债券。</w:t>
      </w:r>
    </w:p>
    <w:p w:rsidP="00774C7D" w:rsidR="00774C7D" w:rsidRDefault="00774C7D" w:rsidRPr="00977154">
      <w:pPr>
        <w:spacing w:line="360" w:lineRule="auto"/>
        <w:rPr>
          <w:rFonts w:ascii="宋体" w:cs="Arial"/>
          <w:color w:val="000000"/>
          <w:kern w:val="0"/>
          <w:sz w:val="24"/>
        </w:rPr>
      </w:pPr>
      <w:r w:rsidRPr="00977154">
        <w:rPr>
          <w:rFonts w:ascii="宋体"/>
          <w:color w:val="000000"/>
          <w:kern w:val="0"/>
          <w:sz w:val="24"/>
        </w:rPr>
        <w:t/>
      </w:r>
      <w:r w:rsidRPr="00977154">
        <w:rPr>
          <w:rFonts w:ascii="宋体" w:hAnsi="宋体"/>
          <w:color w:val="000000"/>
          <w:kern w:val="0"/>
          <w:sz w:val="24"/>
        </w:rPr>
        <w:t>5.11.5</w:t>
      </w:r>
      <w:r w:rsidRPr="00977154">
        <w:rPr>
          <w:rFonts w:ascii="宋体" w:hAnsi="宋体" w:hint="eastAsia"/>
          <w:sz w:val="24"/>
        </w:rPr>
        <w:t>报告期末前十名股票中存在流通受限情况的说明</w:t>
      </w:r>
    </w:p>
    <w:p w:rsidP="00774C7D" w:rsidR="00774C7D" w:rsidRDefault="00774C7D" w:rsidRPr="00977154">
      <w:pPr>
        <w:spacing w:line="360" w:lineRule="auto"/>
        <w:rPr>
          <w:rFonts w:ascii="宋体" w:cs="Arial"/>
          <w:color w:val="000000"/>
          <w:kern w:val="0"/>
          <w:sz w:val="24"/>
        </w:rPr>
      </w:pPr>
      <w:r w:rsidRPr="00977154">
        <w:rPr>
          <w:rFonts w:ascii="宋体"/>
          <w:color w:val="000000"/>
          <w:kern w:val="0"/>
          <w:sz w:val="24"/>
        </w:rPr>
        <w:t/>
      </w:r>
      <w:r w:rsidRPr="00977154">
        <w:rPr>
          <w:rFonts w:ascii="宋体" w:hAnsi="宋体"/>
          <w:color w:val="000000"/>
          <w:kern w:val="0"/>
          <w:sz w:val="24"/>
        </w:rPr>
        <w:t>5.11.5</w:t>
      </w:r>
      <w:r w:rsidRPr="00977154">
        <w:rPr>
          <w:rFonts w:ascii="宋体" w:cs="Arial"/>
          <w:color w:val="000000"/>
          <w:kern w:val="0"/>
          <w:sz w:val="24"/>
        </w:rPr>
        <w:t>.</w:t>
      </w:r>
      <w:r w:rsidRPr="00977154">
        <w:rPr>
          <w:rFonts w:ascii="宋体" w:cs="Arial" w:hAnsi="宋体"/>
          <w:color w:val="000000"/>
          <w:kern w:val="0"/>
          <w:sz w:val="24"/>
        </w:rPr>
        <w:t>1</w:t>
      </w:r>
      <w:r w:rsidRPr="00977154">
        <w:rPr>
          <w:rFonts w:ascii="宋体" w:hAnsi="宋体" w:hint="eastAsia"/>
          <w:sz w:val="24"/>
        </w:rPr>
        <w:t>期末指数投资前十名股票中存在流通受限情况的说明</w:t>
      </w:r>
    </w:p>
    <w:p w:rsidP="00774C7D" w:rsidR="00774C7D" w:rsidRDefault="00774C7D" w:rsidRPr="00DC315B">
      <w:pPr>
        <w:spacing w:line="360" w:lineRule="auto"/>
        <w:ind w:firstLine="480" w:firstLineChars="200"/>
        <w:rPr>
          <w:color w:val="000000"/>
          <w:sz w:val="24"/>
        </w:rPr>
      </w:pPr>
      <w:r w:rsidRPr="00DC315B">
        <w:rPr>
          <w:color w:val="000000"/>
          <w:sz w:val="24"/>
        </w:rPr>
        <w:t>本基金本报告期末指数投资前十名股票中不存在流通受限情况。</w:t>
      </w:r>
    </w:p>
    <w:p w:rsidP="00774C7D" w:rsidR="00774C7D" w:rsidRDefault="00774C7D" w:rsidRPr="00977154">
      <w:pPr>
        <w:spacing w:line="360" w:lineRule="auto"/>
        <w:rPr>
          <w:rFonts w:ascii="宋体" w:cs="STSong-Light"/>
          <w:sz w:val="24"/>
        </w:rPr>
      </w:pPr>
      <w:r w:rsidRPr="00977154">
        <w:rPr>
          <w:rFonts w:ascii="宋体"/>
          <w:color w:val="000000"/>
          <w:kern w:val="0"/>
          <w:sz w:val="24"/>
        </w:rPr>
        <w:t/>
      </w:r>
      <w:r w:rsidRPr="00977154">
        <w:rPr>
          <w:rFonts w:ascii="宋体" w:hAnsi="宋体"/>
          <w:color w:val="000000"/>
          <w:kern w:val="0"/>
          <w:sz w:val="24"/>
        </w:rPr>
        <w:t>5.11.5</w:t>
      </w:r>
      <w:r w:rsidRPr="00977154">
        <w:rPr>
          <w:rFonts w:ascii="宋体" w:cs="Arial"/>
          <w:color w:val="000000"/>
          <w:kern w:val="0"/>
          <w:sz w:val="24"/>
        </w:rPr>
        <w:t>.</w:t>
      </w:r>
      <w:r w:rsidRPr="00977154">
        <w:rPr>
          <w:rFonts w:ascii="宋体" w:cs="Arial" w:hAnsi="宋体"/>
          <w:color w:val="000000"/>
          <w:kern w:val="0"/>
          <w:sz w:val="24"/>
        </w:rPr>
        <w:t>2</w:t>
      </w:r>
      <w:r w:rsidRPr="00977154">
        <w:rPr>
          <w:rFonts w:ascii="宋体" w:hAnsi="宋体" w:hint="eastAsia"/>
          <w:sz w:val="24"/>
        </w:rPr>
        <w:t>期末积极投资前五名股票中存在流通受限情况的说明</w:t>
      </w:r>
    </w:p>
    <w:p w:rsidP="00C1648E" w:rsidR="00A62673" w:rsidRDefault="00774C7D"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r w:rsidRPr="00DC315B">
        <w:rPr>
          <w:color w:val="000000"/>
          <w:sz w:val="24"/>
        </w:rPr>
        <w:t/>
      </w:r>
      <w:proofErr w:type="spellEnd"/>
      <w:r w:rsidRPr="00DC315B">
        <w:rPr>
          <w:color w:val="000000"/>
          <w:sz w:val="24"/>
        </w:rPr>
        <w:t>本基金本报告期末积极投资前五名股票中不存在流通受限情况。</w:t>
      </w:r>
    </w:p>
    <w:p w:rsidP="00F729DC" w:rsidR="00A62673" w:rsidRDefault="00A62673" w:rsidRPr="00EC5CE0">
      <w:pPr>
        <w:pStyle w:val="1"/>
        <w:spacing w:after="312" w:afterLines="100" w:before="312" w:beforeLines="100" w:line="360" w:lineRule="auto"/>
        <w:jc w:val="center"/>
        <w:rPr>
          <w:rFonts w:ascii="宋体" w:cs="Arial"/>
          <w:color w:val="000000"/>
          <w:kern w:val="0"/>
          <w:sz w:val="24"/>
          <w:szCs w:val="24"/>
        </w:rPr>
      </w:pPr>
      <w:r w:rsidRPr="00EC5CE0">
        <w:rPr>
          <w:rFonts w:ascii="宋体" w:cs="Arial" w:hAnsi="宋体" w:hint="eastAsia"/>
          <w:color w:val="000000"/>
          <w:kern w:val="0"/>
          <w:sz w:val="24"/>
          <w:szCs w:val="24"/>
        </w:rPr>
        <w:t>§</w:t>
      </w:r>
      <w:r w:rsidRPr="00EC5CE0">
        <w:rPr>
          <w:rFonts w:ascii="宋体" w:cs="Arial" w:hAnsi="宋体"/>
          <w:color w:val="000000"/>
          <w:kern w:val="0"/>
          <w:sz w:val="24"/>
          <w:szCs w:val="24"/>
        </w:rPr>
        <w:t xml:space="preserve">6  </w:t>
      </w:r>
      <w:r w:rsidRPr="00EC5CE0">
        <w:rPr>
          <w:rFonts w:ascii="宋体" w:cs="Arial" w:hAnsi="宋体" w:hint="eastAsia"/>
          <w:color w:val="000000"/>
          <w:kern w:val="0"/>
          <w:sz w:val="24"/>
          <w:szCs w:val="24"/>
        </w:rPr>
        <w:t>开放式基金份额变动</w:t>
      </w:r>
    </w:p>
    <w:p w:rsidP="004976EE" w:rsidR="004976EE" w:rsidRDefault="004976EE"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4976EE" w:rsidRPr="0078105B" w:rsidTr="006D2AB1">
        <w:tc>
          <w:tcPr>
            <w:tcW w:type="dxa" w:w="3900"/>
            <w:vAlign w:val="center"/>
          </w:tcPr>
          <w:p w:rsidP="004971F0" w:rsidR="004976EE" w:rsidRDefault="004976EE"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4971F0" w:rsidR="004976EE" w:rsidRDefault="004976EE"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易方达上证50指数A</w:t>
            </w:r>
          </w:p>
        </w:tc>
        <w:tc>
          <w:tcPr>
            <w:tcW w:type="dxa" w:w="2367"/>
            <w:vAlign w:val="center"/>
          </w:tcPr>
          <w:p w:rsidP="004971F0" w:rsidR="004976EE" w:rsidRDefault="004976EE"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易方达上证50指数C</w:t>
            </w:r>
          </w:p>
        </w:tc>
      </w:tr>
      <w:tr w:rsidR="004976EE" w:rsidRPr="0078105B" w:rsidTr="006D2AB1">
        <w:tc>
          <w:tcPr>
            <w:tcW w:type="dxa" w:w="3900"/>
            <w:vAlign w:val="center"/>
          </w:tcPr>
          <w:p w:rsidP="004971F0" w:rsidR="004976EE" w:rsidRDefault="004976EE"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报告期期初基金份额总额</w:t>
            </w:r>
          </w:p>
        </w:tc>
        <w:tc>
          <w:tcPr>
            <w:tcW w:type="dxa" w:w="2367"/>
            <w:vAlign w:val="center"/>
          </w:tcPr>
          <w:p w:rsidP="004971F0" w:rsidR="004976EE" w:rsidRDefault="004976EE"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9,730,262,099.63</w:t>
            </w:r>
          </w:p>
        </w:tc>
        <w:tc>
          <w:tcPr>
            <w:tcW w:type="dxa" w:w="2367"/>
            <w:vAlign w:val="center"/>
          </w:tcPr>
          <w:p w:rsidP="004971F0" w:rsidR="004976EE" w:rsidRDefault="004976EE"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1,426,088,396.08</w:t>
            </w:r>
          </w:p>
        </w:tc>
      </w:tr>
      <w:tr w:rsidR="004976EE" w:rsidRPr="0078105B" w:rsidTr="006D2AB1">
        <w:tc>
          <w:tcPr>
            <w:tcW w:type="dxa" w:w="3900"/>
            <w:vAlign w:val="center"/>
          </w:tcPr>
          <w:p w:rsidP="004971F0" w:rsidR="004976EE" w:rsidRDefault="004976EE"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r w:rsidRPr="00FA472B">
              <w:rPr>
                <w:color w:val="000000"/>
                <w:kern w:val="0"/>
                <w:sz w:val="24"/>
              </w:rPr>
              <w:lastRenderedPageBreak/>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4971F0" w:rsidR="004976EE" w:rsidRDefault="004976EE"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proofErr w:type="spellStart"/>
            <w:r w:rsidRPr="00FA472B">
              <w:rPr>
                <w:color w:val="000000"/>
                <w:sz w:val="24"/>
              </w:rPr>
              <w:t/>
            </w:r>
            <w:r w:rsidRPr="00FA472B">
              <w:rPr>
                <w:color w:val="000000"/>
                <w:sz w:val="24"/>
              </w:rPr>
              <w:lastRenderedPageBreak/>
              <w:t/>
            </w:r>
            <w:proofErr w:type="spellEnd"/>
            <w:r w:rsidRPr="00FA472B">
              <w:rPr>
                <w:color w:val="000000"/>
                <w:sz w:val="24"/>
              </w:rPr>
              <w:t>1,791,503,094.56</w:t>
            </w:r>
          </w:p>
        </w:tc>
        <w:tc>
          <w:tcPr>
            <w:tcW w:type="dxa" w:w="2367"/>
            <w:vAlign w:val="center"/>
          </w:tcPr>
          <w:p w:rsidP="004971F0" w:rsidR="004976EE" w:rsidRDefault="004976EE"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464,206,401.89</w:t>
            </w:r>
          </w:p>
        </w:tc>
      </w:tr>
      <w:tr w:rsidR="004976EE" w:rsidRPr="0078105B" w:rsidTr="006D2AB1">
        <w:tc>
          <w:tcPr>
            <w:tcW w:type="dxa" w:w="3900"/>
            <w:vAlign w:val="center"/>
          </w:tcPr>
          <w:p w:rsidP="004971F0" w:rsidR="004976EE" w:rsidRDefault="004976EE" w:rsidRPr="00FA472B">
            <w:pPr>
              <w:autoSpaceDE w:val="0"/>
              <w:autoSpaceDN w:val="0"/>
              <w:adjustRightInd w:val="0"/>
              <w:spacing w:before="29" w:line="360" w:lineRule="auto"/>
              <w:ind w:left="17"/>
              <w:jc w:val="left"/>
              <w:rPr>
                <w:color w:val="000000"/>
                <w:kern w:val="0"/>
                <w:sz w:val="24"/>
              </w:rPr>
            </w:pPr>
            <w:r w:rsidRPr="00FA472B">
              <w:rPr>
                <w:color w:val="000000"/>
                <w:kern w:val="0"/>
                <w:sz w:val="24"/>
              </w:rPr>
              <w:lastRenderedPageBreak/>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4971F0" w:rsidR="004976EE" w:rsidRDefault="004976EE"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2,181,975,506.64</w:t>
            </w:r>
          </w:p>
        </w:tc>
        <w:tc>
          <w:tcPr>
            <w:tcW w:type="dxa" w:w="2367"/>
            <w:vAlign w:val="center"/>
          </w:tcPr>
          <w:p w:rsidP="004971F0" w:rsidR="004976EE" w:rsidRDefault="004976EE" w:rsidRPr="00FA472B">
            <w:pPr>
              <w:autoSpaceDE w:val="0"/>
              <w:autoSpaceDN w:val="0"/>
              <w:adjustRightInd w:val="0"/>
              <w:spacing w:before="29" w:line="360" w:lineRule="auto"/>
              <w:ind w:left="17"/>
              <w:jc w:val="right"/>
              <w:rPr>
                <w:color w:val="000000"/>
                <w:sz w:val="24"/>
              </w:rPr>
            </w:pPr>
            <w:r w:rsidRPr="00FA472B">
              <w:rPr>
                <w:color w:val="000000"/>
                <w:sz w:val="24"/>
              </w:rPr>
              <w:t>1,000,298,733.74</w:t>
            </w:r>
          </w:p>
        </w:tc>
      </w:tr>
      <w:tr w:rsidR="004976EE" w:rsidRPr="0078105B" w:rsidTr="006D2AB1">
        <w:tc>
          <w:tcPr>
            <w:tcW w:type="dxa" w:w="3900"/>
            <w:vAlign w:val="center"/>
          </w:tcPr>
          <w:p w:rsidP="004971F0" w:rsidR="004976EE" w:rsidRDefault="004976EE"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3F1BDC">
              <w:rPr>
                <w:rFonts w:hint="eastAsia"/>
                <w:color w:val="000000"/>
                <w:kern w:val="0"/>
                <w:sz w:val="24"/>
              </w:rPr>
              <w:t>（份额减少以“</w:t>
            </w:r>
            <w:r w:rsidR="003F1BDC">
              <w:rPr>
                <w:color w:val="000000"/>
                <w:kern w:val="0"/>
                <w:sz w:val="24"/>
              </w:rPr>
              <w:t>-</w:t>
            </w:r>
            <w:r w:rsidR="003F1BDC">
              <w:rPr>
                <w:rFonts w:hint="eastAsia"/>
                <w:color w:val="000000"/>
                <w:kern w:val="0"/>
                <w:sz w:val="24"/>
              </w:rPr>
              <w:t>”填列）</w:t>
            </w:r>
          </w:p>
        </w:tc>
        <w:tc>
          <w:tcPr>
            <w:tcW w:type="dxa" w:w="2367"/>
            <w:vAlign w:val="center"/>
          </w:tcPr>
          <w:p w:rsidP="004971F0" w:rsidR="004976EE" w:rsidRDefault="004976EE"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4971F0" w:rsidR="004976EE" w:rsidRDefault="004976EE"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4976EE" w:rsidRPr="0078105B" w:rsidTr="006D2AB1">
        <w:tc>
          <w:tcPr>
            <w:tcW w:type="dxa" w:w="3900"/>
            <w:vAlign w:val="center"/>
          </w:tcPr>
          <w:p w:rsidP="004971F0" w:rsidR="004976EE" w:rsidRDefault="004976EE"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4971F0" w:rsidR="004976EE" w:rsidRDefault="004976EE"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9,339,789,687.55</w:t>
            </w:r>
          </w:p>
        </w:tc>
        <w:tc>
          <w:tcPr>
            <w:tcW w:type="dxa" w:w="2367"/>
            <w:vAlign w:val="center"/>
          </w:tcPr>
          <w:p w:rsidP="004971F0" w:rsidR="004976EE" w:rsidRDefault="004976EE" w:rsidRPr="00FA472B">
            <w:pPr>
              <w:autoSpaceDE w:val="0"/>
              <w:autoSpaceDN w:val="0"/>
              <w:adjustRightInd w:val="0"/>
              <w:spacing w:before="29" w:line="360" w:lineRule="auto"/>
              <w:ind w:left="17"/>
              <w:jc w:val="right"/>
              <w:rPr>
                <w:color w:val="000000"/>
                <w:sz w:val="24"/>
              </w:rPr>
            </w:pPr>
            <w:r w:rsidRPr="00FA472B">
              <w:rPr>
                <w:color w:val="000000"/>
                <w:sz w:val="24"/>
              </w:rPr>
              <w:t>889,996,064.23</w:t>
            </w:r>
          </w:p>
        </w:tc>
      </w:tr>
    </w:tbl>
    <w:p w:rsidP="00F729DC" w:rsidR="00A62673" w:rsidRDefault="00A62673">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olor w:val="000000"/>
          <w:kern w:val="0"/>
          <w:sz w:val="24"/>
          <w:szCs w:val="24"/>
        </w:rPr>
        <w:t/>
      </w:r>
      <w:proofErr w:type="spellStart"/>
      <w:r>
        <w:rPr>
          <w:rFonts w:ascii="宋体" w:hAnsi="宋体"/>
          <w:color w:val="000000"/>
          <w:kern w:val="0"/>
          <w:sz w:val="24"/>
          <w:szCs w:val="24"/>
        </w:rPr>
        <w:t/>
      </w:r>
      <w:proofErr w:type="spellEnd"/>
      <w:r>
        <w:rPr>
          <w:rFonts w:ascii="宋体" w:hAnsi="宋体"/>
          <w:color w:val="000000"/>
          <w:kern w:val="0"/>
          <w:sz w:val="24"/>
          <w:szCs w:val="24"/>
        </w:rPr>
        <w:t/>
      </w:r>
      <w:r>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413689" w:rsidR="00A62673" w:rsidRDefault="00A62673">
      <w:pPr>
        <w:spacing w:line="360" w:lineRule="auto"/>
        <w:jc w:val="left"/>
        <w:rPr>
          <w:sz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C1648E" w:rsidR="00A62673" w:rsidRDefault="004D5C1F" w:rsidRPr="00C1648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r w:rsidRPr="00DF18FE">
        <w:rPr>
          <w:color w:val="000000"/>
          <w:sz w:val="24"/>
        </w:rPr>
        <w:t/>
      </w:r>
      <w:proofErr w:type="spellEnd"/>
      <w:r w:rsidRPr="00DF18FE">
        <w:rPr>
          <w:color w:val="000000"/>
          <w:sz w:val="24"/>
        </w:rPr>
        <w:t>本报告期内基金管理人未持有本基金份额。</w:t>
      </w:r>
    </w:p>
    <w:p w:rsidP="00413689" w:rsidR="00A62673" w:rsidRDefault="00A62673">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DC315B" w:rsidR="00A62673" w:rsidRDefault="004D5C1F" w:rsidRPr="00DC315B">
      <w:pPr>
        <w:spacing w:line="360" w:lineRule="auto"/>
        <w:ind w:firstLine="480" w:firstLineChars="200"/>
        <w:rPr>
          <w:color w:val="000000"/>
          <w:sz w:val="24"/>
        </w:rPr>
      </w:pPr>
      <w:r w:rsidRPr="00DF18FE">
        <w:rPr>
          <w:color w:val="000000"/>
          <w:sz w:val="24"/>
        </w:rPr>
        <w:lastRenderedPageBreak/>
        <w:t/>
      </w:r>
      <w:proofErr w:type="spellStart"/>
      <w:r w:rsidRPr="00DF18FE">
        <w:rPr>
          <w:color w:val="000000"/>
          <w:sz w:val="24"/>
        </w:rPr>
        <w:t/>
      </w:r>
      <w:proofErr w:type="spellEnd"/>
      <w:r w:rsidRPr="00DF18FE">
        <w:rPr>
          <w:color w:val="000000"/>
          <w:sz w:val="24"/>
        </w:rPr>
        <w:t/>
      </w:r>
      <w:proofErr w:type="spellStart"/>
      <w:r w:rsidRPr="00DF18FE">
        <w:rPr>
          <w:color w:val="000000"/>
          <w:sz w:val="24"/>
        </w:rPr>
        <w:t/>
      </w:r>
      <w:proofErr w:type="spellEnd"/>
      <w:r w:rsidRPr="00DF18FE">
        <w:rPr>
          <w:color w:val="000000"/>
          <w:sz w:val="24"/>
        </w:rPr>
        <w:t>本报告期内基金管理人未运用固有资金申购、赎回、买卖本基金份额。</w:t>
      </w:r>
    </w:p>
    <w:p w:rsidP="00F729DC" w:rsidR="00A62673" w:rsidRDefault="00A62673" w:rsidRPr="00EC5CE0">
      <w:pPr>
        <w:pStyle w:val="1"/>
        <w:spacing w:after="312" w:afterLines="100" w:before="312" w:beforeLines="100" w:line="360" w:lineRule="auto"/>
        <w:jc w:val="center"/>
        <w:rPr>
          <w:rFonts w:ascii="宋体" w:cs="Arial"/>
          <w:color w:val="000000"/>
          <w:kern w:val="0"/>
          <w:sz w:val="24"/>
          <w:szCs w:val="24"/>
        </w:rPr>
      </w:pPr>
      <w:r w:rsidRPr="00EC5CE0">
        <w:rPr>
          <w:rFonts w:ascii="宋体" w:cs="Arial" w:hAnsi="宋体" w:hint="eastAsia"/>
          <w:color w:val="000000"/>
          <w:kern w:val="0"/>
          <w:sz w:val="24"/>
          <w:szCs w:val="24"/>
        </w:rPr>
        <w:t>§</w:t>
      </w:r>
      <w:r w:rsidRPr="00EC5CE0">
        <w:rPr>
          <w:rFonts w:ascii="宋体" w:cs="Arial"/>
          <w:color w:val="000000"/>
          <w:kern w:val="0"/>
          <w:sz w:val="24"/>
          <w:szCs w:val="24"/>
        </w:rPr>
        <w:t/>
      </w:r>
      <w:r w:rsidRPr="00EC5CE0">
        <w:rPr>
          <w:rFonts w:ascii="宋体" w:cs="Arial" w:hAnsi="宋体"/>
          <w:color w:val="000000"/>
          <w:kern w:val="0"/>
          <w:sz w:val="24"/>
          <w:szCs w:val="24"/>
        </w:rPr>
        <w:t>8</w:t>
      </w:r>
      <w:r w:rsidR="00900A07" w:rsidRPr="00EC5CE0">
        <w:rPr>
          <w:rFonts w:ascii="宋体" w:cs="Arial" w:hAnsi="宋体"/>
          <w:color w:val="000000"/>
          <w:kern w:val="0"/>
          <w:sz w:val="24"/>
          <w:szCs w:val="24"/>
        </w:rPr>
        <w:t xml:space="preserve">  </w:t>
      </w:r>
      <w:r w:rsidRPr="00EC5CE0">
        <w:rPr>
          <w:rFonts w:ascii="宋体" w:cs="Arial" w:hAnsi="宋体" w:hint="eastAsia"/>
          <w:color w:val="000000"/>
          <w:kern w:val="0"/>
          <w:sz w:val="24"/>
          <w:szCs w:val="24"/>
        </w:rPr>
        <w:t>备查文件目录</w:t>
      </w:r>
    </w:p>
    <w:p w:rsidP="009A037F" w:rsidR="00A62673" w:rsidRDefault="00A62673" w:rsidRPr="00511B6A">
      <w:pPr>
        <w:spacing w:line="360" w:lineRule="auto"/>
        <w:rPr>
          <w:rFonts w:ascii="宋体"/>
          <w:b/>
          <w:color w:val="000000"/>
          <w:sz w:val="24"/>
        </w:rPr>
      </w:pPr>
      <w:r w:rsidRPr="00511B6A">
        <w:rPr>
          <w:rFonts w:ascii="宋体"/>
          <w:b/>
          <w:color w:val="000000"/>
          <w:sz w:val="24"/>
        </w:rPr>
        <w:t/>
      </w:r>
      <w:r w:rsidRPr="00511B6A">
        <w:rPr>
          <w:rFonts w:ascii="宋体" w:hAnsi="宋体"/>
          <w:b/>
          <w:color w:val="000000"/>
          <w:sz w:val="24"/>
        </w:rPr>
        <w:t xml:space="preserve">8.1 </w:t>
      </w:r>
      <w:r w:rsidRPr="00511B6A">
        <w:rPr>
          <w:rFonts w:ascii="宋体" w:hAnsi="宋体" w:hint="eastAsia"/>
          <w:b/>
          <w:color w:val="000000"/>
          <w:sz w:val="24"/>
        </w:rPr>
        <w:t>备查文件目录</w:t>
      </w:r>
    </w:p>
    <w:p>
      <w:pPr>
        <w:spacing w:line="360" w:lineRule="auto"/>
        <w:ind w:firstLine="480" w:firstLineChars="200"/>
        <w:rPr>
          <w:color w:val="000000"/>
          <w:sz w:val="24"/>
        </w:rPr>
      </w:pPr>
      <w:r>
        <w:rPr>
          <w:color w:val="000000"/>
          <w:sz w:val="24"/>
        </w:rPr>
        <w:t>1.中国证监会批准易方达50指数证券投资基金设立的文件；</w:t>
      </w:r>
    </w:p>
    <w:p>
      <w:pPr>
        <w:spacing w:line="360" w:lineRule="auto"/>
        <w:ind w:firstLine="480" w:firstLineChars="200"/>
        <w:rPr>
          <w:color w:val="000000"/>
          <w:sz w:val="24"/>
        </w:rPr>
      </w:pPr>
      <w:r>
        <w:rPr>
          <w:color w:val="000000"/>
          <w:sz w:val="24"/>
        </w:rPr>
        <w:t>2.《易方达50指数证券投资基金基金合同》；</w:t>
      </w:r>
    </w:p>
    <w:p>
      <w:pPr>
        <w:spacing w:line="360" w:lineRule="auto"/>
        <w:ind w:firstLine="480" w:firstLineChars="200"/>
        <w:rPr>
          <w:color w:val="000000"/>
          <w:sz w:val="24"/>
        </w:rPr>
      </w:pPr>
      <w:r>
        <w:rPr>
          <w:color w:val="000000"/>
          <w:sz w:val="24"/>
        </w:rPr>
        <w:t>3.《易方达50指数证券投资基金托管协议》；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5.基金管理人业务资格批件和营业执照。</w:t>
      </w:r>
    </w:p>
    <w:p w:rsidP="009A037F" w:rsidR="00A62673" w:rsidRDefault="00A62673" w:rsidRPr="00511B6A">
      <w:pPr>
        <w:spacing w:line="360" w:lineRule="auto"/>
        <w:rPr>
          <w:rFonts w:ascii="宋体"/>
          <w:b/>
          <w:color w:val="000000"/>
          <w:sz w:val="24"/>
        </w:rPr>
      </w:pPr>
      <w:r w:rsidRPr="00511B6A">
        <w:rPr>
          <w:rFonts w:ascii="宋体"/>
          <w:b/>
          <w:color w:val="000000"/>
          <w:sz w:val="24"/>
        </w:rPr>
        <w:t/>
      </w:r>
      <w:r w:rsidRPr="00511B6A">
        <w:rPr>
          <w:rFonts w:ascii="宋体" w:hAnsi="宋体"/>
          <w:b/>
          <w:color w:val="000000"/>
          <w:sz w:val="24"/>
        </w:rPr>
        <w:t xml:space="preserve">8.2 </w:t>
      </w:r>
      <w:r w:rsidRPr="00511B6A">
        <w:rPr>
          <w:rFonts w:ascii="宋体" w:hAnsi="宋体" w:hint="eastAsia"/>
          <w:b/>
          <w:color w:val="000000"/>
          <w:sz w:val="24"/>
        </w:rPr>
        <w:t>存放地点</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广州市天河区珠江新城珠江东路30号广州银行大厦40-43楼。</w:t>
      </w:r>
    </w:p>
    <w:p w:rsidP="009A037F" w:rsidR="00A62673" w:rsidRDefault="00A62673" w:rsidRPr="00511B6A">
      <w:pPr>
        <w:spacing w:line="360" w:lineRule="auto"/>
        <w:rPr>
          <w:rFonts w:ascii="宋体"/>
          <w:b/>
          <w:color w:val="000000"/>
          <w:sz w:val="24"/>
        </w:rPr>
      </w:pPr>
      <w:r w:rsidRPr="00511B6A">
        <w:rPr>
          <w:rFonts w:ascii="宋体"/>
          <w:b/>
          <w:color w:val="000000"/>
          <w:sz w:val="24"/>
        </w:rPr>
        <w:t/>
      </w:r>
      <w:r w:rsidRPr="00511B6A">
        <w:rPr>
          <w:rFonts w:ascii="宋体" w:hAnsi="宋体"/>
          <w:b/>
          <w:color w:val="000000"/>
          <w:sz w:val="24"/>
        </w:rPr>
        <w:t xml:space="preserve">8.3 </w:t>
      </w:r>
      <w:r w:rsidRPr="00511B6A">
        <w:rPr>
          <w:rFonts w:ascii="宋体" w:hAnsi="宋体" w:hint="eastAsia"/>
          <w:b/>
          <w:color w:val="000000"/>
          <w:sz w:val="24"/>
        </w:rPr>
        <w:t>查阅方式</w:t>
      </w:r>
    </w:p>
    <w:p w:rsidP="005A2769" w:rsidR="00A62673" w:rsidRDefault="00A62673" w:rsidRPr="00DC315B">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投资者可在营业时间免费查阅，也可按工本费购买复印件。</w:t>
      </w:r>
    </w:p>
    <w:p w:rsidP="0019563C" w:rsidR="00A62673" w:rsidRDefault="00A62673">
      <w:pPr>
        <w:spacing w:line="360" w:lineRule="auto"/>
        <w:ind w:left="840"/>
        <w:jc w:val="right"/>
        <w:rPr>
          <w:rFonts w:ascii="宋体"/>
          <w:color w:val="000000"/>
          <w:sz w:val="24"/>
        </w:rPr>
      </w:pPr>
    </w:p>
    <w:p w:rsidP="0019563C" w:rsidR="00A62673" w:rsidRDefault="00A62673">
      <w:pPr>
        <w:spacing w:line="360" w:lineRule="auto"/>
        <w:ind w:left="840"/>
        <w:jc w:val="right"/>
        <w:rPr>
          <w:rFonts w:ascii="宋体"/>
          <w:color w:val="000000"/>
          <w:sz w:val="24"/>
        </w:rPr>
      </w:pPr>
    </w:p>
    <w:p w:rsidP="0019563C" w:rsidR="00A62673" w:rsidRDefault="00A62673">
      <w:pPr>
        <w:spacing w:line="360" w:lineRule="auto"/>
        <w:ind w:left="840"/>
        <w:jc w:val="right"/>
        <w:rPr>
          <w:rFonts w:ascii="宋体"/>
          <w:color w:val="000000"/>
          <w:sz w:val="24"/>
        </w:rPr>
      </w:pPr>
    </w:p>
    <w:p w:rsidP="0019563C" w:rsidR="00A62673" w:rsidRDefault="00A62673" w:rsidRPr="00EC5CE0">
      <w:pPr>
        <w:spacing w:line="360" w:lineRule="auto"/>
        <w:ind w:left="840"/>
        <w:jc w:val="right"/>
        <w:rPr>
          <w:rFonts w:ascii="宋体"/>
          <w:color w:val="000000"/>
          <w:sz w:val="24"/>
        </w:rPr>
      </w:pPr>
    </w:p>
    <w:p w:rsidP="0019563C" w:rsidR="00A62673" w:rsidRDefault="00A62673" w:rsidRPr="00EC5CE0">
      <w:pPr>
        <w:spacing w:line="360" w:lineRule="auto"/>
        <w:ind w:left="840"/>
        <w:jc w:val="right"/>
        <w:rPr>
          <w:rFonts w:ascii="宋体"/>
          <w:color w:val="000000"/>
          <w:sz w:val="24"/>
        </w:rPr>
      </w:pPr>
    </w:p>
    <w:p w:rsidP="009A037F" w:rsidR="00A62673" w:rsidRDefault="00A62673" w:rsidRPr="00EC5CE0">
      <w:pPr>
        <w:spacing w:line="360" w:lineRule="auto"/>
        <w:jc w:val="right"/>
        <w:rPr>
          <w:rFonts w:ascii="宋体" w:hAnsi="宋体"/>
          <w:b/>
          <w:bCs/>
          <w:sz w:val="24"/>
        </w:rPr>
      </w:pPr>
      <w:r w:rsidRPr="00EC5CE0">
        <w:rPr>
          <w:rFonts w:ascii="宋体"/>
          <w:b/>
          <w:bCs/>
          <w:sz w:val="24"/>
        </w:rPr>
        <w:t/>
      </w:r>
      <w:proofErr w:type="spellStart"/>
      <w:r w:rsidRPr="00EC5CE0">
        <w:rPr>
          <w:rFonts w:ascii="宋体" w:hAnsi="宋体"/>
          <w:b/>
          <w:bCs/>
          <w:sz w:val="24"/>
        </w:rPr>
        <w:t/>
      </w:r>
      <w:proofErr w:type="spellEnd"/>
      <w:r w:rsidRPr="00EC5CE0">
        <w:rPr>
          <w:rFonts w:ascii="宋体" w:hAnsi="宋体"/>
          <w:b/>
          <w:bCs/>
          <w:sz w:val="24"/>
        </w:rPr>
        <w:t>易方达基金管理有限公司</w:t>
      </w:r>
    </w:p>
    <w:p w:rsidP="00C06372" w:rsidR="00A62673" w:rsidRDefault="00A62673" w:rsidRPr="00C06372">
      <w:pPr>
        <w:spacing w:line="360" w:lineRule="auto"/>
        <w:jc w:val="right"/>
        <w:rPr>
          <w:rFonts w:ascii="宋体" w:hAnsi="宋体"/>
          <w:b/>
          <w:bCs/>
          <w:sz w:val="24"/>
        </w:rPr>
      </w:pPr>
      <w:r w:rsidRPr="00EC5CE0">
        <w:rPr>
          <w:rFonts w:ascii="宋体" w:hAnsi="宋体"/>
          <w:b/>
          <w:bCs/>
          <w:sz w:val="24"/>
        </w:rPr>
        <w:t/>
      </w:r>
      <w:proofErr w:type="spellStart"/>
      <w:r w:rsidRPr="00EC5CE0">
        <w:rPr>
          <w:rFonts w:ascii="宋体" w:hAnsi="宋体"/>
          <w:b/>
          <w:bCs/>
          <w:sz w:val="24"/>
        </w:rPr>
        <w:t/>
      </w:r>
      <w:proofErr w:type="spellEnd"/>
      <w:r w:rsidRPr="00EC5CE0">
        <w:rPr>
          <w:rFonts w:ascii="宋体" w:hAnsi="宋体"/>
          <w:b/>
          <w:bCs/>
          <w:sz w:val="24"/>
        </w:rPr>
        <w:t>二〇二〇年七月二十一日</w:t>
      </w:r>
    </w:p>
    <w:sectPr w:rsidR="00A62673" w:rsidRPr="00C06372" w:rsidSect="00DB4450">
      <w:footerReference r:id="rId12" w:type="even"/>
      <w:footerReference r:id="rId13"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062" w:rsidRDefault="00715062">
      <w:r>
        <w:separator/>
      </w:r>
    </w:p>
  </w:endnote>
  <w:endnote w:type="continuationSeparator" w:id="0">
    <w:p w:rsidR="00715062" w:rsidRDefault="00715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Song-Light">
    <w:altName w:val="Times New Roman"/>
    <w:panose1 w:val="00000000000000000000"/>
    <w:charset w:val="00"/>
    <w:family w:val="roman"/>
    <w:notTrueType/>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230A66" w:rsidR="002C4578" w:rsidRDefault="002C4578" w:rsidRPr="001D0DB0">
    <w:pPr>
      <w:pStyle w:val="a6"/>
      <w:jc w:val="center"/>
    </w:pPr>
    <w:r>
      <w:rPr>
        <w:rFonts w:hint="eastAsia"/>
        <w:szCs w:val="21"/>
      </w:rPr>
      <w:t>第</w:t>
    </w:r>
    <w:r w:rsidR="005F7D6F">
      <w:rPr>
        <w:szCs w:val="21"/>
      </w:rPr>
      <w:fldChar w:fldCharType="begin"/>
    </w:r>
    <w:r>
      <w:rPr>
        <w:szCs w:val="21"/>
      </w:rPr>
      <w:instrText xml:space="preserve"> PAGE </w:instrText>
    </w:r>
    <w:r w:rsidR="005F7D6F">
      <w:rPr>
        <w:szCs w:val="21"/>
      </w:rPr>
      <w:fldChar w:fldCharType="separate"/>
    </w:r>
    <w:r w:rsidR="00F26236">
      <w:rPr>
        <w:noProof/>
        <w:szCs w:val="21"/>
      </w:rPr>
      <w:t>1</w:t>
    </w:r>
    <w:r w:rsidR="005F7D6F">
      <w:rPr>
        <w:szCs w:val="21"/>
      </w:rPr>
      <w:fldChar w:fldCharType="end"/>
    </w:r>
    <w:proofErr w:type="gramStart"/>
    <w:r>
      <w:rPr>
        <w:rFonts w:hint="eastAsia"/>
        <w:szCs w:val="21"/>
      </w:rPr>
      <w:t>页共</w:t>
    </w:r>
    <w:proofErr w:type="gramEnd"/>
    <w:r w:rsidR="005F7D6F">
      <w:rPr>
        <w:szCs w:val="21"/>
      </w:rPr>
      <w:fldChar w:fldCharType="begin"/>
    </w:r>
    <w:r>
      <w:rPr>
        <w:szCs w:val="21"/>
      </w:rPr>
      <w:instrText xml:space="preserve"> NUMPAGES </w:instrText>
    </w:r>
    <w:r w:rsidR="005F7D6F">
      <w:rPr>
        <w:szCs w:val="21"/>
      </w:rPr>
      <w:fldChar w:fldCharType="separate"/>
    </w:r>
    <w:r w:rsidR="00F26236">
      <w:rPr>
        <w:noProof/>
        <w:szCs w:val="21"/>
      </w:rPr>
      <w:t>34</w:t>
    </w:r>
    <w:r w:rsidR="005F7D6F">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2C4578" w:rsidRDefault="005F7D6F">
    <w:pPr>
      <w:pStyle w:val="a6"/>
      <w:framePr w:hAnchor="margin" w:vAnchor="text" w:wrap="around" w:xAlign="center" w:y="1"/>
      <w:rPr>
        <w:rStyle w:val="a7"/>
      </w:rPr>
    </w:pPr>
    <w:r>
      <w:rPr>
        <w:rStyle w:val="a7"/>
      </w:rPr>
      <w:fldChar w:fldCharType="begin"/>
    </w:r>
    <w:r w:rsidR="002C4578">
      <w:rPr>
        <w:rStyle w:val="a7"/>
      </w:rPr>
      <w:instrText xml:space="preserve">PAGE  </w:instrText>
    </w:r>
    <w:r>
      <w:rPr>
        <w:rStyle w:val="a7"/>
      </w:rPr>
      <w:fldChar w:fldCharType="end"/>
    </w:r>
  </w:p>
  <w:p w:rsidR="002C4578" w:rsidRDefault="002C4578">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2C4578" w:rsidRDefault="005F7D6F">
    <w:pPr>
      <w:pStyle w:val="a6"/>
      <w:framePr w:hAnchor="margin" w:vAnchor="text" w:wrap="around" w:xAlign="center" w:y="1"/>
      <w:rPr>
        <w:rStyle w:val="a7"/>
      </w:rPr>
    </w:pPr>
    <w:r>
      <w:rPr>
        <w:rStyle w:val="a7"/>
      </w:rPr>
      <w:fldChar w:fldCharType="begin"/>
    </w:r>
    <w:r w:rsidR="002C4578">
      <w:rPr>
        <w:rStyle w:val="a7"/>
      </w:rPr>
      <w:instrText xml:space="preserve">PAGE  </w:instrText>
    </w:r>
    <w:r>
      <w:rPr>
        <w:rStyle w:val="a7"/>
      </w:rPr>
      <w:fldChar w:fldCharType="separate"/>
    </w:r>
    <w:r w:rsidR="00F26236">
      <w:rPr>
        <w:rStyle w:val="a7"/>
        <w:noProof/>
      </w:rPr>
      <w:t>24</w:t>
    </w:r>
    <w:r>
      <w:rPr>
        <w:rStyle w:val="a7"/>
      </w:rPr>
      <w:fldChar w:fldCharType="end"/>
    </w:r>
  </w:p>
  <w:p w:rsidR="002C4578" w:rsidRDefault="002C4578">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715062" w:rsidRDefault="00715062">
      <w:r>
        <w:separator/>
      </w:r>
    </w:p>
  </w:footnote>
  <w:footnote w:id="0" w:type="continuationSeparator">
    <w:p w:rsidR="00715062" w:rsidRDefault="00715062">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5E491F" w:rsidR="002C4578" w:rsidRDefault="002C4578" w:rsidRPr="00977154">
    <w:pPr>
      <w:pStyle w:val="a9"/>
      <w:pBdr>
        <w:bottom w:color="auto" w:space="0" w:sz="6" w:val="single"/>
      </w:pBdr>
      <w:jc w:val="right"/>
    </w:pPr>
    <w:r w:rsidRPr="00977154">
      <w:t/>
    </w:r>
    <w:proofErr w:type="spellStart"/>
    <w:proofErr w:type="gramStart"/>
    <w:r w:rsidRPr="00977154">
      <w:t/>
    </w:r>
    <w:proofErr w:type="spellEnd"/>
    <w:proofErr w:type="gramEnd"/>
    <w:r w:rsidRPr="00977154">
      <w:t>易方达50指数证券投资基金</w:t>
    </w:r>
    <w:proofErr w:type="spellStart"/>
    <w:r w:rsidRPr="00977154">
      <w:t/>
    </w:r>
    <w:proofErr w:type="spellEnd"/>
    <w:r w:rsidRPr="0097715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20BB"/>
    <w:rsid w:val="0000369F"/>
    <w:rsid w:val="0000403B"/>
    <w:rsid w:val="00005911"/>
    <w:rsid w:val="00010A83"/>
    <w:rsid w:val="00010A8E"/>
    <w:rsid w:val="00010AC3"/>
    <w:rsid w:val="000115A7"/>
    <w:rsid w:val="00011EB5"/>
    <w:rsid w:val="0001280C"/>
    <w:rsid w:val="00017581"/>
    <w:rsid w:val="00020583"/>
    <w:rsid w:val="00021DD4"/>
    <w:rsid w:val="00023BE7"/>
    <w:rsid w:val="00024709"/>
    <w:rsid w:val="00037FCF"/>
    <w:rsid w:val="000421B8"/>
    <w:rsid w:val="00043ABF"/>
    <w:rsid w:val="000445E4"/>
    <w:rsid w:val="00045BEC"/>
    <w:rsid w:val="000510AB"/>
    <w:rsid w:val="00055AF1"/>
    <w:rsid w:val="000625A6"/>
    <w:rsid w:val="00064AE3"/>
    <w:rsid w:val="0006511D"/>
    <w:rsid w:val="00066524"/>
    <w:rsid w:val="00070CD1"/>
    <w:rsid w:val="0007171B"/>
    <w:rsid w:val="00072E4F"/>
    <w:rsid w:val="00074E9F"/>
    <w:rsid w:val="000770DE"/>
    <w:rsid w:val="00081D05"/>
    <w:rsid w:val="000820A8"/>
    <w:rsid w:val="00084EE5"/>
    <w:rsid w:val="00087CF7"/>
    <w:rsid w:val="00091560"/>
    <w:rsid w:val="00093160"/>
    <w:rsid w:val="00094876"/>
    <w:rsid w:val="00095912"/>
    <w:rsid w:val="00095CE0"/>
    <w:rsid w:val="00096933"/>
    <w:rsid w:val="00097230"/>
    <w:rsid w:val="0009778D"/>
    <w:rsid w:val="000A391B"/>
    <w:rsid w:val="000A457E"/>
    <w:rsid w:val="000A53FD"/>
    <w:rsid w:val="000A549A"/>
    <w:rsid w:val="000A5F96"/>
    <w:rsid w:val="000A72F2"/>
    <w:rsid w:val="000B0C56"/>
    <w:rsid w:val="000B3E43"/>
    <w:rsid w:val="000B5CC0"/>
    <w:rsid w:val="000C1723"/>
    <w:rsid w:val="000C1B20"/>
    <w:rsid w:val="000C4107"/>
    <w:rsid w:val="000C45E7"/>
    <w:rsid w:val="000D01F4"/>
    <w:rsid w:val="000D1519"/>
    <w:rsid w:val="000D1C87"/>
    <w:rsid w:val="000E4456"/>
    <w:rsid w:val="000F175F"/>
    <w:rsid w:val="000F17D1"/>
    <w:rsid w:val="000F60FF"/>
    <w:rsid w:val="000F635F"/>
    <w:rsid w:val="000F6C61"/>
    <w:rsid w:val="000F709D"/>
    <w:rsid w:val="00100C12"/>
    <w:rsid w:val="00101DBA"/>
    <w:rsid w:val="001049B6"/>
    <w:rsid w:val="001051C6"/>
    <w:rsid w:val="00107CB4"/>
    <w:rsid w:val="0011177A"/>
    <w:rsid w:val="00112E9B"/>
    <w:rsid w:val="00116E31"/>
    <w:rsid w:val="00122A26"/>
    <w:rsid w:val="0012304E"/>
    <w:rsid w:val="001248EF"/>
    <w:rsid w:val="001257C7"/>
    <w:rsid w:val="00126DDF"/>
    <w:rsid w:val="001270BF"/>
    <w:rsid w:val="00127BAC"/>
    <w:rsid w:val="0013360F"/>
    <w:rsid w:val="00141121"/>
    <w:rsid w:val="00142A56"/>
    <w:rsid w:val="00143AF1"/>
    <w:rsid w:val="00144DF5"/>
    <w:rsid w:val="00145A97"/>
    <w:rsid w:val="00146485"/>
    <w:rsid w:val="00150AD6"/>
    <w:rsid w:val="001526F9"/>
    <w:rsid w:val="00153B40"/>
    <w:rsid w:val="00154ADA"/>
    <w:rsid w:val="0015531A"/>
    <w:rsid w:val="001600E8"/>
    <w:rsid w:val="00163B27"/>
    <w:rsid w:val="00165317"/>
    <w:rsid w:val="00165A09"/>
    <w:rsid w:val="00171BAD"/>
    <w:rsid w:val="00172606"/>
    <w:rsid w:val="0017347D"/>
    <w:rsid w:val="001744B4"/>
    <w:rsid w:val="001756A1"/>
    <w:rsid w:val="001761EE"/>
    <w:rsid w:val="0017659B"/>
    <w:rsid w:val="00176EAA"/>
    <w:rsid w:val="0017725A"/>
    <w:rsid w:val="001779ED"/>
    <w:rsid w:val="00177C4B"/>
    <w:rsid w:val="00182635"/>
    <w:rsid w:val="0018325A"/>
    <w:rsid w:val="00185053"/>
    <w:rsid w:val="00186199"/>
    <w:rsid w:val="001928F7"/>
    <w:rsid w:val="00194537"/>
    <w:rsid w:val="0019563C"/>
    <w:rsid w:val="00195F18"/>
    <w:rsid w:val="001968CE"/>
    <w:rsid w:val="00196E83"/>
    <w:rsid w:val="001A0A1E"/>
    <w:rsid w:val="001A21A9"/>
    <w:rsid w:val="001A59D8"/>
    <w:rsid w:val="001A5FA6"/>
    <w:rsid w:val="001A6A3B"/>
    <w:rsid w:val="001A6F8A"/>
    <w:rsid w:val="001B0A62"/>
    <w:rsid w:val="001B2F0C"/>
    <w:rsid w:val="001C13C9"/>
    <w:rsid w:val="001C37F6"/>
    <w:rsid w:val="001C6288"/>
    <w:rsid w:val="001D0DB0"/>
    <w:rsid w:val="001D0F6A"/>
    <w:rsid w:val="001D21BC"/>
    <w:rsid w:val="001D2FA5"/>
    <w:rsid w:val="001D35E0"/>
    <w:rsid w:val="001D3711"/>
    <w:rsid w:val="001D3CDF"/>
    <w:rsid w:val="001D5045"/>
    <w:rsid w:val="001D5A44"/>
    <w:rsid w:val="001D63BB"/>
    <w:rsid w:val="001D724B"/>
    <w:rsid w:val="001E11D3"/>
    <w:rsid w:val="001E2A6A"/>
    <w:rsid w:val="001E3742"/>
    <w:rsid w:val="001E3DC2"/>
    <w:rsid w:val="001E56FF"/>
    <w:rsid w:val="001E5C6B"/>
    <w:rsid w:val="001F03E1"/>
    <w:rsid w:val="001F3CC6"/>
    <w:rsid w:val="001F4530"/>
    <w:rsid w:val="001F5265"/>
    <w:rsid w:val="002010DE"/>
    <w:rsid w:val="00202885"/>
    <w:rsid w:val="00202968"/>
    <w:rsid w:val="00202C32"/>
    <w:rsid w:val="00203AEF"/>
    <w:rsid w:val="00211A26"/>
    <w:rsid w:val="002125F7"/>
    <w:rsid w:val="00214463"/>
    <w:rsid w:val="00214756"/>
    <w:rsid w:val="00215CF2"/>
    <w:rsid w:val="00217171"/>
    <w:rsid w:val="00220542"/>
    <w:rsid w:val="00221174"/>
    <w:rsid w:val="00225421"/>
    <w:rsid w:val="00225ADC"/>
    <w:rsid w:val="00227748"/>
    <w:rsid w:val="00230A66"/>
    <w:rsid w:val="00230EC2"/>
    <w:rsid w:val="002359EB"/>
    <w:rsid w:val="002363AB"/>
    <w:rsid w:val="00236807"/>
    <w:rsid w:val="00237F06"/>
    <w:rsid w:val="0024260D"/>
    <w:rsid w:val="00245012"/>
    <w:rsid w:val="0024504E"/>
    <w:rsid w:val="0024651F"/>
    <w:rsid w:val="00250062"/>
    <w:rsid w:val="00250BE3"/>
    <w:rsid w:val="0025158D"/>
    <w:rsid w:val="002517C2"/>
    <w:rsid w:val="0025281A"/>
    <w:rsid w:val="00253D3C"/>
    <w:rsid w:val="00255292"/>
    <w:rsid w:val="00257D8C"/>
    <w:rsid w:val="00257F8D"/>
    <w:rsid w:val="00260200"/>
    <w:rsid w:val="00263563"/>
    <w:rsid w:val="002648D8"/>
    <w:rsid w:val="00264E55"/>
    <w:rsid w:val="00267B74"/>
    <w:rsid w:val="00270548"/>
    <w:rsid w:val="00273F86"/>
    <w:rsid w:val="002774F0"/>
    <w:rsid w:val="00283272"/>
    <w:rsid w:val="0028459B"/>
    <w:rsid w:val="00284C5F"/>
    <w:rsid w:val="002873F0"/>
    <w:rsid w:val="00287AC3"/>
    <w:rsid w:val="0029046D"/>
    <w:rsid w:val="00295C5D"/>
    <w:rsid w:val="002964F9"/>
    <w:rsid w:val="002A1F14"/>
    <w:rsid w:val="002A2678"/>
    <w:rsid w:val="002A2E01"/>
    <w:rsid w:val="002A398F"/>
    <w:rsid w:val="002A3B4A"/>
    <w:rsid w:val="002A5C6B"/>
    <w:rsid w:val="002A5D31"/>
    <w:rsid w:val="002A714F"/>
    <w:rsid w:val="002B1851"/>
    <w:rsid w:val="002B27FF"/>
    <w:rsid w:val="002B6793"/>
    <w:rsid w:val="002B7C16"/>
    <w:rsid w:val="002C1726"/>
    <w:rsid w:val="002C21A6"/>
    <w:rsid w:val="002C2610"/>
    <w:rsid w:val="002C26D5"/>
    <w:rsid w:val="002C4578"/>
    <w:rsid w:val="002C5777"/>
    <w:rsid w:val="002C5CB7"/>
    <w:rsid w:val="002D32E3"/>
    <w:rsid w:val="002D7B86"/>
    <w:rsid w:val="002E0FEB"/>
    <w:rsid w:val="002E300D"/>
    <w:rsid w:val="002F0F79"/>
    <w:rsid w:val="002F1CC8"/>
    <w:rsid w:val="002F280E"/>
    <w:rsid w:val="002F3709"/>
    <w:rsid w:val="002F3A6C"/>
    <w:rsid w:val="002F4296"/>
    <w:rsid w:val="00300951"/>
    <w:rsid w:val="003023C9"/>
    <w:rsid w:val="00302CA8"/>
    <w:rsid w:val="00302DE9"/>
    <w:rsid w:val="00305084"/>
    <w:rsid w:val="00310086"/>
    <w:rsid w:val="00312FE8"/>
    <w:rsid w:val="0031358C"/>
    <w:rsid w:val="00313AE2"/>
    <w:rsid w:val="0031630D"/>
    <w:rsid w:val="003204E9"/>
    <w:rsid w:val="00321E8C"/>
    <w:rsid w:val="00322A86"/>
    <w:rsid w:val="00323AE8"/>
    <w:rsid w:val="00324548"/>
    <w:rsid w:val="003251F4"/>
    <w:rsid w:val="003303E3"/>
    <w:rsid w:val="00331FA4"/>
    <w:rsid w:val="003329EA"/>
    <w:rsid w:val="003347EF"/>
    <w:rsid w:val="00337293"/>
    <w:rsid w:val="003407A5"/>
    <w:rsid w:val="00341188"/>
    <w:rsid w:val="0034147B"/>
    <w:rsid w:val="00345AA8"/>
    <w:rsid w:val="00350238"/>
    <w:rsid w:val="0035109C"/>
    <w:rsid w:val="00351F0A"/>
    <w:rsid w:val="0035432B"/>
    <w:rsid w:val="00357172"/>
    <w:rsid w:val="0035753B"/>
    <w:rsid w:val="003613A8"/>
    <w:rsid w:val="00361E7E"/>
    <w:rsid w:val="0036360E"/>
    <w:rsid w:val="00364504"/>
    <w:rsid w:val="00364559"/>
    <w:rsid w:val="00370AA4"/>
    <w:rsid w:val="00371FF4"/>
    <w:rsid w:val="00376C39"/>
    <w:rsid w:val="00377520"/>
    <w:rsid w:val="003802CC"/>
    <w:rsid w:val="00380D36"/>
    <w:rsid w:val="003822D3"/>
    <w:rsid w:val="0038237A"/>
    <w:rsid w:val="003834E0"/>
    <w:rsid w:val="00384C43"/>
    <w:rsid w:val="00386630"/>
    <w:rsid w:val="00390B25"/>
    <w:rsid w:val="00397156"/>
    <w:rsid w:val="00397960"/>
    <w:rsid w:val="003A0A94"/>
    <w:rsid w:val="003A13F8"/>
    <w:rsid w:val="003A3BC4"/>
    <w:rsid w:val="003A458A"/>
    <w:rsid w:val="003B2DA8"/>
    <w:rsid w:val="003B2F13"/>
    <w:rsid w:val="003B405E"/>
    <w:rsid w:val="003B57D3"/>
    <w:rsid w:val="003C1A49"/>
    <w:rsid w:val="003C1F58"/>
    <w:rsid w:val="003C6C58"/>
    <w:rsid w:val="003C792F"/>
    <w:rsid w:val="003D124B"/>
    <w:rsid w:val="003D18F3"/>
    <w:rsid w:val="003D23CB"/>
    <w:rsid w:val="003D6F64"/>
    <w:rsid w:val="003D78B5"/>
    <w:rsid w:val="003E244F"/>
    <w:rsid w:val="003E62A6"/>
    <w:rsid w:val="003E688B"/>
    <w:rsid w:val="003E68A0"/>
    <w:rsid w:val="003E695F"/>
    <w:rsid w:val="003E6C9B"/>
    <w:rsid w:val="003E709C"/>
    <w:rsid w:val="003E7B89"/>
    <w:rsid w:val="003F1BDC"/>
    <w:rsid w:val="003F4241"/>
    <w:rsid w:val="003F7040"/>
    <w:rsid w:val="003F7C45"/>
    <w:rsid w:val="0040132C"/>
    <w:rsid w:val="00405085"/>
    <w:rsid w:val="00405481"/>
    <w:rsid w:val="004066FC"/>
    <w:rsid w:val="00407C10"/>
    <w:rsid w:val="004103DF"/>
    <w:rsid w:val="00410E6E"/>
    <w:rsid w:val="004113B4"/>
    <w:rsid w:val="00413689"/>
    <w:rsid w:val="004143D6"/>
    <w:rsid w:val="00414827"/>
    <w:rsid w:val="00416C10"/>
    <w:rsid w:val="00420355"/>
    <w:rsid w:val="00421E6B"/>
    <w:rsid w:val="00424EF3"/>
    <w:rsid w:val="004268BB"/>
    <w:rsid w:val="00431047"/>
    <w:rsid w:val="004318F0"/>
    <w:rsid w:val="00431B86"/>
    <w:rsid w:val="00435368"/>
    <w:rsid w:val="004408EC"/>
    <w:rsid w:val="004419E2"/>
    <w:rsid w:val="00441E6A"/>
    <w:rsid w:val="0044398D"/>
    <w:rsid w:val="00443C8F"/>
    <w:rsid w:val="00447C82"/>
    <w:rsid w:val="00450215"/>
    <w:rsid w:val="00452481"/>
    <w:rsid w:val="00457251"/>
    <w:rsid w:val="004575E9"/>
    <w:rsid w:val="004576F2"/>
    <w:rsid w:val="00457804"/>
    <w:rsid w:val="004646BF"/>
    <w:rsid w:val="00464744"/>
    <w:rsid w:val="004665E3"/>
    <w:rsid w:val="00467683"/>
    <w:rsid w:val="004731F1"/>
    <w:rsid w:val="00475162"/>
    <w:rsid w:val="00480BC8"/>
    <w:rsid w:val="00481265"/>
    <w:rsid w:val="004814BF"/>
    <w:rsid w:val="0048587E"/>
    <w:rsid w:val="00487C2B"/>
    <w:rsid w:val="00490626"/>
    <w:rsid w:val="00491631"/>
    <w:rsid w:val="0049297D"/>
    <w:rsid w:val="004929F2"/>
    <w:rsid w:val="00494580"/>
    <w:rsid w:val="00494E27"/>
    <w:rsid w:val="00495A03"/>
    <w:rsid w:val="004967FC"/>
    <w:rsid w:val="00497079"/>
    <w:rsid w:val="004976EE"/>
    <w:rsid w:val="004A00BD"/>
    <w:rsid w:val="004A1A57"/>
    <w:rsid w:val="004A1BBA"/>
    <w:rsid w:val="004A3E3C"/>
    <w:rsid w:val="004B0E4B"/>
    <w:rsid w:val="004B0E6D"/>
    <w:rsid w:val="004B16E8"/>
    <w:rsid w:val="004B2DB9"/>
    <w:rsid w:val="004B5E54"/>
    <w:rsid w:val="004B6250"/>
    <w:rsid w:val="004B76B1"/>
    <w:rsid w:val="004C0057"/>
    <w:rsid w:val="004C03A7"/>
    <w:rsid w:val="004C0541"/>
    <w:rsid w:val="004C2C46"/>
    <w:rsid w:val="004C5189"/>
    <w:rsid w:val="004C7235"/>
    <w:rsid w:val="004C7955"/>
    <w:rsid w:val="004D047F"/>
    <w:rsid w:val="004D1930"/>
    <w:rsid w:val="004D1A45"/>
    <w:rsid w:val="004D3D96"/>
    <w:rsid w:val="004D5C1F"/>
    <w:rsid w:val="004D650F"/>
    <w:rsid w:val="004E2133"/>
    <w:rsid w:val="004E5AB9"/>
    <w:rsid w:val="004E60FB"/>
    <w:rsid w:val="004F4EA9"/>
    <w:rsid w:val="004F779C"/>
    <w:rsid w:val="004F7846"/>
    <w:rsid w:val="005000D4"/>
    <w:rsid w:val="0050069E"/>
    <w:rsid w:val="005009C0"/>
    <w:rsid w:val="00500F1D"/>
    <w:rsid w:val="0050148E"/>
    <w:rsid w:val="00504285"/>
    <w:rsid w:val="00504432"/>
    <w:rsid w:val="00505EE0"/>
    <w:rsid w:val="0050638D"/>
    <w:rsid w:val="00510CAF"/>
    <w:rsid w:val="00511B6A"/>
    <w:rsid w:val="005128C5"/>
    <w:rsid w:val="00514754"/>
    <w:rsid w:val="0051478B"/>
    <w:rsid w:val="0051566A"/>
    <w:rsid w:val="00515D7B"/>
    <w:rsid w:val="005166E9"/>
    <w:rsid w:val="0052009E"/>
    <w:rsid w:val="00521065"/>
    <w:rsid w:val="00524EC3"/>
    <w:rsid w:val="00525E59"/>
    <w:rsid w:val="005318CC"/>
    <w:rsid w:val="00531D1B"/>
    <w:rsid w:val="005349B1"/>
    <w:rsid w:val="005374BC"/>
    <w:rsid w:val="00543188"/>
    <w:rsid w:val="00543367"/>
    <w:rsid w:val="00543BFA"/>
    <w:rsid w:val="00547D9C"/>
    <w:rsid w:val="00547DA1"/>
    <w:rsid w:val="00551CED"/>
    <w:rsid w:val="00554EAB"/>
    <w:rsid w:val="0055513C"/>
    <w:rsid w:val="00560C94"/>
    <w:rsid w:val="00560F37"/>
    <w:rsid w:val="0056291C"/>
    <w:rsid w:val="00565A63"/>
    <w:rsid w:val="00566588"/>
    <w:rsid w:val="00570B1A"/>
    <w:rsid w:val="00572736"/>
    <w:rsid w:val="0057275D"/>
    <w:rsid w:val="005800A9"/>
    <w:rsid w:val="00580488"/>
    <w:rsid w:val="0058074D"/>
    <w:rsid w:val="00580FD1"/>
    <w:rsid w:val="0058111B"/>
    <w:rsid w:val="00582FAD"/>
    <w:rsid w:val="00583489"/>
    <w:rsid w:val="00583A98"/>
    <w:rsid w:val="00584D71"/>
    <w:rsid w:val="005858C4"/>
    <w:rsid w:val="00590FE4"/>
    <w:rsid w:val="00591D9C"/>
    <w:rsid w:val="00597057"/>
    <w:rsid w:val="00597D8B"/>
    <w:rsid w:val="005A1C30"/>
    <w:rsid w:val="005A2769"/>
    <w:rsid w:val="005A2DCB"/>
    <w:rsid w:val="005A3295"/>
    <w:rsid w:val="005A46FF"/>
    <w:rsid w:val="005A6166"/>
    <w:rsid w:val="005B011E"/>
    <w:rsid w:val="005B1C7D"/>
    <w:rsid w:val="005B1DEC"/>
    <w:rsid w:val="005B2E84"/>
    <w:rsid w:val="005B53CA"/>
    <w:rsid w:val="005B5A04"/>
    <w:rsid w:val="005B7B0E"/>
    <w:rsid w:val="005C0A04"/>
    <w:rsid w:val="005C5409"/>
    <w:rsid w:val="005C69AC"/>
    <w:rsid w:val="005C722E"/>
    <w:rsid w:val="005D01A4"/>
    <w:rsid w:val="005D14DE"/>
    <w:rsid w:val="005D3F12"/>
    <w:rsid w:val="005D44E4"/>
    <w:rsid w:val="005D45B3"/>
    <w:rsid w:val="005D4CEB"/>
    <w:rsid w:val="005E491F"/>
    <w:rsid w:val="005E58CE"/>
    <w:rsid w:val="005E59E9"/>
    <w:rsid w:val="005F04E6"/>
    <w:rsid w:val="005F23CA"/>
    <w:rsid w:val="005F43B9"/>
    <w:rsid w:val="005F68CB"/>
    <w:rsid w:val="005F6A4A"/>
    <w:rsid w:val="005F7D6F"/>
    <w:rsid w:val="00602154"/>
    <w:rsid w:val="006033E3"/>
    <w:rsid w:val="00604FE3"/>
    <w:rsid w:val="0061321C"/>
    <w:rsid w:val="00620DB0"/>
    <w:rsid w:val="0062386E"/>
    <w:rsid w:val="00623D9A"/>
    <w:rsid w:val="00623F01"/>
    <w:rsid w:val="006242FB"/>
    <w:rsid w:val="00626E2D"/>
    <w:rsid w:val="00627D94"/>
    <w:rsid w:val="00630B42"/>
    <w:rsid w:val="00636CDE"/>
    <w:rsid w:val="00637BA7"/>
    <w:rsid w:val="00640ACD"/>
    <w:rsid w:val="00642072"/>
    <w:rsid w:val="00643330"/>
    <w:rsid w:val="006440ED"/>
    <w:rsid w:val="00645293"/>
    <w:rsid w:val="00647C64"/>
    <w:rsid w:val="00651B78"/>
    <w:rsid w:val="00652263"/>
    <w:rsid w:val="00652881"/>
    <w:rsid w:val="00661974"/>
    <w:rsid w:val="00664551"/>
    <w:rsid w:val="00664E44"/>
    <w:rsid w:val="00665677"/>
    <w:rsid w:val="0066704D"/>
    <w:rsid w:val="006676A0"/>
    <w:rsid w:val="00670857"/>
    <w:rsid w:val="00671124"/>
    <w:rsid w:val="006727B0"/>
    <w:rsid w:val="0067307E"/>
    <w:rsid w:val="00677AC6"/>
    <w:rsid w:val="00687AD5"/>
    <w:rsid w:val="00691AFA"/>
    <w:rsid w:val="0069335C"/>
    <w:rsid w:val="00695251"/>
    <w:rsid w:val="00695ADE"/>
    <w:rsid w:val="00695C0D"/>
    <w:rsid w:val="00696356"/>
    <w:rsid w:val="006A72C6"/>
    <w:rsid w:val="006B02DA"/>
    <w:rsid w:val="006B2065"/>
    <w:rsid w:val="006B315F"/>
    <w:rsid w:val="006B3940"/>
    <w:rsid w:val="006C168D"/>
    <w:rsid w:val="006C1D5C"/>
    <w:rsid w:val="006C3C80"/>
    <w:rsid w:val="006C3F43"/>
    <w:rsid w:val="006C642C"/>
    <w:rsid w:val="006C6FC6"/>
    <w:rsid w:val="006D2AB1"/>
    <w:rsid w:val="006D442E"/>
    <w:rsid w:val="006D6A40"/>
    <w:rsid w:val="006D6F20"/>
    <w:rsid w:val="006D7693"/>
    <w:rsid w:val="006E231B"/>
    <w:rsid w:val="006E346E"/>
    <w:rsid w:val="006E34B7"/>
    <w:rsid w:val="006E7B46"/>
    <w:rsid w:val="006F0F87"/>
    <w:rsid w:val="006F2F3E"/>
    <w:rsid w:val="006F4CD8"/>
    <w:rsid w:val="006F53D9"/>
    <w:rsid w:val="006F6A94"/>
    <w:rsid w:val="007004DC"/>
    <w:rsid w:val="00701575"/>
    <w:rsid w:val="00701A03"/>
    <w:rsid w:val="00703E8A"/>
    <w:rsid w:val="00711522"/>
    <w:rsid w:val="007124FE"/>
    <w:rsid w:val="00712EE5"/>
    <w:rsid w:val="00713186"/>
    <w:rsid w:val="00713757"/>
    <w:rsid w:val="0071379B"/>
    <w:rsid w:val="0071497D"/>
    <w:rsid w:val="00715062"/>
    <w:rsid w:val="00717772"/>
    <w:rsid w:val="0072122C"/>
    <w:rsid w:val="00721AF1"/>
    <w:rsid w:val="0072280F"/>
    <w:rsid w:val="00722B5E"/>
    <w:rsid w:val="00723309"/>
    <w:rsid w:val="00723845"/>
    <w:rsid w:val="0072708F"/>
    <w:rsid w:val="007323FB"/>
    <w:rsid w:val="00732D1D"/>
    <w:rsid w:val="00736034"/>
    <w:rsid w:val="0073681C"/>
    <w:rsid w:val="00741EBE"/>
    <w:rsid w:val="00746130"/>
    <w:rsid w:val="007467A8"/>
    <w:rsid w:val="00746A40"/>
    <w:rsid w:val="007479DC"/>
    <w:rsid w:val="00750358"/>
    <w:rsid w:val="00755CDF"/>
    <w:rsid w:val="00757A4C"/>
    <w:rsid w:val="0076110A"/>
    <w:rsid w:val="00764A94"/>
    <w:rsid w:val="00764DC3"/>
    <w:rsid w:val="007651E5"/>
    <w:rsid w:val="007670DC"/>
    <w:rsid w:val="00767239"/>
    <w:rsid w:val="0077111A"/>
    <w:rsid w:val="00772272"/>
    <w:rsid w:val="00774C7D"/>
    <w:rsid w:val="007756ED"/>
    <w:rsid w:val="007869A0"/>
    <w:rsid w:val="00786A23"/>
    <w:rsid w:val="007870FC"/>
    <w:rsid w:val="00787CD0"/>
    <w:rsid w:val="00791053"/>
    <w:rsid w:val="00791A3A"/>
    <w:rsid w:val="00794196"/>
    <w:rsid w:val="00797637"/>
    <w:rsid w:val="007A2E54"/>
    <w:rsid w:val="007A3680"/>
    <w:rsid w:val="007A59B8"/>
    <w:rsid w:val="007B2862"/>
    <w:rsid w:val="007B662A"/>
    <w:rsid w:val="007B6FEC"/>
    <w:rsid w:val="007C1A93"/>
    <w:rsid w:val="007C751E"/>
    <w:rsid w:val="007D021A"/>
    <w:rsid w:val="007D28C9"/>
    <w:rsid w:val="007D3CC8"/>
    <w:rsid w:val="007D62F9"/>
    <w:rsid w:val="007D63A4"/>
    <w:rsid w:val="007D7639"/>
    <w:rsid w:val="007E1AA2"/>
    <w:rsid w:val="007E4C1F"/>
    <w:rsid w:val="007F0746"/>
    <w:rsid w:val="007F0759"/>
    <w:rsid w:val="007F25C0"/>
    <w:rsid w:val="007F456A"/>
    <w:rsid w:val="007F4C9B"/>
    <w:rsid w:val="007F5F52"/>
    <w:rsid w:val="007F77C6"/>
    <w:rsid w:val="007F77D8"/>
    <w:rsid w:val="008003A1"/>
    <w:rsid w:val="008006B7"/>
    <w:rsid w:val="00800FDB"/>
    <w:rsid w:val="00802081"/>
    <w:rsid w:val="008020B5"/>
    <w:rsid w:val="008021E8"/>
    <w:rsid w:val="008034CF"/>
    <w:rsid w:val="00803F15"/>
    <w:rsid w:val="008063D8"/>
    <w:rsid w:val="00806461"/>
    <w:rsid w:val="00806722"/>
    <w:rsid w:val="0081096D"/>
    <w:rsid w:val="00810EAD"/>
    <w:rsid w:val="00811833"/>
    <w:rsid w:val="008174D4"/>
    <w:rsid w:val="00820FE6"/>
    <w:rsid w:val="00821A66"/>
    <w:rsid w:val="00822476"/>
    <w:rsid w:val="00822882"/>
    <w:rsid w:val="0082435E"/>
    <w:rsid w:val="00824CB2"/>
    <w:rsid w:val="00825F68"/>
    <w:rsid w:val="008273D3"/>
    <w:rsid w:val="00835408"/>
    <w:rsid w:val="008359DA"/>
    <w:rsid w:val="00837CEF"/>
    <w:rsid w:val="00840035"/>
    <w:rsid w:val="00840220"/>
    <w:rsid w:val="008419D5"/>
    <w:rsid w:val="00841B65"/>
    <w:rsid w:val="008428A9"/>
    <w:rsid w:val="00844112"/>
    <w:rsid w:val="008444F2"/>
    <w:rsid w:val="008456C9"/>
    <w:rsid w:val="0084611D"/>
    <w:rsid w:val="00847BEF"/>
    <w:rsid w:val="00847D9E"/>
    <w:rsid w:val="00850C62"/>
    <w:rsid w:val="008624F9"/>
    <w:rsid w:val="00863011"/>
    <w:rsid w:val="00865075"/>
    <w:rsid w:val="00866F96"/>
    <w:rsid w:val="0086748F"/>
    <w:rsid w:val="00872CE4"/>
    <w:rsid w:val="00874F4B"/>
    <w:rsid w:val="0087539B"/>
    <w:rsid w:val="00877B62"/>
    <w:rsid w:val="00880199"/>
    <w:rsid w:val="00881015"/>
    <w:rsid w:val="008810B0"/>
    <w:rsid w:val="008813D6"/>
    <w:rsid w:val="008819B6"/>
    <w:rsid w:val="00881AAC"/>
    <w:rsid w:val="008836B7"/>
    <w:rsid w:val="008841D3"/>
    <w:rsid w:val="0088709F"/>
    <w:rsid w:val="00887DE6"/>
    <w:rsid w:val="00894C2A"/>
    <w:rsid w:val="00897708"/>
    <w:rsid w:val="00897D88"/>
    <w:rsid w:val="008A2F16"/>
    <w:rsid w:val="008B1823"/>
    <w:rsid w:val="008B203C"/>
    <w:rsid w:val="008B6E16"/>
    <w:rsid w:val="008B7110"/>
    <w:rsid w:val="008C2029"/>
    <w:rsid w:val="008C61D6"/>
    <w:rsid w:val="008C64F1"/>
    <w:rsid w:val="008D1531"/>
    <w:rsid w:val="008D1BB0"/>
    <w:rsid w:val="008D20FF"/>
    <w:rsid w:val="008D2265"/>
    <w:rsid w:val="008D3DE6"/>
    <w:rsid w:val="008D4223"/>
    <w:rsid w:val="008D44CC"/>
    <w:rsid w:val="008D46E3"/>
    <w:rsid w:val="008D6709"/>
    <w:rsid w:val="008D7EF7"/>
    <w:rsid w:val="008E083A"/>
    <w:rsid w:val="008E1338"/>
    <w:rsid w:val="008E2450"/>
    <w:rsid w:val="008E2983"/>
    <w:rsid w:val="008E6038"/>
    <w:rsid w:val="008E7896"/>
    <w:rsid w:val="008F2477"/>
    <w:rsid w:val="008F2F2B"/>
    <w:rsid w:val="008F385C"/>
    <w:rsid w:val="008F3EF6"/>
    <w:rsid w:val="008F4AAB"/>
    <w:rsid w:val="008F60C5"/>
    <w:rsid w:val="00900A07"/>
    <w:rsid w:val="009010F0"/>
    <w:rsid w:val="00901162"/>
    <w:rsid w:val="0090223A"/>
    <w:rsid w:val="009028E2"/>
    <w:rsid w:val="009135C1"/>
    <w:rsid w:val="00914EAB"/>
    <w:rsid w:val="00916597"/>
    <w:rsid w:val="00922D49"/>
    <w:rsid w:val="009259CF"/>
    <w:rsid w:val="00925E37"/>
    <w:rsid w:val="00925EDD"/>
    <w:rsid w:val="00927D0E"/>
    <w:rsid w:val="009309DA"/>
    <w:rsid w:val="00936688"/>
    <w:rsid w:val="00937CFA"/>
    <w:rsid w:val="009406B3"/>
    <w:rsid w:val="00942DF0"/>
    <w:rsid w:val="00945CF5"/>
    <w:rsid w:val="009500A1"/>
    <w:rsid w:val="0095037E"/>
    <w:rsid w:val="00950845"/>
    <w:rsid w:val="00952AAD"/>
    <w:rsid w:val="00954567"/>
    <w:rsid w:val="009547A9"/>
    <w:rsid w:val="009548FE"/>
    <w:rsid w:val="009550A5"/>
    <w:rsid w:val="00956F0B"/>
    <w:rsid w:val="00957466"/>
    <w:rsid w:val="0096260B"/>
    <w:rsid w:val="009664D5"/>
    <w:rsid w:val="00970C69"/>
    <w:rsid w:val="00971DF7"/>
    <w:rsid w:val="00971F1C"/>
    <w:rsid w:val="0097211D"/>
    <w:rsid w:val="00972E10"/>
    <w:rsid w:val="009746CA"/>
    <w:rsid w:val="00974975"/>
    <w:rsid w:val="00974EA8"/>
    <w:rsid w:val="00975555"/>
    <w:rsid w:val="00977154"/>
    <w:rsid w:val="00981963"/>
    <w:rsid w:val="00983C82"/>
    <w:rsid w:val="00984520"/>
    <w:rsid w:val="0098545C"/>
    <w:rsid w:val="00992BA2"/>
    <w:rsid w:val="00992F83"/>
    <w:rsid w:val="0099508A"/>
    <w:rsid w:val="009974EB"/>
    <w:rsid w:val="009A037F"/>
    <w:rsid w:val="009A1126"/>
    <w:rsid w:val="009A552C"/>
    <w:rsid w:val="009A63AC"/>
    <w:rsid w:val="009B1584"/>
    <w:rsid w:val="009B1B32"/>
    <w:rsid w:val="009B21CA"/>
    <w:rsid w:val="009B2648"/>
    <w:rsid w:val="009B2EE9"/>
    <w:rsid w:val="009C03E5"/>
    <w:rsid w:val="009C0C11"/>
    <w:rsid w:val="009C3730"/>
    <w:rsid w:val="009C37BD"/>
    <w:rsid w:val="009C3AAC"/>
    <w:rsid w:val="009C4D19"/>
    <w:rsid w:val="009C5FDB"/>
    <w:rsid w:val="009C6493"/>
    <w:rsid w:val="009C693E"/>
    <w:rsid w:val="009C70CB"/>
    <w:rsid w:val="009D1EA4"/>
    <w:rsid w:val="009D27AA"/>
    <w:rsid w:val="009D38BA"/>
    <w:rsid w:val="009D4991"/>
    <w:rsid w:val="009D5BB5"/>
    <w:rsid w:val="009D696D"/>
    <w:rsid w:val="009D6ED2"/>
    <w:rsid w:val="009D7F16"/>
    <w:rsid w:val="009E0F1A"/>
    <w:rsid w:val="009E140D"/>
    <w:rsid w:val="009E348F"/>
    <w:rsid w:val="009E4465"/>
    <w:rsid w:val="009E4DF2"/>
    <w:rsid w:val="009E6401"/>
    <w:rsid w:val="009E6C54"/>
    <w:rsid w:val="009F2261"/>
    <w:rsid w:val="009F2A25"/>
    <w:rsid w:val="009F5235"/>
    <w:rsid w:val="009F531A"/>
    <w:rsid w:val="009F6550"/>
    <w:rsid w:val="009F786E"/>
    <w:rsid w:val="00A00902"/>
    <w:rsid w:val="00A039FF"/>
    <w:rsid w:val="00A0522C"/>
    <w:rsid w:val="00A05ACE"/>
    <w:rsid w:val="00A078CB"/>
    <w:rsid w:val="00A125F9"/>
    <w:rsid w:val="00A14AE3"/>
    <w:rsid w:val="00A16675"/>
    <w:rsid w:val="00A22CD6"/>
    <w:rsid w:val="00A234EC"/>
    <w:rsid w:val="00A2417A"/>
    <w:rsid w:val="00A26668"/>
    <w:rsid w:val="00A27804"/>
    <w:rsid w:val="00A3489D"/>
    <w:rsid w:val="00A348F0"/>
    <w:rsid w:val="00A36822"/>
    <w:rsid w:val="00A36AB5"/>
    <w:rsid w:val="00A411D1"/>
    <w:rsid w:val="00A4276F"/>
    <w:rsid w:val="00A428A4"/>
    <w:rsid w:val="00A42CE1"/>
    <w:rsid w:val="00A43389"/>
    <w:rsid w:val="00A43E71"/>
    <w:rsid w:val="00A45753"/>
    <w:rsid w:val="00A47B15"/>
    <w:rsid w:val="00A52F84"/>
    <w:rsid w:val="00A56B05"/>
    <w:rsid w:val="00A57678"/>
    <w:rsid w:val="00A60E2F"/>
    <w:rsid w:val="00A61166"/>
    <w:rsid w:val="00A618F3"/>
    <w:rsid w:val="00A62673"/>
    <w:rsid w:val="00A63284"/>
    <w:rsid w:val="00A64CB8"/>
    <w:rsid w:val="00A67018"/>
    <w:rsid w:val="00A672F3"/>
    <w:rsid w:val="00A673DC"/>
    <w:rsid w:val="00A677FA"/>
    <w:rsid w:val="00A7076E"/>
    <w:rsid w:val="00A709BE"/>
    <w:rsid w:val="00A7162E"/>
    <w:rsid w:val="00A7195A"/>
    <w:rsid w:val="00A72D71"/>
    <w:rsid w:val="00A75705"/>
    <w:rsid w:val="00A77C69"/>
    <w:rsid w:val="00A829DE"/>
    <w:rsid w:val="00A83953"/>
    <w:rsid w:val="00A84113"/>
    <w:rsid w:val="00A85AF5"/>
    <w:rsid w:val="00A903B6"/>
    <w:rsid w:val="00A90F4F"/>
    <w:rsid w:val="00A92C40"/>
    <w:rsid w:val="00A947AA"/>
    <w:rsid w:val="00AA0AC5"/>
    <w:rsid w:val="00AA19FE"/>
    <w:rsid w:val="00AA1B53"/>
    <w:rsid w:val="00AA3556"/>
    <w:rsid w:val="00AA35FD"/>
    <w:rsid w:val="00AA38A5"/>
    <w:rsid w:val="00AA3ADC"/>
    <w:rsid w:val="00AA3DB7"/>
    <w:rsid w:val="00AA6B2E"/>
    <w:rsid w:val="00AB3012"/>
    <w:rsid w:val="00AB321C"/>
    <w:rsid w:val="00AB5B99"/>
    <w:rsid w:val="00AB688F"/>
    <w:rsid w:val="00AB75EA"/>
    <w:rsid w:val="00AB7AA2"/>
    <w:rsid w:val="00AC44D9"/>
    <w:rsid w:val="00AC4BC1"/>
    <w:rsid w:val="00AC6FFD"/>
    <w:rsid w:val="00AD04BD"/>
    <w:rsid w:val="00AD25F6"/>
    <w:rsid w:val="00AD67CB"/>
    <w:rsid w:val="00AD7214"/>
    <w:rsid w:val="00AE1066"/>
    <w:rsid w:val="00AE4518"/>
    <w:rsid w:val="00AE5D7F"/>
    <w:rsid w:val="00AE79F0"/>
    <w:rsid w:val="00AE7FCD"/>
    <w:rsid w:val="00AF0030"/>
    <w:rsid w:val="00AF2DAE"/>
    <w:rsid w:val="00AF5585"/>
    <w:rsid w:val="00AF6EC1"/>
    <w:rsid w:val="00B00331"/>
    <w:rsid w:val="00B01A80"/>
    <w:rsid w:val="00B03EF2"/>
    <w:rsid w:val="00B07C27"/>
    <w:rsid w:val="00B10017"/>
    <w:rsid w:val="00B10DE1"/>
    <w:rsid w:val="00B10FF8"/>
    <w:rsid w:val="00B203C4"/>
    <w:rsid w:val="00B20E50"/>
    <w:rsid w:val="00B22E81"/>
    <w:rsid w:val="00B23996"/>
    <w:rsid w:val="00B23CB2"/>
    <w:rsid w:val="00B2561A"/>
    <w:rsid w:val="00B25A64"/>
    <w:rsid w:val="00B32AB3"/>
    <w:rsid w:val="00B34E7C"/>
    <w:rsid w:val="00B368EA"/>
    <w:rsid w:val="00B37EEF"/>
    <w:rsid w:val="00B51D20"/>
    <w:rsid w:val="00B5298E"/>
    <w:rsid w:val="00B54370"/>
    <w:rsid w:val="00B54B5F"/>
    <w:rsid w:val="00B55185"/>
    <w:rsid w:val="00B57508"/>
    <w:rsid w:val="00B60D38"/>
    <w:rsid w:val="00B61923"/>
    <w:rsid w:val="00B621D6"/>
    <w:rsid w:val="00B63EF5"/>
    <w:rsid w:val="00B65D6F"/>
    <w:rsid w:val="00B677E1"/>
    <w:rsid w:val="00B67C23"/>
    <w:rsid w:val="00B7090F"/>
    <w:rsid w:val="00B70DC7"/>
    <w:rsid w:val="00B73042"/>
    <w:rsid w:val="00B75283"/>
    <w:rsid w:val="00B75735"/>
    <w:rsid w:val="00B77142"/>
    <w:rsid w:val="00B80A2C"/>
    <w:rsid w:val="00B81F60"/>
    <w:rsid w:val="00B841AC"/>
    <w:rsid w:val="00B865B0"/>
    <w:rsid w:val="00B90780"/>
    <w:rsid w:val="00B91F9C"/>
    <w:rsid w:val="00B9240D"/>
    <w:rsid w:val="00BA22A8"/>
    <w:rsid w:val="00BA285B"/>
    <w:rsid w:val="00BA3E48"/>
    <w:rsid w:val="00BA4BD3"/>
    <w:rsid w:val="00BA7473"/>
    <w:rsid w:val="00BB0187"/>
    <w:rsid w:val="00BB07B5"/>
    <w:rsid w:val="00BB1EB3"/>
    <w:rsid w:val="00BB22CA"/>
    <w:rsid w:val="00BB2678"/>
    <w:rsid w:val="00BB3E96"/>
    <w:rsid w:val="00BC013A"/>
    <w:rsid w:val="00BC2343"/>
    <w:rsid w:val="00BC23F8"/>
    <w:rsid w:val="00BD30C8"/>
    <w:rsid w:val="00BD3EB4"/>
    <w:rsid w:val="00BD5C65"/>
    <w:rsid w:val="00BD7DB4"/>
    <w:rsid w:val="00BE1A80"/>
    <w:rsid w:val="00BE2F07"/>
    <w:rsid w:val="00BE6018"/>
    <w:rsid w:val="00BF0F8F"/>
    <w:rsid w:val="00BF18E8"/>
    <w:rsid w:val="00BF1F57"/>
    <w:rsid w:val="00BF4086"/>
    <w:rsid w:val="00BF426C"/>
    <w:rsid w:val="00BF47C9"/>
    <w:rsid w:val="00BF4E32"/>
    <w:rsid w:val="00BF58D0"/>
    <w:rsid w:val="00BF7D6A"/>
    <w:rsid w:val="00C013E1"/>
    <w:rsid w:val="00C01611"/>
    <w:rsid w:val="00C02D59"/>
    <w:rsid w:val="00C030B6"/>
    <w:rsid w:val="00C03284"/>
    <w:rsid w:val="00C050D7"/>
    <w:rsid w:val="00C05B5F"/>
    <w:rsid w:val="00C06372"/>
    <w:rsid w:val="00C104CC"/>
    <w:rsid w:val="00C152FE"/>
    <w:rsid w:val="00C1648E"/>
    <w:rsid w:val="00C16739"/>
    <w:rsid w:val="00C21C43"/>
    <w:rsid w:val="00C22C7D"/>
    <w:rsid w:val="00C22CCE"/>
    <w:rsid w:val="00C231D6"/>
    <w:rsid w:val="00C23BA2"/>
    <w:rsid w:val="00C27466"/>
    <w:rsid w:val="00C32AF2"/>
    <w:rsid w:val="00C33204"/>
    <w:rsid w:val="00C338EB"/>
    <w:rsid w:val="00C3465D"/>
    <w:rsid w:val="00C379E9"/>
    <w:rsid w:val="00C439FB"/>
    <w:rsid w:val="00C43F23"/>
    <w:rsid w:val="00C47790"/>
    <w:rsid w:val="00C50011"/>
    <w:rsid w:val="00C5274B"/>
    <w:rsid w:val="00C55A77"/>
    <w:rsid w:val="00C55B19"/>
    <w:rsid w:val="00C645E6"/>
    <w:rsid w:val="00C64D82"/>
    <w:rsid w:val="00C64FBC"/>
    <w:rsid w:val="00C65A83"/>
    <w:rsid w:val="00C72C6F"/>
    <w:rsid w:val="00C76CF1"/>
    <w:rsid w:val="00C80F23"/>
    <w:rsid w:val="00C81151"/>
    <w:rsid w:val="00C82CC6"/>
    <w:rsid w:val="00C850A3"/>
    <w:rsid w:val="00C85C32"/>
    <w:rsid w:val="00C85F94"/>
    <w:rsid w:val="00C87568"/>
    <w:rsid w:val="00C90DA7"/>
    <w:rsid w:val="00C90DB6"/>
    <w:rsid w:val="00C9394F"/>
    <w:rsid w:val="00C93B1A"/>
    <w:rsid w:val="00C96A14"/>
    <w:rsid w:val="00C96F5F"/>
    <w:rsid w:val="00CA21B5"/>
    <w:rsid w:val="00CA5927"/>
    <w:rsid w:val="00CA79EC"/>
    <w:rsid w:val="00CB26A5"/>
    <w:rsid w:val="00CB39C2"/>
    <w:rsid w:val="00CB4664"/>
    <w:rsid w:val="00CB4C8C"/>
    <w:rsid w:val="00CB5BFD"/>
    <w:rsid w:val="00CB6782"/>
    <w:rsid w:val="00CC080A"/>
    <w:rsid w:val="00CC52E1"/>
    <w:rsid w:val="00CD319D"/>
    <w:rsid w:val="00CD6BC3"/>
    <w:rsid w:val="00CD72D0"/>
    <w:rsid w:val="00CE3519"/>
    <w:rsid w:val="00CE5277"/>
    <w:rsid w:val="00CE6358"/>
    <w:rsid w:val="00CF2D54"/>
    <w:rsid w:val="00CF3CDE"/>
    <w:rsid w:val="00CF6570"/>
    <w:rsid w:val="00D03538"/>
    <w:rsid w:val="00D049B8"/>
    <w:rsid w:val="00D0516C"/>
    <w:rsid w:val="00D05EE7"/>
    <w:rsid w:val="00D068D0"/>
    <w:rsid w:val="00D078D1"/>
    <w:rsid w:val="00D129A8"/>
    <w:rsid w:val="00D12FB9"/>
    <w:rsid w:val="00D200BD"/>
    <w:rsid w:val="00D22399"/>
    <w:rsid w:val="00D26460"/>
    <w:rsid w:val="00D3268B"/>
    <w:rsid w:val="00D33751"/>
    <w:rsid w:val="00D33924"/>
    <w:rsid w:val="00D36F6E"/>
    <w:rsid w:val="00D37343"/>
    <w:rsid w:val="00D4205E"/>
    <w:rsid w:val="00D42507"/>
    <w:rsid w:val="00D50E63"/>
    <w:rsid w:val="00D5574C"/>
    <w:rsid w:val="00D61982"/>
    <w:rsid w:val="00D6267A"/>
    <w:rsid w:val="00D67D12"/>
    <w:rsid w:val="00D7585A"/>
    <w:rsid w:val="00D80618"/>
    <w:rsid w:val="00D81A17"/>
    <w:rsid w:val="00D82494"/>
    <w:rsid w:val="00D84A4B"/>
    <w:rsid w:val="00D8681D"/>
    <w:rsid w:val="00D92168"/>
    <w:rsid w:val="00D940A9"/>
    <w:rsid w:val="00D940B5"/>
    <w:rsid w:val="00D95CB0"/>
    <w:rsid w:val="00D977C0"/>
    <w:rsid w:val="00DA00A3"/>
    <w:rsid w:val="00DA13F3"/>
    <w:rsid w:val="00DA2DE3"/>
    <w:rsid w:val="00DA7146"/>
    <w:rsid w:val="00DA716A"/>
    <w:rsid w:val="00DB1F4F"/>
    <w:rsid w:val="00DB37EE"/>
    <w:rsid w:val="00DB4450"/>
    <w:rsid w:val="00DB4A22"/>
    <w:rsid w:val="00DB7B69"/>
    <w:rsid w:val="00DC02EC"/>
    <w:rsid w:val="00DC234A"/>
    <w:rsid w:val="00DC315B"/>
    <w:rsid w:val="00DC41E4"/>
    <w:rsid w:val="00DC5116"/>
    <w:rsid w:val="00DC77DD"/>
    <w:rsid w:val="00DC7C77"/>
    <w:rsid w:val="00DD2417"/>
    <w:rsid w:val="00DD51D8"/>
    <w:rsid w:val="00DD7EA2"/>
    <w:rsid w:val="00DE00F2"/>
    <w:rsid w:val="00DE117F"/>
    <w:rsid w:val="00DE401C"/>
    <w:rsid w:val="00DE4CDE"/>
    <w:rsid w:val="00DF1ED6"/>
    <w:rsid w:val="00DF63FA"/>
    <w:rsid w:val="00E00A1C"/>
    <w:rsid w:val="00E012CC"/>
    <w:rsid w:val="00E02B71"/>
    <w:rsid w:val="00E02DEB"/>
    <w:rsid w:val="00E042A1"/>
    <w:rsid w:val="00E04CE6"/>
    <w:rsid w:val="00E062A5"/>
    <w:rsid w:val="00E07355"/>
    <w:rsid w:val="00E104FA"/>
    <w:rsid w:val="00E1082A"/>
    <w:rsid w:val="00E11166"/>
    <w:rsid w:val="00E13182"/>
    <w:rsid w:val="00E15383"/>
    <w:rsid w:val="00E1738C"/>
    <w:rsid w:val="00E22D28"/>
    <w:rsid w:val="00E230E3"/>
    <w:rsid w:val="00E23611"/>
    <w:rsid w:val="00E25852"/>
    <w:rsid w:val="00E30EDF"/>
    <w:rsid w:val="00E31FBA"/>
    <w:rsid w:val="00E36AAE"/>
    <w:rsid w:val="00E41773"/>
    <w:rsid w:val="00E427F2"/>
    <w:rsid w:val="00E513F6"/>
    <w:rsid w:val="00E52F3B"/>
    <w:rsid w:val="00E53D94"/>
    <w:rsid w:val="00E53DEA"/>
    <w:rsid w:val="00E55094"/>
    <w:rsid w:val="00E55A61"/>
    <w:rsid w:val="00E57F92"/>
    <w:rsid w:val="00E616DB"/>
    <w:rsid w:val="00E627A4"/>
    <w:rsid w:val="00E630ED"/>
    <w:rsid w:val="00E70C95"/>
    <w:rsid w:val="00E74E84"/>
    <w:rsid w:val="00E74EC5"/>
    <w:rsid w:val="00E75FDC"/>
    <w:rsid w:val="00E76B86"/>
    <w:rsid w:val="00E8342F"/>
    <w:rsid w:val="00E847A7"/>
    <w:rsid w:val="00E85F25"/>
    <w:rsid w:val="00E86E79"/>
    <w:rsid w:val="00E906B4"/>
    <w:rsid w:val="00E9095B"/>
    <w:rsid w:val="00E926B8"/>
    <w:rsid w:val="00E92E98"/>
    <w:rsid w:val="00E9399B"/>
    <w:rsid w:val="00E94008"/>
    <w:rsid w:val="00E94762"/>
    <w:rsid w:val="00E96B52"/>
    <w:rsid w:val="00EA2244"/>
    <w:rsid w:val="00EA4C93"/>
    <w:rsid w:val="00EA6FA7"/>
    <w:rsid w:val="00EB067F"/>
    <w:rsid w:val="00EB0BF5"/>
    <w:rsid w:val="00EB1576"/>
    <w:rsid w:val="00EB1F02"/>
    <w:rsid w:val="00EB5BC5"/>
    <w:rsid w:val="00EB74C2"/>
    <w:rsid w:val="00EC086C"/>
    <w:rsid w:val="00EC42D0"/>
    <w:rsid w:val="00EC5CE0"/>
    <w:rsid w:val="00EC638F"/>
    <w:rsid w:val="00ED48AC"/>
    <w:rsid w:val="00EE224C"/>
    <w:rsid w:val="00EE4874"/>
    <w:rsid w:val="00EE4A8C"/>
    <w:rsid w:val="00EE674E"/>
    <w:rsid w:val="00EE79A6"/>
    <w:rsid w:val="00EF2689"/>
    <w:rsid w:val="00EF454D"/>
    <w:rsid w:val="00EF6111"/>
    <w:rsid w:val="00F005A0"/>
    <w:rsid w:val="00F03BE0"/>
    <w:rsid w:val="00F06616"/>
    <w:rsid w:val="00F11352"/>
    <w:rsid w:val="00F1498D"/>
    <w:rsid w:val="00F14DDF"/>
    <w:rsid w:val="00F152AD"/>
    <w:rsid w:val="00F20DFE"/>
    <w:rsid w:val="00F2285F"/>
    <w:rsid w:val="00F23155"/>
    <w:rsid w:val="00F24236"/>
    <w:rsid w:val="00F24E0E"/>
    <w:rsid w:val="00F26236"/>
    <w:rsid w:val="00F26693"/>
    <w:rsid w:val="00F3366A"/>
    <w:rsid w:val="00F36130"/>
    <w:rsid w:val="00F40444"/>
    <w:rsid w:val="00F40868"/>
    <w:rsid w:val="00F423BD"/>
    <w:rsid w:val="00F432FF"/>
    <w:rsid w:val="00F4715C"/>
    <w:rsid w:val="00F54869"/>
    <w:rsid w:val="00F556B2"/>
    <w:rsid w:val="00F5754B"/>
    <w:rsid w:val="00F576DE"/>
    <w:rsid w:val="00F63BF7"/>
    <w:rsid w:val="00F65617"/>
    <w:rsid w:val="00F710BE"/>
    <w:rsid w:val="00F729DC"/>
    <w:rsid w:val="00F736D2"/>
    <w:rsid w:val="00F7564C"/>
    <w:rsid w:val="00F76220"/>
    <w:rsid w:val="00F769BE"/>
    <w:rsid w:val="00F76A67"/>
    <w:rsid w:val="00F82E6B"/>
    <w:rsid w:val="00F97B71"/>
    <w:rsid w:val="00FA0209"/>
    <w:rsid w:val="00FA1EC5"/>
    <w:rsid w:val="00FA2DDA"/>
    <w:rsid w:val="00FA34CA"/>
    <w:rsid w:val="00FA4A55"/>
    <w:rsid w:val="00FA4D4F"/>
    <w:rsid w:val="00FA54E8"/>
    <w:rsid w:val="00FA7193"/>
    <w:rsid w:val="00FA7EC0"/>
    <w:rsid w:val="00FB2D17"/>
    <w:rsid w:val="00FB2F69"/>
    <w:rsid w:val="00FB368B"/>
    <w:rsid w:val="00FB45FF"/>
    <w:rsid w:val="00FB5D97"/>
    <w:rsid w:val="00FC1BE5"/>
    <w:rsid w:val="00FC1CA5"/>
    <w:rsid w:val="00FC2979"/>
    <w:rsid w:val="00FD1C3C"/>
    <w:rsid w:val="00FD38A8"/>
    <w:rsid w:val="00FD4622"/>
    <w:rsid w:val="00FD5477"/>
    <w:rsid w:val="00FD6AC8"/>
    <w:rsid w:val="00FD7C9C"/>
    <w:rsid w:val="00FE2D29"/>
    <w:rsid w:val="00FE3EA1"/>
    <w:rsid w:val="00FE4818"/>
    <w:rsid w:val="00FE5D80"/>
    <w:rsid w:val="00FF1577"/>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4F4EA9"/>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337293"/>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F4EA9"/>
    <w:rPr>
      <w:rFonts w:cs="Times New Roman"/>
      <w:b/>
      <w:bCs/>
      <w:kern w:val="44"/>
      <w:sz w:val="44"/>
      <w:szCs w:val="44"/>
    </w:rPr>
  </w:style>
  <w:style w:customStyle="1" w:styleId="2Char" w:type="character">
    <w:name w:val="标题 2 Char"/>
    <w:link w:val="2"/>
    <w:uiPriority w:val="99"/>
    <w:semiHidden/>
    <w:locked/>
    <w:rsid w:val="00F76A67"/>
    <w:rPr>
      <w:rFonts w:ascii="Cambria" w:cs="Times New Roman" w:eastAsia="宋体" w:hAnsi="Cambria"/>
      <w:b/>
      <w:bCs/>
      <w:sz w:val="32"/>
      <w:szCs w:val="32"/>
    </w:rPr>
  </w:style>
  <w:style w:styleId="a0" w:type="paragraph">
    <w:name w:val="Normal Indent"/>
    <w:basedOn w:val="a"/>
    <w:uiPriority w:val="99"/>
    <w:rsid w:val="00337293"/>
    <w:pPr>
      <w:ind w:firstLine="420" w:firstLineChars="200"/>
    </w:pPr>
  </w:style>
  <w:style w:styleId="a4" w:type="paragraph">
    <w:name w:val="Body Text Indent"/>
    <w:basedOn w:val="a"/>
    <w:link w:val="Char"/>
    <w:uiPriority w:val="99"/>
    <w:rsid w:val="00337293"/>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F76A67"/>
    <w:rPr>
      <w:rFonts w:cs="Times New Roman"/>
      <w:sz w:val="24"/>
      <w:szCs w:val="24"/>
    </w:rPr>
  </w:style>
  <w:style w:styleId="a5" w:type="paragraph">
    <w:name w:val="Plain Text"/>
    <w:basedOn w:val="a"/>
    <w:link w:val="Char0"/>
    <w:uiPriority w:val="99"/>
    <w:rsid w:val="00337293"/>
    <w:rPr>
      <w:rFonts w:ascii="宋体" w:hAnsi="Courier New"/>
      <w:szCs w:val="20"/>
    </w:rPr>
  </w:style>
  <w:style w:customStyle="1" w:styleId="Char0" w:type="character">
    <w:name w:val="纯文本 Char"/>
    <w:link w:val="a5"/>
    <w:uiPriority w:val="99"/>
    <w:locked/>
    <w:rsid w:val="00CE3519"/>
    <w:rPr>
      <w:rFonts w:ascii="宋体" w:cs="Times New Roman" w:hAnsi="Courier New"/>
      <w:kern w:val="2"/>
      <w:sz w:val="21"/>
    </w:rPr>
  </w:style>
  <w:style w:styleId="20" w:type="paragraph">
    <w:name w:val="Body Text Indent 2"/>
    <w:basedOn w:val="a"/>
    <w:link w:val="2Char0"/>
    <w:uiPriority w:val="99"/>
    <w:rsid w:val="00337293"/>
    <w:pPr>
      <w:spacing w:line="560" w:lineRule="exact"/>
      <w:ind w:firstLine="480" w:firstLineChars="200"/>
    </w:pPr>
    <w:rPr>
      <w:kern w:val="0"/>
      <w:sz w:val="24"/>
    </w:rPr>
  </w:style>
  <w:style w:customStyle="1" w:styleId="2Char0" w:type="character">
    <w:name w:val="正文文本缩进 2 Char"/>
    <w:link w:val="20"/>
    <w:uiPriority w:val="99"/>
    <w:semiHidden/>
    <w:locked/>
    <w:rsid w:val="00F76A67"/>
    <w:rPr>
      <w:rFonts w:cs="Times New Roman"/>
      <w:sz w:val="24"/>
      <w:szCs w:val="24"/>
    </w:rPr>
  </w:style>
  <w:style w:styleId="a6" w:type="paragraph">
    <w:name w:val="footer"/>
    <w:basedOn w:val="a"/>
    <w:link w:val="Char1"/>
    <w:uiPriority w:val="99"/>
    <w:rsid w:val="00337293"/>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F76A67"/>
    <w:rPr>
      <w:rFonts w:cs="Times New Roman"/>
      <w:sz w:val="18"/>
      <w:szCs w:val="18"/>
    </w:rPr>
  </w:style>
  <w:style w:styleId="a7" w:type="character">
    <w:name w:val="page number"/>
    <w:uiPriority w:val="99"/>
    <w:rsid w:val="00337293"/>
    <w:rPr>
      <w:rFonts w:cs="Times New Roman"/>
    </w:rPr>
  </w:style>
  <w:style w:styleId="a8" w:type="character">
    <w:name w:val="Hyperlink"/>
    <w:uiPriority w:val="99"/>
    <w:rsid w:val="00337293"/>
    <w:rPr>
      <w:rFonts w:cs="Times New Roman"/>
      <w:color w:val="0000FF"/>
      <w:u w:val="single"/>
    </w:rPr>
  </w:style>
  <w:style w:styleId="3" w:type="paragraph">
    <w:name w:val="Body Text Indent 3"/>
    <w:basedOn w:val="a"/>
    <w:link w:val="3Char"/>
    <w:uiPriority w:val="99"/>
    <w:rsid w:val="00337293"/>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F76A67"/>
    <w:rPr>
      <w:rFonts w:cs="Times New Roman"/>
      <w:sz w:val="16"/>
      <w:szCs w:val="16"/>
    </w:rPr>
  </w:style>
  <w:style w:styleId="a9" w:type="paragraph">
    <w:name w:val="header"/>
    <w:basedOn w:val="a"/>
    <w:link w:val="Char2"/>
    <w:uiPriority w:val="99"/>
    <w:rsid w:val="00337293"/>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5E491F"/>
    <w:rPr>
      <w:rFonts w:cs="Times New Roman"/>
      <w:kern w:val="2"/>
      <w:sz w:val="18"/>
      <w:szCs w:val="18"/>
    </w:rPr>
  </w:style>
  <w:style w:styleId="aa" w:type="character">
    <w:name w:val="FollowedHyperlink"/>
    <w:uiPriority w:val="99"/>
    <w:rsid w:val="00337293"/>
    <w:rPr>
      <w:rFonts w:cs="Times New Roman"/>
      <w:color w:val="800080"/>
      <w:u w:val="single"/>
    </w:rPr>
  </w:style>
  <w:style w:styleId="ab" w:type="paragraph">
    <w:name w:val="List"/>
    <w:basedOn w:val="ac"/>
    <w:uiPriority w:val="99"/>
    <w:rsid w:val="00337293"/>
    <w:pPr>
      <w:spacing w:after="220" w:line="220" w:lineRule="atLeast"/>
      <w:ind w:hanging="360" w:left="1440"/>
    </w:pPr>
    <w:rPr>
      <w:szCs w:val="20"/>
    </w:rPr>
  </w:style>
  <w:style w:styleId="ac" w:type="paragraph">
    <w:name w:val="Body Text"/>
    <w:basedOn w:val="a"/>
    <w:link w:val="Char3"/>
    <w:uiPriority w:val="99"/>
    <w:rsid w:val="00337293"/>
    <w:pPr>
      <w:spacing w:after="120"/>
    </w:pPr>
    <w:rPr>
      <w:kern w:val="0"/>
      <w:sz w:val="24"/>
    </w:rPr>
  </w:style>
  <w:style w:customStyle="1" w:styleId="Char3" w:type="character">
    <w:name w:val="正文文本 Char"/>
    <w:link w:val="ac"/>
    <w:uiPriority w:val="99"/>
    <w:semiHidden/>
    <w:locked/>
    <w:rsid w:val="00F76A67"/>
    <w:rPr>
      <w:rFonts w:cs="Times New Roman"/>
      <w:sz w:val="24"/>
      <w:szCs w:val="24"/>
    </w:rPr>
  </w:style>
  <w:style w:styleId="ad" w:type="paragraph">
    <w:name w:val="Date"/>
    <w:basedOn w:val="a"/>
    <w:next w:val="a"/>
    <w:link w:val="Char4"/>
    <w:uiPriority w:val="99"/>
    <w:rsid w:val="00337293"/>
    <w:rPr>
      <w:sz w:val="24"/>
      <w:szCs w:val="20"/>
    </w:rPr>
  </w:style>
  <w:style w:customStyle="1" w:styleId="Char4" w:type="character">
    <w:name w:val="日期 Char"/>
    <w:link w:val="ad"/>
    <w:uiPriority w:val="99"/>
    <w:locked/>
    <w:rsid w:val="005B1DEC"/>
    <w:rPr>
      <w:rFonts w:cs="Times New Roman"/>
      <w:kern w:val="2"/>
      <w:sz w:val="24"/>
    </w:rPr>
  </w:style>
  <w:style w:customStyle="1" w:styleId="c1" w:type="character">
    <w:name w:val="c1"/>
    <w:uiPriority w:val="99"/>
    <w:rsid w:val="00337293"/>
    <w:rPr>
      <w:rFonts w:cs="Times New Roman"/>
      <w:color w:val="000000"/>
      <w:sz w:val="18"/>
      <w:szCs w:val="18"/>
    </w:rPr>
  </w:style>
  <w:style w:styleId="10" w:type="paragraph">
    <w:name w:val="index 1"/>
    <w:basedOn w:val="a"/>
    <w:next w:val="a"/>
    <w:autoRedefine/>
    <w:uiPriority w:val="99"/>
    <w:semiHidden/>
    <w:rsid w:val="00337293"/>
    <w:pPr>
      <w:jc w:val="right"/>
    </w:pPr>
    <w:rPr>
      <w:color w:val="008000"/>
    </w:rPr>
  </w:style>
  <w:style w:customStyle="1" w:styleId="font5" w:type="paragraph">
    <w:name w:val="font5"/>
    <w:basedOn w:val="a"/>
    <w:uiPriority w:val="99"/>
    <w:rsid w:val="00337293"/>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337293"/>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337293"/>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337293"/>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337293"/>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337293"/>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337293"/>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337293"/>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337293"/>
    <w:rPr>
      <w:kern w:val="0"/>
      <w:sz w:val="2"/>
      <w:szCs w:val="20"/>
    </w:rPr>
  </w:style>
  <w:style w:customStyle="1" w:styleId="Char5" w:type="character">
    <w:name w:val="批注框文本 Char"/>
    <w:link w:val="ae"/>
    <w:uiPriority w:val="99"/>
    <w:semiHidden/>
    <w:locked/>
    <w:rsid w:val="00F76A67"/>
    <w:rPr>
      <w:rFonts w:cs="Times New Roman"/>
      <w:sz w:val="2"/>
    </w:rPr>
  </w:style>
  <w:style w:styleId="af" w:type="character">
    <w:name w:val="annotation reference"/>
    <w:uiPriority w:val="99"/>
    <w:semiHidden/>
    <w:rsid w:val="00337293"/>
    <w:rPr>
      <w:rFonts w:cs="Times New Roman"/>
      <w:sz w:val="21"/>
      <w:szCs w:val="21"/>
    </w:rPr>
  </w:style>
  <w:style w:styleId="af0" w:type="paragraph">
    <w:name w:val="annotation text"/>
    <w:basedOn w:val="a"/>
    <w:link w:val="Char6"/>
    <w:uiPriority w:val="99"/>
    <w:semiHidden/>
    <w:rsid w:val="00337293"/>
    <w:pPr>
      <w:jc w:val="left"/>
    </w:pPr>
    <w:rPr>
      <w:kern w:val="0"/>
      <w:sz w:val="24"/>
    </w:rPr>
  </w:style>
  <w:style w:customStyle="1" w:styleId="Char6" w:type="character">
    <w:name w:val="批注文字 Char"/>
    <w:link w:val="af0"/>
    <w:uiPriority w:val="99"/>
    <w:semiHidden/>
    <w:locked/>
    <w:rsid w:val="00F76A67"/>
    <w:rPr>
      <w:rFonts w:cs="Times New Roman"/>
      <w:sz w:val="24"/>
      <w:szCs w:val="24"/>
    </w:rPr>
  </w:style>
  <w:style w:styleId="af1" w:type="paragraph">
    <w:name w:val="annotation subject"/>
    <w:basedOn w:val="af0"/>
    <w:next w:val="af0"/>
    <w:link w:val="Char7"/>
    <w:uiPriority w:val="99"/>
    <w:semiHidden/>
    <w:rsid w:val="00337293"/>
    <w:rPr>
      <w:b/>
      <w:bCs/>
    </w:rPr>
  </w:style>
  <w:style w:customStyle="1" w:styleId="Char7" w:type="character">
    <w:name w:val="批注主题 Char"/>
    <w:link w:val="af1"/>
    <w:uiPriority w:val="99"/>
    <w:semiHidden/>
    <w:locked/>
    <w:rsid w:val="00F76A67"/>
    <w:rPr>
      <w:rFonts w:cs="Times New Roman"/>
      <w:b/>
      <w:bCs/>
      <w:sz w:val="24"/>
      <w:szCs w:val="24"/>
    </w:rPr>
  </w:style>
  <w:style w:customStyle="1" w:styleId="Char8" w:type="paragraph">
    <w:name w:val="Char"/>
    <w:basedOn w:val="a"/>
    <w:uiPriority w:val="99"/>
    <w:rsid w:val="00337293"/>
  </w:style>
  <w:style w:styleId="af2"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2"/>
    <w:uiPriority w:val="99"/>
    <w:semiHidden/>
    <w:locked/>
    <w:rsid w:val="00F76A67"/>
    <w:rPr>
      <w:rFonts w:cs="Times New Roman"/>
      <w:sz w:val="2"/>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kern w:val="0"/>
      <w:sz w:val="18"/>
      <w:szCs w:val="18"/>
    </w:rPr>
  </w:style>
  <w:style w:customStyle="1" w:styleId="Chara" w:type="character">
    <w:name w:val="脚注文本 Char"/>
    <w:link w:val="af4"/>
    <w:uiPriority w:val="99"/>
    <w:semiHidden/>
    <w:locked/>
    <w:rsid w:val="00F76A67"/>
    <w:rPr>
      <w:rFonts w:cs="Times New Roman"/>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Default" w:type="paragraph">
    <w:name w:val="Default"/>
    <w:uiPriority w:val="99"/>
    <w:rsid w:val="00295C5D"/>
    <w:pPr>
      <w:widowControl w:val="0"/>
      <w:autoSpaceDE w:val="0"/>
      <w:autoSpaceDN w:val="0"/>
      <w:adjustRightInd w:val="0"/>
    </w:pPr>
    <w:rPr>
      <w:rFonts w:ascii="FangSong" w:cs="FangSong" w:hAnsi="FangSong"/>
      <w:color w:val="000000"/>
      <w:sz w:val="24"/>
      <w:szCs w:val="24"/>
    </w:rPr>
  </w:style>
  <w:style w:styleId="af8" w:type="character">
    <w:name w:val="Strong"/>
    <w:uiPriority w:val="22"/>
    <w:qFormat/>
    <w:locked/>
    <w:rsid w:val="0045725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099598">
      <w:bodyDiv w:val="1"/>
      <w:marLeft w:val="0"/>
      <w:marRight w:val="0"/>
      <w:marTop w:val="0"/>
      <w:marBottom w:val="0"/>
      <w:divBdr>
        <w:top w:val="none" w:sz="0" w:space="0" w:color="auto"/>
        <w:left w:val="none" w:sz="0" w:space="0" w:color="auto"/>
        <w:bottom w:val="none" w:sz="0" w:space="0" w:color="auto"/>
        <w:right w:val="none" w:sz="0" w:space="0" w:color="auto"/>
      </w:divBdr>
    </w:div>
    <w:div w:id="784084020">
      <w:bodyDiv w:val="1"/>
      <w:marLeft w:val="0"/>
      <w:marRight w:val="0"/>
      <w:marTop w:val="0"/>
      <w:marBottom w:val="0"/>
      <w:divBdr>
        <w:top w:val="none" w:sz="0" w:space="0" w:color="auto"/>
        <w:left w:val="none" w:sz="0" w:space="0" w:color="auto"/>
        <w:bottom w:val="none" w:sz="0" w:space="0" w:color="auto"/>
        <w:right w:val="none" w:sz="0" w:space="0" w:color="auto"/>
      </w:divBdr>
    </w:div>
    <w:div w:id="861357189">
      <w:bodyDiv w:val="1"/>
      <w:marLeft w:val="0"/>
      <w:marRight w:val="0"/>
      <w:marTop w:val="0"/>
      <w:marBottom w:val="0"/>
      <w:divBdr>
        <w:top w:val="none" w:sz="0" w:space="0" w:color="auto"/>
        <w:left w:val="none" w:sz="0" w:space="0" w:color="auto"/>
        <w:bottom w:val="none" w:sz="0" w:space="0" w:color="auto"/>
        <w:right w:val="none" w:sz="0" w:space="0" w:color="auto"/>
      </w:divBdr>
    </w:div>
    <w:div w:id="1863275524">
      <w:marLeft w:val="0"/>
      <w:marRight w:val="0"/>
      <w:marTop w:val="0"/>
      <w:marBottom w:val="0"/>
      <w:divBdr>
        <w:top w:val="none" w:sz="0" w:space="0" w:color="auto"/>
        <w:left w:val="none" w:sz="0" w:space="0" w:color="auto"/>
        <w:bottom w:val="none" w:sz="0" w:space="0" w:color="auto"/>
        <w:right w:val="none" w:sz="0" w:space="0" w:color="auto"/>
      </w:divBdr>
    </w:div>
    <w:div w:id="1863275525">
      <w:marLeft w:val="0"/>
      <w:marRight w:val="0"/>
      <w:marTop w:val="0"/>
      <w:marBottom w:val="0"/>
      <w:divBdr>
        <w:top w:val="none" w:sz="0" w:space="0" w:color="auto"/>
        <w:left w:val="none" w:sz="0" w:space="0" w:color="auto"/>
        <w:bottom w:val="none" w:sz="0" w:space="0" w:color="auto"/>
        <w:right w:val="none" w:sz="0" w:space="0" w:color="auto"/>
      </w:divBdr>
    </w:div>
    <w:div w:id="1863275526">
      <w:marLeft w:val="0"/>
      <w:marRight w:val="0"/>
      <w:marTop w:val="0"/>
      <w:marBottom w:val="0"/>
      <w:divBdr>
        <w:top w:val="none" w:sz="0" w:space="0" w:color="auto"/>
        <w:left w:val="none" w:sz="0" w:space="0" w:color="auto"/>
        <w:bottom w:val="none" w:sz="0" w:space="0" w:color="auto"/>
        <w:right w:val="none" w:sz="0" w:space="0" w:color="auto"/>
      </w:divBdr>
    </w:div>
    <w:div w:id="1863275527">
      <w:marLeft w:val="0"/>
      <w:marRight w:val="0"/>
      <w:marTop w:val="0"/>
      <w:marBottom w:val="0"/>
      <w:divBdr>
        <w:top w:val="none" w:sz="0" w:space="0" w:color="auto"/>
        <w:left w:val="none" w:sz="0" w:space="0" w:color="auto"/>
        <w:bottom w:val="none" w:sz="0" w:space="0" w:color="auto"/>
        <w:right w:val="none" w:sz="0" w:space="0" w:color="auto"/>
      </w:divBdr>
    </w:div>
    <w:div w:id="1863275528">
      <w:marLeft w:val="0"/>
      <w:marRight w:val="0"/>
      <w:marTop w:val="0"/>
      <w:marBottom w:val="0"/>
      <w:divBdr>
        <w:top w:val="none" w:sz="0" w:space="0" w:color="auto"/>
        <w:left w:val="none" w:sz="0" w:space="0" w:color="auto"/>
        <w:bottom w:val="none" w:sz="0" w:space="0" w:color="auto"/>
        <w:right w:val="none" w:sz="0" w:space="0" w:color="auto"/>
      </w:divBdr>
    </w:div>
    <w:div w:id="1863275529">
      <w:marLeft w:val="0"/>
      <w:marRight w:val="0"/>
      <w:marTop w:val="0"/>
      <w:marBottom w:val="0"/>
      <w:divBdr>
        <w:top w:val="none" w:sz="0" w:space="0" w:color="auto"/>
        <w:left w:val="none" w:sz="0" w:space="0" w:color="auto"/>
        <w:bottom w:val="none" w:sz="0" w:space="0" w:color="auto"/>
        <w:right w:val="none" w:sz="0" w:space="0" w:color="auto"/>
      </w:divBdr>
    </w:div>
    <w:div w:id="1863275530">
      <w:marLeft w:val="0"/>
      <w:marRight w:val="0"/>
      <w:marTop w:val="0"/>
      <w:marBottom w:val="0"/>
      <w:divBdr>
        <w:top w:val="none" w:sz="0" w:space="0" w:color="auto"/>
        <w:left w:val="none" w:sz="0" w:space="0" w:color="auto"/>
        <w:bottom w:val="none" w:sz="0" w:space="0" w:color="auto"/>
        <w:right w:val="none" w:sz="0" w:space="0" w:color="auto"/>
      </w:divBdr>
    </w:div>
    <w:div w:id="1863275531">
      <w:marLeft w:val="0"/>
      <w:marRight w:val="0"/>
      <w:marTop w:val="0"/>
      <w:marBottom w:val="0"/>
      <w:divBdr>
        <w:top w:val="none" w:sz="0" w:space="0" w:color="auto"/>
        <w:left w:val="none" w:sz="0" w:space="0" w:color="auto"/>
        <w:bottom w:val="none" w:sz="0" w:space="0" w:color="auto"/>
        <w:right w:val="none" w:sz="0" w:space="0" w:color="auto"/>
      </w:divBdr>
    </w:div>
    <w:div w:id="1863275532">
      <w:marLeft w:val="0"/>
      <w:marRight w:val="0"/>
      <w:marTop w:val="0"/>
      <w:marBottom w:val="0"/>
      <w:divBdr>
        <w:top w:val="none" w:sz="0" w:space="0" w:color="auto"/>
        <w:left w:val="none" w:sz="0" w:space="0" w:color="auto"/>
        <w:bottom w:val="none" w:sz="0" w:space="0" w:color="auto"/>
        <w:right w:val="none" w:sz="0" w:space="0" w:color="auto"/>
      </w:divBdr>
    </w:div>
    <w:div w:id="1863275533">
      <w:marLeft w:val="0"/>
      <w:marRight w:val="0"/>
      <w:marTop w:val="0"/>
      <w:marBottom w:val="0"/>
      <w:divBdr>
        <w:top w:val="none" w:sz="0" w:space="0" w:color="auto"/>
        <w:left w:val="none" w:sz="0" w:space="0" w:color="auto"/>
        <w:bottom w:val="none" w:sz="0" w:space="0" w:color="auto"/>
        <w:right w:val="none" w:sz="0" w:space="0" w:color="auto"/>
      </w:divBdr>
    </w:div>
    <w:div w:id="2031027843">
      <w:bodyDiv w:val="1"/>
      <w:marLeft w:val="0"/>
      <w:marRight w:val="0"/>
      <w:marTop w:val="0"/>
      <w:marBottom w:val="0"/>
      <w:divBdr>
        <w:top w:val="none" w:sz="0" w:space="0" w:color="auto"/>
        <w:left w:val="none" w:sz="0" w:space="0" w:color="auto"/>
        <w:bottom w:val="none" w:sz="0" w:space="0" w:color="auto"/>
        <w:right w:val="none" w:sz="0" w:space="0" w:color="auto"/>
      </w:divBdr>
    </w:div>
    <w:div w:id="2084137702">
      <w:bodyDiv w:val="1"/>
      <w:marLeft w:val="0"/>
      <w:marRight w:val="0"/>
      <w:marTop w:val="0"/>
      <w:marBottom w:val="0"/>
      <w:divBdr>
        <w:top w:val="none" w:sz="0" w:space="0" w:color="auto"/>
        <w:left w:val="none" w:sz="0" w:space="0" w:color="auto"/>
        <w:bottom w:val="none" w:sz="0" w:space="0" w:color="auto"/>
        <w:right w:val="none" w:sz="0" w:space="0" w:color="auto"/>
      </w:divBdr>
    </w:div>
    <w:div w:id="211767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412</TotalTime>
  <Pages>34</Pages>
  <Words>4987</Words>
  <Characters>28430</Characters>
  <Application>Microsoft Office Word</Application>
  <DocSecurity>0</DocSecurity>
  <Lines>236</Lines>
  <Paragraphs>66</Paragraphs>
  <ScaleCrop>false</ScaleCrop>
  <Company>TRT. Ltd. Co.</Company>
  <LinksUpToDate>false</LinksUpToDate>
  <CharactersWithSpaces>33351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2012-11-21T04:46:00Z</dcterms:created>
  <cp:lastModifiedBy>sirong han</cp:lastModifiedBy>
  <cp:lastPrinted>2007-07-19T00:46:00Z</cp:lastPrinted>
  <dcterms:modified xsi:type="dcterms:W3CDTF">2020-07-09T03:00:00Z</dcterms:modified>
  <cp:revision>204</cp:revision>
</cp:coreProperties>
</file>