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易方达策略成长证券投资基金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易方达策略成长混合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110002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110002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2003年12月9日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339,813,448.73</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本基金通过投资兼具较高内在价值和良好成长性的股票，积极把握股票市场波动所带来的获利机会，努力为基金份额持有人追求较高的中长期资本增值。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主动型股票基金，投资的总体原则是在价值区域内把握波动，在波动中实现研究的“溢价”。基金采取相对稳定的资产配置策略，避免因过于主动的仓位调整带来额外的风险。同时，以雄厚的研究力量为依托，通过以价值成长比率（PEG）为核心的系统方法筛选出兼具较高内在价值及良好成长性的股票，并通过对相关行业和上市公司成长率变化的动态预测，积极把握行业/板块、个股的市场波动所带来的获利机会，为基金份额持有人追求较高的当期收益及长期资本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上证A指收益率×75％+上证国债指数收益率×25％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本基金为混合型基金，理论上其风险收益水平低于股票型基金，高于债券型基金及货币市场基金。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36,379,545.89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281,402,788.57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0.8039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1,364,662,912.92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4.016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25.23%</w:t>
            </w:r>
          </w:p>
        </w:tc>
        <w:tc>
          <w:tcPr>
            <w:vAlign w:val="center"/>
          </w:tcPr>
          <w:p>
            <w:pPr>
              <w:jc w:val="center"/>
            </w:pPr>
            <w:r>
              <w:rPr>
                <w:color w:val="000000"/>
                <w:kern w:val="0"/>
                <w:sz w:val="24"/>
                <w:szCs w:val="24"/>
              </w:rPr>
              <w:t>1.26%</w:t>
            </w:r>
          </w:p>
        </w:tc>
        <w:tc>
          <w:tcPr>
            <w:vAlign w:val="center"/>
          </w:tcPr>
          <w:p>
            <w:pPr>
              <w:jc w:val="center"/>
            </w:pPr>
            <w:r>
              <w:rPr>
                <w:color w:val="000000"/>
                <w:kern w:val="0"/>
                <w:sz w:val="24"/>
                <w:szCs w:val="24"/>
              </w:rPr>
              <w:t>6.56%</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18.67%</w:t>
            </w:r>
          </w:p>
        </w:tc>
        <w:tc>
          <w:tcPr>
            <w:vAlign w:val="center"/>
          </w:tcPr>
          <w:p>
            <w:pPr>
              <w:jc w:val="center"/>
            </w:pPr>
            <w:r>
              <w:rPr>
                <w:color w:val="000000"/>
                <w:kern w:val="0"/>
                <w:sz w:val="24"/>
                <w:szCs w:val="24"/>
              </w:rPr>
              <w:t>0.67%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22.03%</w:t>
            </w:r>
          </w:p>
        </w:tc>
        <w:tc>
          <w:tcPr>
            <w:vAlign w:val="center"/>
          </w:tcPr>
          <w:p>
            <w:pPr>
              <w:jc w:val="center"/>
            </w:pPr>
            <w:r>
              <w:rPr>
                <w:color w:val="000000"/>
                <w:kern w:val="0"/>
                <w:sz w:val="24"/>
                <w:szCs w:val="24"/>
              </w:rPr>
              <w:t>1.75%</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22.89%</w:t>
            </w:r>
          </w:p>
        </w:tc>
        <w:tc>
          <w:tcPr>
            <w:vAlign w:val="center"/>
          </w:tcPr>
          <w:p>
            <w:pPr>
              <w:jc w:val="center"/>
            </w:pPr>
            <w:r>
              <w:rPr>
                <w:color w:val="000000"/>
                <w:kern w:val="0"/>
                <w:sz w:val="24"/>
                <w:szCs w:val="24"/>
              </w:rPr>
              <w:t>0.73%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39.44%</w:t>
            </w:r>
          </w:p>
        </w:tc>
        <w:tc>
          <w:tcPr>
            <w:vAlign w:val="center"/>
          </w:tcPr>
          <w:p>
            <w:pPr>
              <w:jc w:val="center"/>
            </w:pPr>
            <w:r>
              <w:rPr>
                <w:color w:val="000000"/>
                <w:kern w:val="0"/>
                <w:sz w:val="24"/>
                <w:szCs w:val="24"/>
              </w:rPr>
              <w:t>1.44%</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0.83%</w:t>
            </w:r>
          </w:p>
        </w:tc>
        <w:tc>
          <w:tcPr>
            <w:vAlign w:val="center"/>
          </w:tcPr>
          <w:p>
            <w:pPr>
              <w:jc w:val="center"/>
            </w:pPr>
            <w:r>
              <w:rPr>
                <w:color w:val="000000"/>
                <w:kern w:val="0"/>
                <w:sz w:val="24"/>
                <w:szCs w:val="24"/>
              </w:rPr>
              <w:t>37.92%</w:t>
            </w:r>
          </w:p>
        </w:tc>
        <w:tc>
          <w:tcPr>
            <w:vAlign w:val="center"/>
          </w:tcPr>
          <w:p>
            <w:pPr>
              <w:jc w:val="center"/>
            </w:pPr>
            <w:r>
              <w:rPr>
                <w:color w:val="000000"/>
                <w:kern w:val="0"/>
                <w:sz w:val="24"/>
                <w:szCs w:val="24"/>
              </w:rPr>
              <w:t>0.61%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28.56%</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29.95%</w:t>
            </w:r>
          </w:p>
        </w:tc>
        <w:tc>
          <w:tcPr>
            <w:vAlign w:val="center"/>
          </w:tcPr>
          <w:p>
            <w:pPr>
              <w:jc w:val="center"/>
            </w:pPr>
            <w:r>
              <w:rPr>
                <w:color w:val="000000"/>
                <w:kern w:val="0"/>
                <w:sz w:val="24"/>
                <w:szCs w:val="24"/>
              </w:rPr>
              <w:t>0.57%</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-18.61%</w:t>
            </w:r>
          </w:p>
        </w:tc>
        <w:tc>
          <w:tcPr>
            <w:vAlign w:val="center"/>
          </w:tcPr>
          <w:p>
            <w:pPr>
              <w:jc w:val="center"/>
            </w:pPr>
            <w:r>
              <w:rPr>
                <w:color w:val="000000"/>
                <w:kern w:val="0"/>
                <w:sz w:val="24"/>
                <w:szCs w:val="24"/>
              </w:rPr>
              <w:t>1.71%</w:t>
            </w:r>
          </w:p>
        </w:tc>
        <w:tc>
          <w:tcPr>
            <w:vAlign w:val="center"/>
          </w:tcPr>
          <w:p>
            <w:pPr>
              <w:jc w:val="center"/>
            </w:pPr>
            <w:r>
              <w:rPr>
                <w:color w:val="000000"/>
                <w:kern w:val="0"/>
                <w:sz w:val="24"/>
                <w:szCs w:val="24"/>
              </w:rPr>
              <w:t>-17.15%</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0.67%</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672.59%</w:t>
            </w:r>
          </w:p>
        </w:tc>
        <w:tc>
          <w:tcPr>
            <w:vAlign w:val="center"/>
          </w:tcPr>
          <w:p>
            <w:pPr>
              <w:jc w:val="center"/>
            </w:pPr>
            <w:r>
              <w:rPr>
                <w:color w:val="000000"/>
                <w:kern w:val="0"/>
                <w:sz w:val="24"/>
                <w:szCs w:val="24"/>
              </w:rPr>
              <w:t>1.53%</w:t>
            </w:r>
          </w:p>
        </w:tc>
        <w:tc>
          <w:tcPr>
            <w:vAlign w:val="center"/>
          </w:tcPr>
          <w:p>
            <w:pPr>
              <w:jc w:val="center"/>
            </w:pPr>
            <w:r>
              <w:rPr>
                <w:color w:val="000000"/>
                <w:kern w:val="0"/>
                <w:sz w:val="24"/>
                <w:szCs w:val="24"/>
              </w:rPr>
              <w:t>102.54%</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570.05%</w:t>
            </w:r>
          </w:p>
        </w:tc>
        <w:tc>
          <w:tcPr>
            <w:vAlign w:val="center"/>
          </w:tcPr>
          <w:p>
            <w:pPr>
              <w:jc w:val="center"/>
            </w:pPr>
            <w:r>
              <w:rPr>
                <w:color w:val="000000"/>
                <w:kern w:val="0"/>
                <w:sz w:val="24"/>
                <w:szCs w:val="24"/>
              </w:rPr>
              <w:t>0.34%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易方达策略成长证券投资基金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2003年12月9日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注：自基金合同生效至报告期末，基金份额净值增长率为672.59%，同期业绩比较基准收益率为102.54%。</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梁裕宁</w:t>
            </w:r>
          </w:p>
        </w:tc>
        <w:tc>
          <w:tcPr>
            <w:vAlign w:val="center"/>
          </w:tcPr>
          <w:p>
            <w:pPr>
              <w:jc w:val="left"/>
            </w:pPr>
            <w:r>
              <w:rPr>
                <w:color w:val="000000"/>
                <w:sz w:val="24"/>
              </w:rPr>
              <w:t>本基金的基金经理、易方达策略成长二号混合型证券投资基金的基金经理（自2017年02月17日至2020年06月05日）</w:t>
            </w:r>
          </w:p>
        </w:tc>
        <w:tc>
          <w:tcPr>
            <w:vAlign w:val="center"/>
          </w:tcPr>
          <w:p>
            <w:pPr>
              <w:jc w:val="center"/>
            </w:pPr>
            <w:r>
              <w:rPr>
                <w:color w:val="000000"/>
                <w:sz w:val="24"/>
              </w:rPr>
              <w:t>2017-02-17</w:t>
            </w:r>
          </w:p>
        </w:tc>
        <w:tc>
          <w:tcPr>
            <w:vAlign w:val="center"/>
          </w:tcPr>
          <w:p>
            <w:pPr>
              <w:jc w:val="center"/>
            </w:pPr>
            <w:r>
              <w:rPr>
                <w:color w:val="000000"/>
                <w:sz w:val="24"/>
              </w:rPr>
              <w:t>2020-06-06</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硕士研究生，具有基金从业资格。曾任普华永道会计师事务所高级审计师，中山华通五金制品有限公司总裁助理，QQ Distinction Pty Ltd董事、财务负责人，易方达基金管理有限公司行业研究员、投资经理、易方达瑞享灵活配置混合型证券投资基金基金经理。</w:t>
            </w:r>
          </w:p>
        </w:tc>
      </w:tr>
      <w:tr>
        <w:tc>
          <w:tcPr>
            <w:vAlign w:val="center"/>
          </w:tcPr>
          <w:p>
            <w:pPr>
              <w:jc w:val="center"/>
            </w:pPr>
            <w:r>
              <w:rPr>
                <w:color w:val="000000"/>
                <w:sz w:val="24"/>
              </w:rPr>
              <w:t>蔡荣成</w:t>
            </w:r>
          </w:p>
        </w:tc>
        <w:tc>
          <w:tcPr>
            <w:vAlign w:val="center"/>
          </w:tcPr>
          <w:p>
            <w:pPr>
              <w:jc w:val="left"/>
            </w:pPr>
            <w:r>
              <w:rPr>
                <w:color w:val="000000"/>
                <w:sz w:val="24"/>
              </w:rPr>
              <w:t>本基金的基金经理、易方达科技创新混合型证券投资基金的基金经理（自2019年04月29日至2020年06月05日）、易方达策略成长二号混合型证券投资基金的基金经理、易方达新丝路灵活配置混合型证券投资基金的基金经理助理（自2019年11月28日至2020年06月05日）、行业研究员</w:t>
            </w:r>
          </w:p>
        </w:tc>
        <w:tc>
          <w:tcPr>
            <w:vAlign w:val="center"/>
          </w:tcPr>
          <w:p>
            <w:pPr>
              <w:jc w:val="center"/>
            </w:pPr>
            <w:r>
              <w:rPr>
                <w:color w:val="000000"/>
                <w:sz w:val="24"/>
              </w:rPr>
              <w:t>2020-06-06</w:t>
            </w:r>
          </w:p>
        </w:tc>
        <w:tc>
          <w:tcPr>
            <w:vAlign w:val="center"/>
          </w:tcPr>
          <w:p>
            <w:pPr>
              <w:jc w:val="center"/>
            </w:pPr>
            <w:r>
              <w:rPr>
                <w:color w:val="000000"/>
                <w:sz w:val="24"/>
              </w:rPr>
              <w:t>-</w:t>
            </w:r>
          </w:p>
        </w:tc>
        <w:tc>
          <w:tcPr>
            <w:vAlign w:val="center"/>
          </w:tcPr>
          <w:p>
            <w:pPr>
              <w:jc w:val="center"/>
            </w:pPr>
            <w:r>
              <w:rPr>
                <w:color w:val="000000"/>
                <w:sz w:val="24"/>
              </w:rPr>
              <w:t>5年</w:t>
            </w:r>
          </w:p>
        </w:tc>
        <w:tc>
          <w:tcPr>
            <w:vAlign w:val="center"/>
          </w:tcPr>
          <w:p>
            <w:pPr>
              <w:jc w:val="both"/>
            </w:pPr>
            <w:r>
              <w:rPr>
                <w:color w:val="000000"/>
                <w:sz w:val="24"/>
              </w:rPr>
              <w:t>硕士研究生，具有基金从业资格。</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受国际形势及海外疫情不确定性影响，2020年二季度初，A股回落到低位。与此同时，由于中国疫情控制得力，经济基本面相对有韧性，市场出现了较好的结构性机遇。 疫情带动了线上化的趋势，更多的线下场景(购物、教育、办公、娱乐等)加速往线上迁移。并且从某种程度来看，这个趋势是不可逆的。流量的爆发加大了对硬件的需求，信息化和数字化转型又带动了软件和云计算的需求。基于以上判断，本季度组合进一步向TMT板块集中和配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截至报告期末，本基金份额净值为4.016元，本报告期份额净值增长率为25.23%，同期业绩比较基准收益率为6.56%。</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1,152,731,943.89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1,152,731,943.89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160,515,534.30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11.34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160,515,534.30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98,563,561.74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6.97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3,082,285.88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0.22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1,414,893,325.81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762,133,487.61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55.85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5,657,927.12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0.41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364,283,289.65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26.69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26,660.00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20,622,925.00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846.51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6,808.00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1,152,731,943.89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84.47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300502</w:t>
            </w:r>
          </w:p>
        </w:tc>
        <w:tc>
          <w:tcPr>
            <w:vAlign w:val="center"/>
          </w:tcPr>
          <w:p>
            <w:pPr>
              <w:jc w:val="center"/>
            </w:pPr>
            <w:r>
              <w:rPr>
                <w:color w:val="000000"/>
                <w:kern w:val="0"/>
                <w:sz w:val="24"/>
                <w:szCs w:val="24"/>
              </w:rPr>
              <w:t>新易盛</w:t>
            </w:r>
          </w:p>
        </w:tc>
        <w:tc>
          <w:tcPr>
            <w:vAlign w:val="center"/>
          </w:tcPr>
          <w:p>
            <w:pPr>
              <w:jc w:val="right"/>
            </w:pPr>
            <w:r>
              <w:rPr>
                <w:color w:val="000000"/>
                <w:kern w:val="0"/>
                <w:sz w:val="24"/>
                <w:szCs w:val="24"/>
              </w:rPr>
              <w:t>1,026,357</w:t>
            </w:r>
          </w:p>
        </w:tc>
        <w:tc>
          <w:tcPr>
            <w:vAlign w:val="center"/>
          </w:tcPr>
          <w:p>
            <w:pPr>
              <w:jc w:val="right"/>
            </w:pPr>
            <w:r>
              <w:rPr>
                <w:color w:val="000000"/>
                <w:kern w:val="0"/>
                <w:sz w:val="24"/>
                <w:szCs w:val="24"/>
              </w:rPr>
              <w:t>64,783,653.84</w:t>
            </w:r>
          </w:p>
        </w:tc>
        <w:tc>
          <w:tcPr>
            <w:vAlign w:val="center"/>
          </w:tcPr>
          <w:p>
            <w:pPr>
              <w:jc w:val="right"/>
            </w:pPr>
            <w:r>
              <w:rPr>
                <w:color w:val="000000"/>
                <w:kern w:val="0"/>
                <w:sz w:val="24"/>
                <w:szCs w:val="24"/>
              </w:rPr>
              <w:t>4.75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1,608,032</w:t>
            </w:r>
          </w:p>
        </w:tc>
        <w:tc>
          <w:tcPr>
            <w:vAlign w:val="center"/>
          </w:tcPr>
          <w:p>
            <w:pPr>
              <w:jc w:val="right"/>
            </w:pPr>
            <w:r>
              <w:rPr>
                <w:color w:val="000000"/>
                <w:kern w:val="0"/>
                <w:sz w:val="24"/>
                <w:szCs w:val="24"/>
              </w:rPr>
              <w:t>48,160,558.40</w:t>
            </w:r>
          </w:p>
        </w:tc>
        <w:tc>
          <w:tcPr>
            <w:vAlign w:val="center"/>
          </w:tcPr>
          <w:p>
            <w:pPr>
              <w:jc w:val="right"/>
            </w:pPr>
            <w:r>
              <w:rPr>
                <w:color w:val="000000"/>
                <w:kern w:val="0"/>
                <w:sz w:val="24"/>
                <w:szCs w:val="24"/>
              </w:rPr>
              <w:t>3.53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688029</w:t>
            </w:r>
          </w:p>
        </w:tc>
        <w:tc>
          <w:tcPr>
            <w:vAlign w:val="center"/>
          </w:tcPr>
          <w:p>
            <w:pPr>
              <w:jc w:val="center"/>
            </w:pPr>
            <w:r>
              <w:rPr>
                <w:color w:val="000000"/>
                <w:kern w:val="0"/>
                <w:sz w:val="24"/>
                <w:szCs w:val="24"/>
              </w:rPr>
              <w:t>南微医学</w:t>
            </w:r>
          </w:p>
        </w:tc>
        <w:tc>
          <w:tcPr>
            <w:vAlign w:val="center"/>
          </w:tcPr>
          <w:p>
            <w:pPr>
              <w:jc w:val="right"/>
            </w:pPr>
            <w:r>
              <w:rPr>
                <w:color w:val="000000"/>
                <w:kern w:val="0"/>
                <w:sz w:val="24"/>
                <w:szCs w:val="24"/>
              </w:rPr>
              <w:t>191,873</w:t>
            </w:r>
          </w:p>
        </w:tc>
        <w:tc>
          <w:tcPr>
            <w:vAlign w:val="center"/>
          </w:tcPr>
          <w:p>
            <w:pPr>
              <w:jc w:val="right"/>
            </w:pPr>
            <w:r>
              <w:rPr>
                <w:color w:val="000000"/>
                <w:kern w:val="0"/>
                <w:sz w:val="24"/>
                <w:szCs w:val="24"/>
              </w:rPr>
              <w:t>46,536,877.42</w:t>
            </w:r>
          </w:p>
        </w:tc>
        <w:tc>
          <w:tcPr>
            <w:vAlign w:val="center"/>
          </w:tcPr>
          <w:p>
            <w:pPr>
              <w:jc w:val="right"/>
            </w:pPr>
            <w:r>
              <w:rPr>
                <w:color w:val="000000"/>
                <w:kern w:val="0"/>
                <w:sz w:val="24"/>
                <w:szCs w:val="24"/>
              </w:rPr>
              <w:t>3.41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603712</w:t>
            </w:r>
          </w:p>
        </w:tc>
        <w:tc>
          <w:tcPr>
            <w:vAlign w:val="center"/>
          </w:tcPr>
          <w:p>
            <w:pPr>
              <w:jc w:val="center"/>
            </w:pPr>
            <w:r>
              <w:rPr>
                <w:color w:val="000000"/>
                <w:kern w:val="0"/>
                <w:sz w:val="24"/>
                <w:szCs w:val="24"/>
              </w:rPr>
              <w:t>七一二</w:t>
            </w:r>
          </w:p>
        </w:tc>
        <w:tc>
          <w:tcPr>
            <w:vAlign w:val="center"/>
          </w:tcPr>
          <w:p>
            <w:pPr>
              <w:jc w:val="right"/>
            </w:pPr>
            <w:r>
              <w:rPr>
                <w:color w:val="000000"/>
                <w:kern w:val="0"/>
                <w:sz w:val="24"/>
                <w:szCs w:val="24"/>
              </w:rPr>
              <w:t>1,114,568</w:t>
            </w:r>
          </w:p>
        </w:tc>
        <w:tc>
          <w:tcPr>
            <w:vAlign w:val="center"/>
          </w:tcPr>
          <w:p>
            <w:pPr>
              <w:jc w:val="right"/>
            </w:pPr>
            <w:r>
              <w:rPr>
                <w:color w:val="000000"/>
                <w:kern w:val="0"/>
                <w:sz w:val="24"/>
                <w:szCs w:val="24"/>
              </w:rPr>
              <w:t>42,777,119.84</w:t>
            </w:r>
          </w:p>
        </w:tc>
        <w:tc>
          <w:tcPr>
            <w:vAlign w:val="center"/>
          </w:tcPr>
          <w:p>
            <w:pPr>
              <w:jc w:val="right"/>
            </w:pPr>
            <w:r>
              <w:rPr>
                <w:color w:val="000000"/>
                <w:kern w:val="0"/>
                <w:sz w:val="24"/>
                <w:szCs w:val="24"/>
              </w:rPr>
              <w:t>3.13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002402</w:t>
            </w:r>
          </w:p>
        </w:tc>
        <w:tc>
          <w:tcPr>
            <w:vAlign w:val="center"/>
          </w:tcPr>
          <w:p>
            <w:pPr>
              <w:jc w:val="center"/>
            </w:pPr>
            <w:r>
              <w:rPr>
                <w:color w:val="000000"/>
                <w:kern w:val="0"/>
                <w:sz w:val="24"/>
                <w:szCs w:val="24"/>
              </w:rPr>
              <w:t>和而泰</w:t>
            </w:r>
          </w:p>
        </w:tc>
        <w:tc>
          <w:tcPr>
            <w:vAlign w:val="center"/>
          </w:tcPr>
          <w:p>
            <w:pPr>
              <w:jc w:val="right"/>
            </w:pPr>
            <w:r>
              <w:rPr>
                <w:color w:val="000000"/>
                <w:kern w:val="0"/>
                <w:sz w:val="24"/>
                <w:szCs w:val="24"/>
              </w:rPr>
              <w:t>2,520,927</w:t>
            </w:r>
          </w:p>
        </w:tc>
        <w:tc>
          <w:tcPr>
            <w:vAlign w:val="center"/>
          </w:tcPr>
          <w:p>
            <w:pPr>
              <w:jc w:val="right"/>
            </w:pPr>
            <w:r>
              <w:rPr>
                <w:color w:val="000000"/>
                <w:kern w:val="0"/>
                <w:sz w:val="24"/>
                <w:szCs w:val="24"/>
              </w:rPr>
              <w:t>40,864,226.67</w:t>
            </w:r>
          </w:p>
        </w:tc>
        <w:tc>
          <w:tcPr>
            <w:vAlign w:val="center"/>
          </w:tcPr>
          <w:p>
            <w:pPr>
              <w:jc w:val="right"/>
            </w:pPr>
            <w:r>
              <w:rPr>
                <w:color w:val="000000"/>
                <w:kern w:val="0"/>
                <w:sz w:val="24"/>
                <w:szCs w:val="24"/>
              </w:rPr>
              <w:t>2.99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300226</w:t>
            </w:r>
          </w:p>
        </w:tc>
        <w:tc>
          <w:tcPr>
            <w:vAlign w:val="center"/>
          </w:tcPr>
          <w:p>
            <w:pPr>
              <w:jc w:val="center"/>
            </w:pPr>
            <w:r>
              <w:rPr>
                <w:color w:val="000000"/>
                <w:kern w:val="0"/>
                <w:sz w:val="24"/>
                <w:szCs w:val="24"/>
              </w:rPr>
              <w:t>上海钢联</w:t>
            </w:r>
          </w:p>
        </w:tc>
        <w:tc>
          <w:tcPr>
            <w:vAlign w:val="center"/>
          </w:tcPr>
          <w:p>
            <w:pPr>
              <w:jc w:val="right"/>
            </w:pPr>
            <w:r>
              <w:rPr>
                <w:color w:val="000000"/>
                <w:kern w:val="0"/>
                <w:sz w:val="24"/>
                <w:szCs w:val="24"/>
              </w:rPr>
              <w:t>492,480</w:t>
            </w:r>
          </w:p>
        </w:tc>
        <w:tc>
          <w:tcPr>
            <w:vAlign w:val="center"/>
          </w:tcPr>
          <w:p>
            <w:pPr>
              <w:jc w:val="right"/>
            </w:pPr>
            <w:r>
              <w:rPr>
                <w:color w:val="000000"/>
                <w:kern w:val="0"/>
                <w:sz w:val="24"/>
                <w:szCs w:val="24"/>
              </w:rPr>
              <w:t>38,708,928.00</w:t>
            </w:r>
          </w:p>
        </w:tc>
        <w:tc>
          <w:tcPr>
            <w:vAlign w:val="center"/>
          </w:tcPr>
          <w:p>
            <w:pPr>
              <w:jc w:val="right"/>
            </w:pPr>
            <w:r>
              <w:rPr>
                <w:color w:val="000000"/>
                <w:kern w:val="0"/>
                <w:sz w:val="24"/>
                <w:szCs w:val="24"/>
              </w:rPr>
              <w:t>2.84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300033</w:t>
            </w:r>
          </w:p>
        </w:tc>
        <w:tc>
          <w:tcPr>
            <w:vAlign w:val="center"/>
          </w:tcPr>
          <w:p>
            <w:pPr>
              <w:jc w:val="center"/>
            </w:pPr>
            <w:r>
              <w:rPr>
                <w:color w:val="000000"/>
                <w:kern w:val="0"/>
                <w:sz w:val="24"/>
                <w:szCs w:val="24"/>
              </w:rPr>
              <w:t>同花顺</w:t>
            </w:r>
          </w:p>
        </w:tc>
        <w:tc>
          <w:tcPr>
            <w:vAlign w:val="center"/>
          </w:tcPr>
          <w:p>
            <w:pPr>
              <w:jc w:val="right"/>
            </w:pPr>
            <w:r>
              <w:rPr>
                <w:color w:val="000000"/>
                <w:kern w:val="0"/>
                <w:sz w:val="24"/>
                <w:szCs w:val="24"/>
              </w:rPr>
              <w:t>279,204</w:t>
            </w:r>
          </w:p>
        </w:tc>
        <w:tc>
          <w:tcPr>
            <w:vAlign w:val="center"/>
          </w:tcPr>
          <w:p>
            <w:pPr>
              <w:jc w:val="right"/>
            </w:pPr>
            <w:r>
              <w:rPr>
                <w:color w:val="000000"/>
                <w:kern w:val="0"/>
                <w:sz w:val="24"/>
                <w:szCs w:val="24"/>
              </w:rPr>
              <w:t>37,156,468.32</w:t>
            </w:r>
          </w:p>
        </w:tc>
        <w:tc>
          <w:tcPr>
            <w:vAlign w:val="center"/>
          </w:tcPr>
          <w:p>
            <w:pPr>
              <w:jc w:val="right"/>
            </w:pPr>
            <w:r>
              <w:rPr>
                <w:color w:val="000000"/>
                <w:kern w:val="0"/>
                <w:sz w:val="24"/>
                <w:szCs w:val="24"/>
              </w:rPr>
              <w:t>2.72</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343,547</w:t>
            </w:r>
          </w:p>
        </w:tc>
        <w:tc>
          <w:tcPr>
            <w:vAlign w:val="center"/>
          </w:tcPr>
          <w:p>
            <w:pPr>
              <w:jc w:val="right"/>
            </w:pPr>
            <w:r>
              <w:rPr>
                <w:color w:val="000000"/>
                <w:kern w:val="0"/>
                <w:sz w:val="24"/>
                <w:szCs w:val="24"/>
              </w:rPr>
              <w:t>37,000,011.90</w:t>
            </w:r>
          </w:p>
        </w:tc>
        <w:tc>
          <w:tcPr>
            <w:vAlign w:val="center"/>
          </w:tcPr>
          <w:p>
            <w:pPr>
              <w:jc w:val="right"/>
            </w:pPr>
            <w:r>
              <w:rPr>
                <w:color w:val="000000"/>
                <w:kern w:val="0"/>
                <w:sz w:val="24"/>
                <w:szCs w:val="24"/>
              </w:rPr>
              <w:t>2.71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000725</w:t>
            </w:r>
          </w:p>
        </w:tc>
        <w:tc>
          <w:tcPr>
            <w:vAlign w:val="center"/>
          </w:tcPr>
          <w:p>
            <w:pPr>
              <w:jc w:val="center"/>
            </w:pPr>
            <w:r>
              <w:rPr>
                <w:color w:val="000000"/>
                <w:kern w:val="0"/>
                <w:sz w:val="24"/>
                <w:szCs w:val="24"/>
              </w:rPr>
              <w:t>京东方A</w:t>
            </w:r>
          </w:p>
        </w:tc>
        <w:tc>
          <w:tcPr>
            <w:vAlign w:val="center"/>
          </w:tcPr>
          <w:p>
            <w:pPr>
              <w:jc w:val="right"/>
            </w:pPr>
            <w:r>
              <w:rPr>
                <w:color w:val="000000"/>
                <w:kern w:val="0"/>
                <w:sz w:val="24"/>
                <w:szCs w:val="24"/>
              </w:rPr>
              <w:t>7,619,100</w:t>
            </w:r>
          </w:p>
        </w:tc>
        <w:tc>
          <w:tcPr>
            <w:vAlign w:val="center"/>
          </w:tcPr>
          <w:p>
            <w:pPr>
              <w:jc w:val="right"/>
            </w:pPr>
            <w:r>
              <w:rPr>
                <w:color w:val="000000"/>
                <w:kern w:val="0"/>
                <w:sz w:val="24"/>
                <w:szCs w:val="24"/>
              </w:rPr>
              <w:t>35,581,197.00</w:t>
            </w:r>
          </w:p>
        </w:tc>
        <w:tc>
          <w:tcPr>
            <w:vAlign w:val="center"/>
          </w:tcPr>
          <w:p>
            <w:pPr>
              <w:jc w:val="right"/>
            </w:pPr>
            <w:r>
              <w:rPr>
                <w:color w:val="000000"/>
                <w:kern w:val="0"/>
                <w:sz w:val="24"/>
                <w:szCs w:val="24"/>
              </w:rPr>
              <w:t>2.61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603232</w:t>
            </w:r>
          </w:p>
        </w:tc>
        <w:tc>
          <w:tcPr>
            <w:vAlign w:val="center"/>
          </w:tcPr>
          <w:p>
            <w:pPr>
              <w:jc w:val="center"/>
            </w:pPr>
            <w:r>
              <w:rPr>
                <w:color w:val="000000"/>
                <w:kern w:val="0"/>
                <w:sz w:val="24"/>
                <w:szCs w:val="24"/>
              </w:rPr>
              <w:t>格尔软件</w:t>
            </w:r>
          </w:p>
        </w:tc>
        <w:tc>
          <w:tcPr>
            <w:vAlign w:val="center"/>
          </w:tcPr>
          <w:p>
            <w:pPr>
              <w:jc w:val="right"/>
            </w:pPr>
            <w:r>
              <w:rPr>
                <w:color w:val="000000"/>
                <w:kern w:val="0"/>
                <w:sz w:val="24"/>
                <w:szCs w:val="24"/>
              </w:rPr>
              <w:t>1,134,251</w:t>
            </w:r>
          </w:p>
        </w:tc>
        <w:tc>
          <w:tcPr>
            <w:vAlign w:val="center"/>
          </w:tcPr>
          <w:p>
            <w:pPr>
              <w:jc w:val="right"/>
            </w:pPr>
            <w:r>
              <w:rPr>
                <w:color w:val="000000"/>
                <w:kern w:val="0"/>
                <w:sz w:val="24"/>
                <w:szCs w:val="24"/>
              </w:rPr>
              <w:t>34,934,930.80</w:t>
            </w:r>
          </w:p>
        </w:tc>
        <w:tc>
          <w:tcPr>
            <w:vAlign w:val="center"/>
          </w:tcPr>
          <w:p>
            <w:pPr>
              <w:jc w:val="right"/>
            </w:pPr>
            <w:r>
              <w:rPr>
                <w:color w:val="000000"/>
                <w:kern w:val="0"/>
                <w:sz w:val="24"/>
                <w:szCs w:val="24"/>
              </w:rPr>
              <w:t>2.56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159,332,000.00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11.68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1,183,534.30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160,515,534.30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11.76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209925</w:t>
            </w:r>
          </w:p>
        </w:tc>
        <w:tc>
          <w:tcPr>
            <w:vAlign w:val="center"/>
          </w:tcPr>
          <w:p>
            <w:pPr>
              <w:jc w:val="center"/>
            </w:pPr>
            <w:r>
              <w:rPr>
                <w:color w:val="000000"/>
                <w:kern w:val="0"/>
                <w:sz w:val="24"/>
                <w:szCs w:val="24"/>
              </w:rPr>
              <w:t>20贴现国债25</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99,590,000.00</w:t>
            </w:r>
          </w:p>
        </w:tc>
        <w:tc>
          <w:tcPr>
            <w:vAlign w:val="center"/>
          </w:tcPr>
          <w:p>
            <w:pPr>
              <w:jc w:val="right"/>
            </w:pPr>
            <w:r>
              <w:rPr>
                <w:color w:val="000000"/>
                <w:kern w:val="0"/>
                <w:sz w:val="24"/>
                <w:szCs w:val="24"/>
              </w:rPr>
              <w:t>7.30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209926</w:t>
            </w:r>
          </w:p>
        </w:tc>
        <w:tc>
          <w:tcPr>
            <w:vAlign w:val="center"/>
          </w:tcPr>
          <w:p>
            <w:pPr>
              <w:jc w:val="center"/>
            </w:pPr>
            <w:r>
              <w:rPr>
                <w:color w:val="000000"/>
                <w:kern w:val="0"/>
                <w:sz w:val="24"/>
                <w:szCs w:val="24"/>
              </w:rPr>
              <w:t>20贴现国债26</w:t>
            </w:r>
          </w:p>
        </w:tc>
        <w:tc>
          <w:tcPr>
            <w:vAlign w:val="center"/>
          </w:tcPr>
          <w:p>
            <w:pPr>
              <w:jc w:val="right"/>
            </w:pPr>
            <w:r>
              <w:rPr>
                <w:color w:val="000000"/>
                <w:kern w:val="0"/>
                <w:sz w:val="24"/>
                <w:szCs w:val="24"/>
              </w:rPr>
              <w:t>600,000</w:t>
            </w:r>
          </w:p>
        </w:tc>
        <w:tc>
          <w:tcPr>
            <w:vAlign w:val="center"/>
          </w:tcPr>
          <w:p>
            <w:pPr>
              <w:jc w:val="right"/>
            </w:pPr>
            <w:r>
              <w:rPr>
                <w:color w:val="000000"/>
                <w:kern w:val="0"/>
                <w:sz w:val="24"/>
                <w:szCs w:val="24"/>
              </w:rPr>
              <w:t>59,742,000.00</w:t>
            </w:r>
          </w:p>
        </w:tc>
        <w:tc>
          <w:tcPr>
            <w:vAlign w:val="center"/>
          </w:tcPr>
          <w:p>
            <w:pPr>
              <w:jc w:val="right"/>
            </w:pPr>
            <w:r>
              <w:rPr>
                <w:color w:val="000000"/>
                <w:kern w:val="0"/>
                <w:sz w:val="24"/>
                <w:szCs w:val="24"/>
              </w:rPr>
              <w:t>4.38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113552</w:t>
            </w:r>
          </w:p>
        </w:tc>
        <w:tc>
          <w:tcPr>
            <w:vAlign w:val="center"/>
          </w:tcPr>
          <w:p>
            <w:pPr>
              <w:jc w:val="center"/>
            </w:pPr>
            <w:r>
              <w:rPr>
                <w:color w:val="000000"/>
                <w:kern w:val="0"/>
                <w:sz w:val="24"/>
                <w:szCs w:val="24"/>
              </w:rPr>
              <w:t>克来转债</w:t>
            </w:r>
          </w:p>
        </w:tc>
        <w:tc>
          <w:tcPr>
            <w:vAlign w:val="center"/>
          </w:tcPr>
          <w:p>
            <w:pPr>
              <w:jc w:val="right"/>
            </w:pPr>
            <w:r>
              <w:rPr>
                <w:color w:val="000000"/>
                <w:kern w:val="0"/>
                <w:sz w:val="24"/>
                <w:szCs w:val="24"/>
              </w:rPr>
              <w:t>4,280</w:t>
            </w:r>
          </w:p>
        </w:tc>
        <w:tc>
          <w:tcPr>
            <w:vAlign w:val="center"/>
          </w:tcPr>
          <w:p>
            <w:pPr>
              <w:jc w:val="right"/>
            </w:pPr>
            <w:r>
              <w:rPr>
                <w:color w:val="000000"/>
                <w:kern w:val="0"/>
                <w:sz w:val="24"/>
                <w:szCs w:val="24"/>
              </w:rPr>
              <w:t>604,079.20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113553</w:t>
            </w:r>
          </w:p>
        </w:tc>
        <w:tc>
          <w:tcPr>
            <w:vAlign w:val="center"/>
          </w:tcPr>
          <w:p>
            <w:pPr>
              <w:jc w:val="center"/>
            </w:pPr>
            <w:r>
              <w:rPr>
                <w:color w:val="000000"/>
                <w:kern w:val="0"/>
                <w:sz w:val="24"/>
                <w:szCs w:val="24"/>
              </w:rPr>
              <w:t>金牌转债</w:t>
            </w:r>
          </w:p>
        </w:tc>
        <w:tc>
          <w:tcPr>
            <w:vAlign w:val="center"/>
          </w:tcPr>
          <w:p>
            <w:pPr>
              <w:jc w:val="right"/>
            </w:pPr>
            <w:r>
              <w:rPr>
                <w:color w:val="000000"/>
                <w:kern w:val="0"/>
                <w:sz w:val="24"/>
                <w:szCs w:val="24"/>
              </w:rPr>
              <w:t>4,830</w:t>
            </w:r>
          </w:p>
        </w:tc>
        <w:tc>
          <w:tcPr>
            <w:vAlign w:val="center"/>
          </w:tcPr>
          <w:p>
            <w:pPr>
              <w:jc w:val="right"/>
            </w:pPr>
            <w:r>
              <w:rPr>
                <w:color w:val="000000"/>
                <w:kern w:val="0"/>
                <w:sz w:val="24"/>
                <w:szCs w:val="24"/>
              </w:rPr>
              <w:t>579,455.10</w:t>
            </w:r>
          </w:p>
        </w:tc>
        <w:tc>
          <w:tcPr>
            <w:vAlign w:val="center"/>
          </w:tcPr>
          <w:p>
            <w:pPr>
              <w:jc w:val="right"/>
            </w:pPr>
            <w:r>
              <w:rPr>
                <w:color w:val="000000"/>
                <w:kern w:val="0"/>
                <w:sz w:val="24"/>
                <w:szCs w:val="24"/>
              </w:rPr>
              <w:t>0.04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 xml:space="preserve">本基金投资的前十名证券的发行主体本期没有出现被监管部门立案调查，或在报告编制日前一年内受到公开谴责、处罚的情形。 </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253,185.65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379,369.66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190,824.96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2,258,905.61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3,082,285.88</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113552</w:t>
            </w:r>
          </w:p>
        </w:tc>
        <w:tc>
          <w:tcPr>
            <w:vAlign w:val="center"/>
          </w:tcPr>
          <w:p>
            <w:pPr>
              <w:jc w:val="center"/>
            </w:pPr>
            <w:r>
              <w:rPr>
                <w:color w:val="000000"/>
                <w:kern w:val="0"/>
                <w:sz w:val="24"/>
                <w:szCs w:val="24"/>
              </w:rPr>
              <w:t>克来转债</w:t>
            </w:r>
          </w:p>
        </w:tc>
        <w:tc>
          <w:tcPr>
            <w:vAlign w:val="center"/>
          </w:tcPr>
          <w:p>
            <w:pPr>
              <w:jc w:val="right"/>
            </w:pPr>
            <w:r>
              <w:rPr>
                <w:color w:val="000000"/>
                <w:kern w:val="0"/>
                <w:sz w:val="24"/>
                <w:szCs w:val="24"/>
              </w:rPr>
              <w:t>604,079.20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113553</w:t>
            </w:r>
          </w:p>
        </w:tc>
        <w:tc>
          <w:tcPr>
            <w:vAlign w:val="center"/>
          </w:tcPr>
          <w:p>
            <w:pPr>
              <w:jc w:val="center"/>
            </w:pPr>
            <w:r>
              <w:rPr>
                <w:color w:val="000000"/>
                <w:kern w:val="0"/>
                <w:sz w:val="24"/>
                <w:szCs w:val="24"/>
              </w:rPr>
              <w:t>金牌转债</w:t>
            </w:r>
          </w:p>
        </w:tc>
        <w:tc>
          <w:tcPr>
            <w:vAlign w:val="center"/>
          </w:tcPr>
          <w:p>
            <w:pPr>
              <w:jc w:val="right"/>
            </w:pPr>
            <w:r>
              <w:rPr>
                <w:color w:val="000000"/>
                <w:kern w:val="0"/>
                <w:sz w:val="24"/>
                <w:szCs w:val="24"/>
              </w:rPr>
              <w:t>579,455.10</w:t>
            </w:r>
          </w:p>
        </w:tc>
        <w:tc>
          <w:tcPr>
            <w:vAlign w:val="center"/>
          </w:tcPr>
          <w:p>
            <w:pPr>
              <w:jc w:val="right"/>
            </w:pPr>
            <w:r>
              <w:rPr>
                <w:color w:val="000000"/>
                <w:kern w:val="0"/>
                <w:sz w:val="24"/>
                <w:szCs w:val="24"/>
              </w:rPr>
              <w:t>0.04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355,415,090.15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7,277,908.30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22,879,549.72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339,813,448.73</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1.中国证监会批准易方达策略成长证券投资基金设立的文件；</w:t>
      </w:r>
    </w:p>
    <w:p>
      <w:pPr>
        <w:spacing w:line="360" w:lineRule="auto"/>
        <w:ind w:firstLine="480" w:firstLineChars="200"/>
        <w:rPr>
          <w:color w:val="000000"/>
          <w:sz w:val="24"/>
          <w:szCs w:val="24"/>
        </w:rPr>
      </w:pPr>
      <w:r>
        <w:rPr>
          <w:color w:val="000000"/>
          <w:sz w:val="24"/>
          <w:szCs w:val="24"/>
        </w:rPr>
        <w:t>2.《易方达策略成长证券投资基金基金合同》；</w:t>
      </w:r>
    </w:p>
    <w:p>
      <w:pPr>
        <w:spacing w:line="360" w:lineRule="auto"/>
        <w:ind w:firstLine="480" w:firstLineChars="200"/>
        <w:rPr>
          <w:color w:val="000000"/>
          <w:sz w:val="24"/>
          <w:szCs w:val="24"/>
        </w:rPr>
      </w:pPr>
      <w:r>
        <w:rPr>
          <w:color w:val="000000"/>
          <w:sz w:val="24"/>
          <w:szCs w:val="24"/>
        </w:rPr>
        <w:t>3.《易方达策略成长证券投资基金托管协议》；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易方达策略成长证券投资基金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